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Li v. Ouyang, [2012] B.C.J. No. 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 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28-December 2, 5 and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S084342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Chia Chieh Li and Yu Chuan Li, Plaintiffs, and Jie Won Ouyang, Hing Wai Ouyang, Yan Yun Ru, Choa Jun Ru, Jian Fei Zhou also known as Faith Zhou and Royal Pacific Realty (Kingsway)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Professional responsibility — Regulated occupations — Dealings with customers or clients — Duty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Occupations — Real estate — Action by Li and Li for damages for negligent misrepresentation dismissed — The defendant Zhou was the listing realtor for a leaky condominium purchased by the plaintiffs for $154,000 — Zhou failed to meet the standard of a reasonably prudent agent by failing to confirm the assessed value of the condominium and by failing to disclose an engineering report — However, as the vendors would not have sold for less than $154,000, the plaintiffs failed to establish that they had suffered any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Real estate agents and brokers — Liability — Action by Li and Li for damages for negligent misrepresentation dismissed — The defendant Zhou was the listing realtor for a leaky condominium purchased by the plaintiffs for $154,000 — Zhou failed to meet the standard of a reasonably prudent agent by failing to confirm the assessed value of the condominium and by failing to disclose an engineering report — However, as the vendors would not have sold for less than $154,000, the plaintiffs failed to establish that they had suffered any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Li and Li for damages for negligent misrepresentation. The plaintiffs purchased a condominium for which the defendant Zhou was the listing realtor. The plaintiffs were aware that the condominium had water ingress problems. They purchased the condominium for $154,000, paid an assessment of $92,000 for repairs and then sold it for $415,000. The plaintiffs took the position that Zhou negligently misrepresented the assessed value of the condominium at $216,000 when it had been re-assessed at $83,700. They further submitted that Zhou failed to disclose the existence of an engineering report. Finally, the plaintiffs took the position that the condominium was only worth $50,000 when they purchased it. Zhou took the position that she made no misrepresentations. Zhou further submitted that the condominium was worth $154,000 or that the vendors would not have sold it for less than that amount.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reasonable and prudent realtor would have confirmed the condominium's assessed value, which Zhou did not do. Zhou also failed to meet the standard of a reasonably prudent agent when she failed to obtain and provide a copy of the engineering report. Therefore, she was negligent in her conduct. While the appropriate fair market value of the condominium was in the range of $80,000 to $90,000, the evidence established that the vendors would not have sold for less than $154,000. As a result, the plaintiffs failed to establish that they had suffered any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Real Estate Services Act, </w:t>
      </w:r>
      <w:r>
        <w:rPr>
          <w:rFonts w:ascii="arial" w:eastAsia="arial" w:hAnsi="arial" w:cs="arial"/>
          <w:i/>
          <w:color w:val="000000"/>
          <w:sz w:val="20"/>
          <w:lang w:val="en-US" w:eastAsia="en-US" w:bidi="ar-SA"/>
        </w:rPr>
        <w:t>SBC 2004, CHAPTER 42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P.G. Mendes, N. Rozenberg.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K.A. Murray, D. Marks.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R.E. POWERS J."/>
            <w:bookmarkEnd w:id="6"/>
            <w:r>
              <w:rPr>
                <w:rFonts w:ascii="arial" w:eastAsia="arial" w:hAnsi="arial" w:cs="arial"/>
                <w:b/>
                <w:color w:val="000000"/>
                <w:sz w:val="30"/>
                <w:lang w:val="en-US" w:eastAsia="en-US" w:bidi="ar-SA"/>
              </w:rPr>
              <w:t>R.E. 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June 2006, the plaintiffs purchased a condominium in East Vancouver. The defendant, Ms. Zhou, was the listing realtor, and Royal Pacific Realty (Kingsway) Ltd. ("Royal Pacific") was the real estate brokerage.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knew that the condominium had water ingress problems, or could be described as a "leaky condo," but they purchased it on speculation. They paid $154,000.00 for the condominium, and subsequently paid an assessment of $92,000.00 to repair the condominium. Ultimately they sold it for $415,000.00. They did make a profit after all of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They allege that Ms. Zhou negligently misrepresented the assessed value at $216,000.00, when it had been re-assessed at $83,700.00. They also allege that Ms. Zhou failed to disclose the existence of a 1999 engineering report dealing with the water ingress problems. They argue that the condominium was only worth $50,000.00 when they purchased it. Therefore, they say that they paid $104,000.00 more than it was worth and, as a result, made a smaller profit. They claim damages of $104,000.00, being the difference between what they say was the market value of the condominium at the time of purchase and what they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argue that the condominium was worth $154,000.00 or alternatively, that in any event the vendor would not have sold the condominium for less than $154,000.00. Therefore, the defendants argue that the plaintiffs have suffered no damages and, in any event, that the defendants made no misrepresentations, or alternatively, were not negligent if they did make any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Ouyang and Ouyang, were the owners of the condominium. The claims against Ouyang and Ouyang were discontinued without costs by consent. The defendant, Yan Yun Ru, is a relative of the Ouyangs, and any claims against her were dismissed without costs and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Chao Jun Ru, is a relative of the Ouyangs and had their power of attorney to deal with the condominium. He actually dealt with the realtor, Ms. Zhou, on behalf of the Ouyangs. The claims against him were discontinued without costs and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claims against Royal Pacific are outlined in the second amended statement of claim filed July 14, 2010. The statement of claim specifies that Royal Pacific is a real estate brokerage and that the defendant, Ms. Zhou, provided real estate services under the supervision of Royal Pacific. The statement of claim alleges that Royal Pacific was responsible for supervising Ms. Zhou and providing training to her concerning professional duties and responsibilities as a licensee under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statement of claim alleges that Royal Pacific owed a duty to the purchasers to properly supervise the licensee and ensure that her work complied with industry standards, as well as to properly train the licensee with regard to particular matters dealing with the sale and listing of real estate. The statement of claim alleges that Royal Pacific breached that duty of care. However, no evidence was called with regard to the standard of care or breach of any such duty. Therefore, the plaintiffs' claim against Royal Pacific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AGAINST ZHOU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allege that Ms. Zhou owed them a duty to provide accurate information about the condominium. The plaintiffs say that Ms. Zhou owed this duty either because she entered into a dual agency relationship with the plaintiffs; that is representing the vendors and the plaintiffs as purchasers, or alternatively, that such agency should be implied from the circumstances. In the further alternative, the plaintiffs were a "customer" and were owed the same duty to provide accurate information. The failure to provide accurate information related to the failure to disclose the existence of a 1999 engineering report dealing with the water ingress problems, and the significant cost of repairs. The plaintiffs also argue that Ms. Zhou negligently misrepresented the assessed value of the condominium which was a significant factor in the plaintiffs' mind when they agreed to the purchase price. Ms. Zhou relied on information contained on a database maintained by the multiple listing services in Vancouver called "ML Xchange" to determine the assessed value. The information on the ML Xchange was inaccurate and did not reflect the fact that an appeal of the assessment had been made and allowed, reducing the assessment to $83,700.00. Ms. Zhou did not seek information about the assessed value from Mr. Ru, whom she was dealing with on behalf of the vendors, nor from the B.C. Assessment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deny that a dual agency relationship existed or that there was any agency relationship between the plaintiffs and the defendant, Ms. Zhou. The defendants agree that in any event the standard of care and the duty to provide accurate information is the same whether the plaintiffs were in an agency relationship with Ms. Zhou, or were simply "customers" of Ms. Zhou. However, the defendants argue that Ms. Zhou was not negligent in providing the information she did and, alternatively, this is not information which the plaintiffs would have relied on in determining the purchase price in any event. Lastly, that they have suffered no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June 2006, Mr. Ru was managing a condominium owned by his relatives, the Ouyangs. He had managed it as a rental unit, although the condominium bylaws included rental restrictions. The tenants had moved out and he was updating the condominium. A flyer had been placed under the door that indicated that Ms. Zhou was a realtor and had experience in dealing with leaky condominiums and those which had been used for marijuana grow operations. Mr. Ru knew that the condominium was a leaky condominium and that an engineer's report outlined the problems with the condominium. The Ouyangs were living in Ontario and were prepared to sell the condominium. Mr. Ru contacted Ms. Zhou and, acting on his power of attorney, listed the condominium with her. Ms. Zhou advertised the condominium for sale in a Chinese language real estate paper. She also placed the condominium on the multiple listing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and Ms. Li had immigrated to Canada from Taiwan in 1996. Ms. Li spoke Mandarin, Taiwanese and some English. She can also read some English. Ms. Li and Mr. Li were interested in investing in property, but did not have a lot of money. They became aware, through friends or relatives, that occasionally a person could buy a leaky condominium for a low price, pay to have it repaired, and then sell it for a profit. They did have enough money to invest in a leaky condominium. They had in fact done so four or five times between 2002 and 2006. They had been successful in making a profit on each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They saw the advertisement for this condominium in June of 2006. They knew the area and thought that the list price of $188,000.00 was low for that area. Ms. Li thought that similar properties would be selling for $220,000.00 to $260,000.00 in that area. They suspected that it was a leaky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Li contacted Ms. Zhou and was told that the condominium was being sold for less than the assessed value, that the owners were in Toronto and were anxious to sell, and that this was a good location near the sky train. Ms. Zhou told Mr. Li that it had a "leaky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Zhou met with the Lis on June 18, 2006 to view the condominium. It was obvious to them that the condominium building did have some water problems, although the unit itself was clean and appeared to have been updated.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Lis knew that the condominium was a leaky condominium and Ms. Zhou knew they were purchasing it for investment purposes. The Lis say that Ms. Zhou told them the condominium had been assessed at $216,000.00. Ms. Zhou did not remember doing that, but does agree she provided them with the ML Xchange report which indicated an assessed value of $216,000.00. The Lis say that Ms. Zhou told them she thought the cost of repairs would be $20,000.00 to $30,000.00 for their unit. Ms. Zhou denies that and says that she told the Lis the costs were unknown and that was a risk. Ms. Zhou says that she told them there was no recent engineering report. The Lis say that she told them there was no engineering report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Zhou asked them if they had a real estate agent of their own. They told her no. The Lis say that Ms. Zhou told them that she could do everything for them. I am satisfied that she told them that she would obtain the documents which they were seeking. However, the plaintiffs have not proven that she entered into any form of agency relationship with them. The Lis were used to buying without an agent representing them. They had some experience in dealing with agents before. Their practise, which they followed on this occasion, was to buy without an agent and to attempt to negotiate a reduction in price by reduction of the agent's fee, because the vendor's agent would not be required to split the commission with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relationship between the Lis and Ms. Zhou was then one of Ms. Zhou acting as the vendor's agent and the Lis being "customers". The plaintiffs and the defendant, Ms. Zhou, agree that Ms. Zhou owed a duty to the plaintiffs to act honestly and to exercise reasonable care and skill when providing information. These duties are outlined in the </w:t>
      </w:r>
      <w:r>
        <w:rPr>
          <w:rFonts w:ascii="arial" w:eastAsia="arial" w:hAnsi="arial" w:cs="arial"/>
          <w:i/>
          <w:color w:val="000000"/>
          <w:sz w:val="20"/>
          <w:lang w:val="en-US" w:eastAsia="en-US" w:bidi="ar-SA"/>
        </w:rPr>
        <w:t>Licensee Practice Manual</w:t>
      </w:r>
      <w:r>
        <w:rPr>
          <w:rFonts w:ascii="arial" w:eastAsia="arial" w:hAnsi="arial" w:cs="arial"/>
          <w:color w:val="000000"/>
          <w:sz w:val="20"/>
          <w:lang w:val="en-US" w:eastAsia="en-US" w:bidi="ar-SA"/>
        </w:rPr>
        <w:t>, 6th Ed. 2006. In addition, the manual (p. 17 and 18) describes the duties to a customer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Honesty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care and skill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Disclose information concerning: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7.3 Material defects in seller's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in a timely manner, all offers, counter-offers, etc.</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Convey in a timely manner all information that party wishes to have communicated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 fully informed regarding the progress of the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account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miscellaneous statutory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real estate statistics, comparable property information, etc.</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standard form agreements and other relevant documents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as a scribe in the preparation of standard form agreements, etc.</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names of "experts" (appraisers, surveyors, inspectors,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note page 66 of the manual also includes a requirement to obtain the most recent property assessment. I note also that the practice manual has a section dealing with specialized sales including strata sales and advises the licensee to be particularly careful or take special precautions in the sale of strata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Zhou agreed to obtain the strata documents which would normally be provided, including minutes of the strata meetings for the prior two years, the engineering reports, and the tax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Zhou obtained the tax information from the ML Xchange which is a service maintained by the Vancouver Real Estate Board. They receive information from the B.C. Assessment Authority and include it in the database. However, the evidence is unclear as to how current that information was in 2006. The evidence is that now it is updated once a month. The initial assessment of a property comes out in January of each year. The homeowner then has an opportunity to appeal that assessment. Therefore, the initial assessment is not considered an authenticated assessment. By June of 2006, the Ouyangs, directly or through their power of attorney, had appealed the assessment. The assessment was changed from $216,000.00 to $83,700.00. This had occurred before the condominium was listed. The information in the ML Xchange, however, had not been updated. Mr. Ru was aware of the re-assessment. Ms. Zhou did not ask Mr. Ru for any information regarding the assessment. It is clear from her evidence that she did not understand the process of assessment, appeals and re-assessment very well. In 2006, she was not aware that the ML Xchange information may not be accurate. In particular, she was not aware that she should be confirming that information through the B.C. Assessment Authority or the owner to establish whether or not an appeal had been taken and the result of that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a reasonable and prudent realtor would have done so, especially when the purchasers were asking for confirmation of the assessment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Zhou did call an expert witness with regard to the standard of care of a realtor in 2006. This individual, Mr. Scott Russell, is certainly an experienced realtor practicing in the Vancouver area. He has served on the Business Practices Committee of the Real Estate Board of Greater Vancouver and the Professional Conduct Committee. His evidence was that in 2006 the majority of the realtors would not have checked the assessed value beyond going to the ML Xchange. This is one of those cases that if that in fact is the practice, it falls below the standard of a reasonable and prudent realtor. The practice itself is not reasonable. The evidence is that the ML Xchange is updated once a month at this time. There is no evidence as to how often it was updated in 2006. However, even today, where the purchaser wishes to have the assessed value confirmed, a reasonable and prudent realtor would obtain that information from the vendor directly or the B.C. Assessment Authority, especially while the appeal period is still open or to determine whether an appeal had been launched and the results of such appeals. This would be a particular concern where it was obvious that the building had structural issues, such as water ingress problems, and the assessed value did not reflect those issues. Mr. Russell's evidence was that the assessed value is not important because it could be all over the board. I agree that the assessed value does not necessarily reflect the market value. However, a significant change in an assessed value, such as occurred here, would be a red flag for any purchaser. This was pointed out by the plaintiffs' expert, Mr. Michael Ziegler. Mr. Ziegler is a licensed real estate practitioner in the Victoria area and not the Vancouver area. However, he has extensive experience both in real estate and in chairing the Real Estate Council Licensee Practice Manuals Editorial Committee. The plaintiffs correctly point out in paragraphs 151 and 152 of their argument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Court accepts Mr. Russell's opinion that it is not the industry practice to verity information obtained from the Real Estate Board website, this court can still find that conformity to common practice is not prima facie evidence that the property standard of care was being taken, if the standard set by industry practice is too low.</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Ont. Superior Court held in </w:t>
      </w:r>
      <w:r>
        <w:rPr>
          <w:rFonts w:ascii="arial" w:eastAsia="arial" w:hAnsi="arial" w:cs="arial"/>
          <w:i/>
          <w:color w:val="000000"/>
          <w:sz w:val="20"/>
          <w:lang w:val="en-US" w:eastAsia="en-US" w:bidi="ar-SA"/>
        </w:rPr>
        <w:t>Carleton Condominium Corp. No. 21 v. Mintos Construction Ltd.</w:t>
      </w:r>
      <w:r>
        <w:rPr>
          <w:rFonts w:ascii="arial" w:eastAsia="arial" w:hAnsi="arial" w:cs="arial"/>
          <w:color w:val="000000"/>
          <w:sz w:val="20"/>
          <w:lang w:val="en-US" w:eastAsia="en-US" w:bidi="ar-SA"/>
        </w:rPr>
        <w:t>, 2001 CarswellOnt. 4558, aff'd 2004 CarswellOnt. 583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280 [N]eglect of duty does not cease by repetition to be neglect of duty', for in the last analysis the standard of reasonable care is measured by what ought ordinarily to be done rather than what is ordinarily done. Were it otherwise, an entire industry would be free, by maintaining careless methods, to set its own uncontrolled standard with no incentive to devise new and more efficient safety precautions. (Fleming, The Law of Torts, 4th ed., pp 117-118).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would have been a simple matter for Ms. Zhou to confirm the assessment information contained in the ML Xchange. However, she did not do so. I am satisfied that she simply did not understand the process. If she simply followed the practice of the Vancouver realtors at that time by relying on the ML Xchange, she was following a standard which was not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Li was cross-examined at length about whether or not she actually relied on assessed values in determining purchase prices. Her evidence was that she did not become aware of the reduced assessment value, even though she had received a new assessment in 2007 showing that the condominium's assessed value had been reduced significantly, until an owner of another unit in the building advised her that she had paid too much money for the condominium. It was then that she began making her inquires. It is clear that the assessed value was not the only factor that Ms. Li would rely on in determining what to pay for a property, but in this case it was something that she was interested in and which was communicated to her incorrectly.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tax report which was provided to the Lis did contain information about prior sales of the condominium: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1991: $144,859.00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1994: $162,500.00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1996: $148,000.00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real estate market in 2006 was described as "hot," meaning that properties were selling quickly and sometimes for more than their assessed value. The evidence is not clear that this also applied to leaky condominiums.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were other sales in the building, but Ms. Zhou did not obtain the information regarding those sales. She simply advised the Lis that there were no recent sales. She may have been referring to this particular condominium. However, I am not satisfied that she agreed that she would provide the Lis with a full record of any sales in the building. She was not their agent and had not agreed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Zhou did agree to obtain an engineer's report, if any, with regard to the condominium. The Lis called Ms. Francesca Barone as a witness. She is an owner in the building and was on the strata council in 2006. She recalled dealing with Ms. Zhou and receiving a number of calls from Ms. Zhou. She told Ms. Zhou that she had to reveal that this was a leaky condominium, but felt that Ms. Zhou was not getting the message. That is not really important in this case because everybody knew it was a leaky condominium. Ms. Barone said that the engineer's report which had been prepared in 1999 was available through the engineering company. The strata council had a copy of it, but when people asked about the engineering report they were told to obtain it from the engineering firm. Ms. Barone could not recall the exact words she used when talking to Ms. Zhou, but was clear that if Ms. Zhou asked about the engineering report she would have told her that she could obtain it from the engineering firm. She was not aware of anyone who has been unable to obtain a copy of the report from the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Zhou's evidence was that she was told the engineering report was not available. I do not accept this. The engineering report would be a critical factor and a consideration for anyone purchasing a leaky condominium. I am satisfied that what did happen was Ms. Zhou wanted the engineering report from the strata council and was told she could not get it from the strata council. I am satisfied she was told she could get it from the engineering firm. Ms. Zhou was aware that the engineering report was dated and that the strata council had taken no steps with regard to the recommendations of the report. She concluded on her own that it was, therefore, not important and did not pursue the matter. In fact, the engineer's report was available and would have indicated that the total cost of repairs in 1999 was estimated to be close to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June 23, 2006, the Lis met with Ms. Zhou at her office. They were provided with the tax report from the ML Xchange and were told that there was no engineering report and no past sales. The Lis were aware and were told clearly that this was a leaky condominium or it had a leaky problem. The specific language is not important. The Lis signed an offer to purchase on that date, offering $154,000.00 for the condominium. The subject removal date was set for June 28, 2006, a relatively short time period. The subject-tos were simply the normal subject-tos in any condominium purchase. They did include the buyers' approving them on or before June 28, 2006 including an engineering report, if any. The seller was obliged to obtain the documents listed above, including the engineering report, and immediately upon receipt or, in any event, no later than 72 hours before the subject removal, deliver the documents to the buyer or the buyer's agent. This indicates the very tight time frame the parties were working under. Mr. Li signed the document on that date confirming that he had been advised that the building had leaky problems and potential risks of the problems. He also signed a brochure outlining the various relationships a party might have with a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Lis' evidence is that when they attended on June 23, 2006, they did not know what they should offer for the condominium. I am satisfied they had not finalized that figure, but I am not satisfied that they had no idea what they should offer. Their understanding of English may be limited, but Ms. Li particularly, is an astute individual who was well aware of the process of buying real estate. Mr. Li, as well, was interested in buying the condominium, but only at a good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Lis say that they asked Ms. Zhou how much they should offer and that Ms. Zhou told them the vendors were anxious to sell, and their bottom-line was $158,000.00. Ms. Zhou denies telling them that. Ms. Li's evidence is that he then told Ms. Zhou that she should reduce that price because she was getting the full commission and did not have to split that commission. He used the words that she was getting "two commissions". His evidence is that she suggested they offer $154,000.00 for the condominium and she would reduce her commission by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Zhou presented the offer to Mr. Ru. Her evidence is that Mr. Ru was reluctant to accept that offer. She told him that the condominium was a leaky condominium and that this was a good offer, and if he did not wish to accept it she was not sure she wanted to continue to hold the listing. She told him that she would reduce her commission to $1,000.00 if he accepted the offer. He did so. Mr. Ru's own evidence is that he was not happy with the price, but did agree to it. He was called as a witness by the plaintiffs and, in cross-examination, he confirmed that he would not have sold the condominium for less than $154,000.00. I accept his evidence. I accept he was speaking on behalf of the Ouyangs. There is no evidence that they would have sold for less than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June 28, 2006, the Lis removed the subject-tos on the condominium and the sale did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Lis argue that had they received the engineering report they would not have offered $154,000.00 for the condominium. They believed they were getting a good deal because the condominium was being sold for significantly less than the assessed value, and they were aware that it was being sold for less than other properties in the area. In cross-examination, Ms. Li acknowledged that in the past she had not read engineer's reports, but had relied on friends or other people who were familiar with them or could give her advice about them. I am satisfied that had they had access to the engineering report they may have reconsidered the purchase of this property. This would be the only information they had which would give them some idea of the potential costs of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Ms. Zhou did not meet the standard of a reasonably prudent agent when she failed to obtain and provide a copy of this engineering report. I am satisfied it is a matter which could have been done easily, but a duty that she failed to fulfil. The time between the offer and the subject-to removals was very tight; only five days. It is even tighter when you consider that the report was to be delivered 72 hours or three days before the date for subject removals. This probably contributed to her failure to fulfil her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began this case by saying that their damages were the difference between the profit they did make on re-sale of the condominium and the profit they should have been able to make if they had only paid fair market value for the condominium. They paid $154,000.00 for the condominium and argue that its fair market value was $50,000.00. They paid $91,947.58 by way of a special levy to repair the water damage, and sold the condominium in June of 2010 for $415,500.00.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rely on an appraisal of the condominium to establish its fair market value. They filed two reports from Mr. Dean Doolan, a qualified appraiser. In the first report, he critiqued an appraisal done on behalf of the defendants by Mr. Coley-Donohue. The defendants also filed a further report by Mr. Coley-Donohue critiquing Mr. Doolan's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Doolan provided a narrative report and attempted to place a value on the condominium using the direct comparative method. This was the same method used by Mr. Coley-Donohue. Mr. Doolan concluded that the value was $50,000.00, Mr. Coley-Donohue concluded that the value was between $150,000.00 and $160,000.00.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They both agree that fair market value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probable price which a property should bring in a competitive and open market under all conditions requisite to a fair sale, the buyer and the seller each acting prudently and knowledgeable, and assuming the price is not affected by undue stimulus.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CUSPAP definition of "Market Value" is then expanded: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Implicit in this definition is the consummation of a sale as of the specified date and the passing of title from seller to buyer under conditions whereby: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Buyer and Seller are typically motivated;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parties are well informed or well advised and acting in what they consider their best interests;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time is allowed for exposure in the open market;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is made in terms of cash in Canadian dollars or in terms of financial arrangements comparable thereto;</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represents the normal consideration for the property sold unaffected by special or creative financing or sale concessions granted by anyone associated with the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Appraisers understand the Market Value implies the fully expanded explanation. In my opinion, stigmatized properties especially must be considered in the full context of the definition.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of K. Coley-Donohue dated June 22,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appraisers disagree about the comparables each of them used. Mr. Coley-Donohue's original report is limited because he simply used a form called a "Drive-by Appraisal" form that would be used to provide a summary or abbreviated form of appraisal for financial institutions. He himself agreed that there were limitations to using this form, and the advantage of a narrative report is that it can more fully explain the assessment. This is particularly important in a case like this where the property would be difficult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Doolan correctly stated that the B.C. Assessment value in this case would have been a factor because of the dramatic change in value. This would certainly cause a vendor to look more carefully at the property. He also correctly stated that the cost for repairs would affect the value. He did acknowledge, in cross-examination, that in September of 2006, unit #101 in this building sold for $86,000.00 which was above its list value of $80,000.00.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Doolan is critical of Mr. Coley-Donohue's use of some comparables which were correctly described as "leaky condos," but for which the cost or remediation were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Coley-Donohue said that East Vancouver prices increased significantly in 2001 to 2006 in the amount of approximately 102.8%. He said it was a "hot market" in 2006. He said he did not believe the sales in the subject building itself were useful because the most recent sale was of the penthouse in 2004, and it appeared to be between related parties. He prepared his report with the assistance of another appraiser, but it would appear from the cross-examination that he relied heavily on the other appraiser's selection of comparables. He was referred to one possible comparable in the material in his file: 2238 East Eaton Street, #109, which sold for $104,500.00. This would appear to have been a reasonable comparable. A future assessment for repairs was estimated at $68,000.00.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also agreed in cross-examination that one of the comparable he used, 305 Fraser, had been rejected by the B.C. Assessment Authority and, therefore, was not a good comparable. The same applied to the penthouse, #9, on Eaton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establishment of a fair market value by an appraiser depends to a certain extent on the exercise of judgment. Reasonable people may disagree. However, for the purposes of this case, I find that the appraisal conducted by Mr. Doolan is more helpful. It is not perfect, but I find it more useful than Mr. Coley-Donohue's. I do not accept that the fair market value, however, was $50,000.00. I find that the appropriate fair market value was in the range of $80,000.00 to $90,000.00. If 2238 East Eaton Street is a good comparable, it sold for $104,500.00 and the repair costs were $68,000.00 (the purchaser was to pay this); this indicates a price of approximately $172,500.00, after repairs were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cost of the repairs of the subject property were not as finely detailed, but the engineering report did indicate they would certainly be approximately $90,000.00, or a little more. I recognize that the report is dated and the cost estimates are as well. The properties are not exactly comparable, but I am satisfied that a range of value of $80,000.00 to $90,000.00 would have taken into account any variables.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However, I find that this is not the correct measure of damages in this case. The plaintiffs are suing a realtor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order to establish their claim they must show a breach of that duty and damage. To establish damage they must show that they could have purchased the condominium for less than they did and, therefore, made a larger profit. However, the evidence which I accept is that the vendors would not have sold for less than $154,000.00. Therefore, they have failed to show that they would have been able to purchase the condominium for less than $154,000.00 had they been aware of the true assessed value or the engineer's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This is similar to the circumstances in </w:t>
      </w:r>
      <w:r>
        <w:rPr>
          <w:rFonts w:ascii="arial" w:eastAsia="arial" w:hAnsi="arial" w:cs="arial"/>
          <w:i/>
          <w:color w:val="000000"/>
          <w:sz w:val="20"/>
          <w:lang w:val="en-US" w:eastAsia="en-US" w:bidi="ar-SA"/>
        </w:rPr>
        <w:t>Lee Estate v. Royal Pacific Realty Corp.</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2003 BCSC 911</w:t>
        </w:r>
      </w:hyperlink>
      <w:r>
        <w:rPr>
          <w:rFonts w:ascii="arial" w:eastAsia="arial" w:hAnsi="arial" w:cs="arial"/>
          <w:color w:val="000000"/>
          <w:sz w:val="20"/>
          <w:lang w:val="en-US" w:eastAsia="en-US" w:bidi="ar-SA"/>
        </w:rPr>
        <w:t>. Madam Justice Satanove J. said at para. 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Proving a loss of opportunity claim is a two fold process. First, the plaintiff must prove on a balance of probabilities that Mr. Lee had a real or a substantial chance to make a better bargain with the vendor, but for the conduct of Mr. Chan. Only then does the court embark on an assessment of the value of that chance. (Fraser Park South Estates Ltd. v. Lang Michener Lawrence &amp; Shaw </w:t>
      </w:r>
      <w:hyperlink r:id="rId12" w:history="1">
        <w:r>
          <w:rPr>
            <w:rFonts w:ascii="arial" w:eastAsia="arial" w:hAnsi="arial" w:cs="arial"/>
            <w:i/>
            <w:color w:val="0077CC"/>
            <w:sz w:val="20"/>
            <w:u w:val="single"/>
            <w:shd w:val="clear" w:color="auto" w:fill="FFFFFF"/>
            <w:lang w:val="en-US" w:eastAsia="en-US" w:bidi="ar-SA"/>
          </w:rPr>
          <w:t>(2001), 84 B.C.L.R. (3d) 65</w:t>
        </w:r>
      </w:hyperlink>
      <w:r>
        <w:rPr>
          <w:rFonts w:ascii="arial" w:eastAsia="arial" w:hAnsi="arial" w:cs="arial"/>
          <w:color w:val="000000"/>
          <w:sz w:val="20"/>
          <w:lang w:val="en-US" w:eastAsia="en-US" w:bidi="ar-SA"/>
        </w:rPr>
        <w:t xml:space="preserve"> (C.A.) </w:t>
      </w:r>
      <w:hyperlink r:id="rId12" w:history="1">
        <w:r>
          <w:rPr>
            <w:rFonts w:ascii="arial" w:eastAsia="arial" w:hAnsi="arial" w:cs="arial"/>
            <w:i/>
            <w:color w:val="0077CC"/>
            <w:sz w:val="20"/>
            <w:u w:val="single"/>
            <w:shd w:val="clear" w:color="auto" w:fill="FFFFFF"/>
            <w:lang w:val="en-US" w:eastAsia="en-US" w:bidi="ar-SA"/>
          </w:rPr>
          <w:t>2001 BCCA 9</w:t>
        </w:r>
      </w:hyperlink>
      <w:r>
        <w:rPr>
          <w:rFonts w:ascii="arial" w:eastAsia="arial" w:hAnsi="arial" w:cs="arial"/>
          <w:color w:val="000000"/>
          <w:sz w:val="20"/>
          <w:lang w:val="en-US" w:eastAsia="en-US" w:bidi="ar-SA"/>
        </w:rPr>
        <w:t xml:space="preserve">, leave to appeal dismissed, </w:t>
      </w:r>
      <w:hyperlink r:id="rId13" w:history="1">
        <w:r>
          <w:rPr>
            <w:rFonts w:ascii="arial" w:eastAsia="arial" w:hAnsi="arial" w:cs="arial"/>
            <w:i/>
            <w:color w:val="0077CC"/>
            <w:sz w:val="20"/>
            <w:u w:val="single"/>
            <w:shd w:val="clear" w:color="auto" w:fill="FFFFFF"/>
            <w:lang w:val="en-US" w:eastAsia="en-US" w:bidi="ar-SA"/>
          </w:rPr>
          <w:t>[2001] S.C.C.A. No. 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have failed to prove that they have lost an opportunity to make a larger profit. The vendors were not anxious to sell and were content to simply continue to rent the condominium if they did not get the price they wanted. Mr. Ru, on behalf of the vendors, only accepted the price of $154,000.00 after being convinced to do so by the realtor. Whether the fair market value of the condominium was less than $154,000.00 is irrelevant if the vendors would not be prepared to sell for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I have found that the realtor was negligent in her conduct, because the plaintiffs have to prove damage, their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have not addressed the issue of costs. There may be other factors to be considered. If the parties are unable to simply agree to costs following the event, then they have liberty to address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
          <w:headerReference w:type="default" r:id="rId15"/>
          <w:footerReference w:type="even" r:id="rId16"/>
          <w:footerReference w:type="default" r:id="rId17"/>
          <w:headerReference w:type="first" r:id="rId18"/>
          <w:footerReference w:type="first" r:id="rId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 w:history="1">
        <w:r>
          <w:rPr>
            <w:rFonts w:ascii="arial" w:eastAsia="arial" w:hAnsi="arial" w:cs="arial"/>
            <w:b/>
            <w:bCs/>
            <w:i/>
            <w:color w:val="0077CC"/>
            <w:kern w:val="32"/>
            <w:sz w:val="28"/>
            <w:szCs w:val="32"/>
            <w:u w:val="single"/>
            <w:shd w:val="clear" w:color="auto" w:fill="FFFFFF"/>
            <w:lang w:val="en-US" w:eastAsia="en-US" w:bidi="ar-SA"/>
          </w:rPr>
          <w:t>McLachlan v. Hamon, [2001] B.C.J. No. 1107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15 - 19,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B950054, B964143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670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Craig Murray McLachlan and Teri McLachlan, plaintiffs, and Spencer Hamon, defendant (Vancouver Registry No. B950054) And between Teri McLachlan, plaintiff, and Marie Jeanne Schieck, defendant (Vancouver Registry No. B964143)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Damage awards — Injury and death — Body injuries — Back — Shoulder — Leg injuries — Foot — Knee — General damages — Cost of future care and treatment — Requirement to mitigate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McLachlan for damages arising out of two motor vehicle accidents. The defendants, Hamon and Schiek, admitted liability. In 1993, in snowy conditions, a vehicle driven by Hamon slid into the rear of a vehicle in which McLachlan was a passenger. There was no property damage, but McLachlan complained of back, neck and shoulder pain, which persisted for some months. In 1994, McLachlan was walking her bike in a crosswalk when the vehicle driven by Schiek ran a light and drove over her foot. In respect of that accident McLachlan said she suffered injuries to her spine, shoulders, and knees, and claimed total disability. She alleged that she had intended to return to work that year, but there was no evidence that she actually applied for work. By 1996 she still had made no efforts to mitigate her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McLachlan was awarded $3,500 non-pecuniary damages and out-of-pocket expenses for the Hamon collision. She was awarded $45,000 non-pecuniary, $11,900 future care, $63,732 future wage loss, and $1,240 special damages for the Schiek accident. The Hamon collision was very minor and required only a few months for recovery. During those months, McLachlan experienced pain and suffering and a restriction of her recreational activities. Respecting the second accident, the court accepted that the prognosis was guarded and McLachlan's future income-earning ability was compromised by ten per cent. She had made no efforts to mitigate nor proved any possibility of re-employment before 1996, and therefore she was not entitled to damages for past wage loss. She required pain management, but future wage loss damages were discounted because of her persistent failure to mitigate.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 Bradbrooke, for Teri McLachlan. L.C. Boulton, for both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BURNYEAT J."/>
            <w:bookmarkEnd w:id="13"/>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McLachlan claims total disability arising out of two motor vehicles accidents which occurred in North Vancouver on January 6, 1993 and September 6, 1994. In the first accident, she states that she was a passenger in a vehicle driven by her husband when a motor vehicle owned and negligently driven by Spencer Hamon, collided with the rear end of that vehicle. In the second accident, Ms. McLachlan says that the motor vehicle owned and negligently driven by Marie Jeanne Schieck struck her as she was walking her bicycle across 13th Street in North Vancouver, northbound in the west crosswalk when the pedestrian crosswalk signal displayed the walk signal in her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While both defendants admit that they were totally responsible for the two accidents, both defendants also state that the injuries suffered by Ms. McLachlan in the two accidents were so minor as to have caused her little or no damage and that, in any event, the two accidents were not the cause of the permanent disability presently claimed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two trials dealing with the question of what damages were caused by the two accidents were heard at the same time and, until an Order was made by me pursuant to Rule 41(7), the actions were being heard with a jury. Unless otherwise noted, the statements which follow are shown in quotes are references to the notes that I took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JANUARY 6, 1993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McLachlan was in a pickup truck being driven by her husband. They were on their way to pick up their children. At trial, Ms. McLachlan described the street that day as being "sleety and snowy - not plowed". She also stated that the vehicle did not have head rests, that she had her seat belt on, and that she was sitting on a "bench seat". She also testified that, upon contact, her "upper body went back over the bench seat and then forward". Ms. McLachlan testified that she felt a pain in her left eye even thought she had had no earlier migraines and that she threw up into her mouth as she felt ill. On cross-examination, Ms. McLachlan stated that she thought that the truck was pushed about 20 feet into the intersection, that she got out of their vehicle and that she felt pain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trial, Mr. McLachlan indicated that his vehicle was stopped at a stop sign but that his foot was off the brake as he was about to accelerate. He described the movement of the car as follows at trial: "Went forward quite rapidly across the street." He stated that his vehicle went about 22 to 23 feet into the intersection before it came to a stop, that he got out of his vehicle to speak to Mr. Hamon, that Ms. McLachlan did not get out of the vehicle, that they exchanged information, that he observed that there was no damage to his vehicle, and that the damage to Mr. Hamon's vehicle was limited to a scrape on the bumper and the headlight being pushed inward and chipped.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trial, Mr. Hamon stated that he was driving down 13th Street, that he started to slow down in order to come to a stop but that his car "slipped into" the hitch of the McLachlan vehicle. He also stated that his body did not move as a result of the impact and that the McLachlan vehicle did not move forward: "Not really." Under cross-examination, Mr. Hamon stated that his car was stopped and "then my car slipped".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accident, the plaintiff and her husband went to the school to pick up the children and then went to Lions' Gate Hospital so that Ms. McLachlan could be checked for her injuries. The following notation appears in the emergency department records. "... complained of back pain hit from behind low speeds 3. Seat belt." The "Impression" was that it was "whiplash type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subsequent medical-legal reports, various doctors have variously described the accident and the injuries suffered as a result. I find that these descriptions were given by the plaintiff to her medical advisors and that the medical advisors accurately recorded what they were told. These inconsistencies are relied upon by counsel for Mr. Hamon to submit that Ms. McLachlan is exaggerating her injuries and the duration of the pain and suffering resulting from the injuries. In his January 5, 1996 letter, Dr. Nasif Yasin stated the plaintiff was in a car which "was rear-ended and on impact she complained of upper back, neck and shoulder pain, and lower back pain." In a September 7, 1999 letter, Dr. leNobel stated: "... Her vehicle was hit from behind with no warning by small car, knocked across an icy intersection. Immediately she felt nauseated, vomited, and had ache in her left side of her face." In an October 17, 2000 medical-legal report, Dr. leNobel stated: "They were hit from behind by a small car, and the Chevrolet knocked forward across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plaintiff in his opening statement and his submissions described this accident as "very, very minor." I agree. While I am prepared to find that there was some contact between the two vehicles and that, as a result, the McLachlan vehicle was pushed forward across the icy and snowy road, I am not prepared to accept the evidence of either Mr. or Mrs. McLachlan that the vehicle went forward between 20 and 23 feet (or almost two vehicle lengths) as a result of the accident. There was no evidence before me which would allow me to conclude that the 1988 Toyota Camry driven by Mr. Hamon and damaged to the extent it was could have caused the 1986 Chevrolet truck which was driven by Mr. McLachlan and which suffered no damages to be pushed anywhere between 20 and 23 feet from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the injuries and pain complained of, anti-inflammatory medications and physiotherapy were prescribed. I find that Ms. McLachlan attended physiotherapy for 12 visits and that, in response to the recommendation that she do some exercises for her neck, I find that she undertook those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to the contradictions in the descriptions of the accident and the injuries which were described by Ms. McLachlan to her medical advisors as being immediately felt, there was some contradictions in the testimony of Ms. McLachlan and in the medical-legal reports tendered on her behalf as to the duration of the symptoms of the injuries caused by this accident. In his September 29, 1999 medical-legal report, Dr. Fenton stated: "She said, 'I don't know if they went away (referring to the symptoms mentioned above) but I felt pretty good.' She thought that she might have had some residual symptoms with activity and that she felt that her symptoms after this accident had lasted 'several months.'" In his October 17, 2000 medical-legal report, Dr. leNobel stated: "She indicated having felt a lot better, although not 100% better, by a subsequent motor vehicle accident on September 6, 1994." At her discovery, the plaintiff stated that she had pains in her upper back and neck and that those areas were "very painful at times", "it just hurt all the time" up to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satisfied that the September 29, 1999 medical-legal report of Dr. Fenton most accurately describes the symptoms arising and the duration of the symptoms arising out of the January 6, 1993 accident. If find that it has not been proven on a balance of probabilities that the injuries lasted longer than "several months". If it was otherwise, the physiotherapy treatment would have gone beyond February 16, 1993 and there would have been physical examinations relating to the accident after February,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that there was pain and suffering for several months and that there was restriction of the recreational activities of the plaintiff as a result of the accident. In particular, I find that Ms. McLachlan did not return to playing racquetball or tennis or to water skiing or snowmobiling after the accident and that this restriction of activities was at least partially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the submission of counsel for Ms. McLachlan that the range of appropriate non-pecuniary damages is between $7,500 and $12,000 whereas the range suggested by counsel for Mr. Hamon was between zero dollars and $2,000. I am satisfied that the ranges suggested by both counsel are unrealistic. Taking into account the injuries, the duration of the injuries, and the effect of those injuries on Ms. McLachlan, I am satisfied that non-pecuniary damages of the plaintiff for this accident should be set at $3,500. Ms. McLachlan will also be entitled to any out-of-pocket expenses incurred as a result of the accident. The parties will be at liberty to make further submissions regarding what costs should be available to Ms. McLachlan as a result of the January 6, 1993 accident and action number B950054.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is noted above, there were contradictions in the testimony of Ms. McLachlan and in the medical-legal reports tendered on her behalf as to whether all the pain and suffering resulting from the January 6, 1993 accident had disappeared by the time of the September 6, 1994 accident. At her November 9, 2000 discovery, Ms. McLachlan stated: "... I started to do better and then I got in another accident and went downhill again" but that the neck and upper back injuries in the first accident "never went away". I'm not prepared to make that finding. As noted above, I am satisfied that the pain and suffering form the first accident had ended long before the second accident on September 6, 1994, some 20 months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EDUCATION, WORK AND PREVIOUS INJURIES OF MS.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McLachlan graduated from high school in 1974 and commenced employment with B.C. Telephone Company as a directory assistance operator in 1975. She worked in various capacities for that company until she left work in July, 1985 so that she could become a full-time homemaker at the time of her first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McLachlan had experienced a number of previous injuries. In 1977, she was injured in a motorcycle accident and her left upper thigh was punctured by the handlebar of the motorcycle. In 1978, she injured her low back area at work. In 1982, she was injured in a minor motor vehicle accident. In June, 1984, she suffered a right foot injury at work which required her to use crutches for a number of weeks. The use of crutches caused associated back pain. In September, 1988, Ms. McLachlan was treated by her doctor for "right knee strain" after she reported that she "felt something pop" out on the lateral aspect of the right knee while sitting on a couch.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McLachlan has suffered from migraine headaches for a number of years. The first notation of that problem was in the May 1, 1989 clinical records of her family physician. In 1989, Ms. McLachlan indicated to her family physician that she had been having migraine headaches for the previous eight years, that they occur at least once a month "often associated with her period", and that they were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McLachlan was seen by a neurologist in August, 1990 who recorded the following pattern of headaches: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had headaches for about ten years, these are currently occurring about three weeks and she estimates that she has a headache, on average, 15 days of the month. The headaches are quite stereo-typed and always being with a slight ear ache and a sensation behind her eye as if someone is drilling her skull. The pain usually begins on the right side although it occasionally has been left-sided. With time it spreads to encompass more of the head. She is nauseated and may vomit. These headaches are mostly associated with her periods, occurring either just before or just after them. They may also occur in the let down period following a period of stress. Tylenol 3 is somewhat successful but she has to take two tablets every four hours for the entire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medical records of the family physician also indicate a record of "marriage problems" as early as February, 1990. In her April 28, 1992 clinical notes, the family physician states: "Severe stress - wants divorce ... no communication with Craig (her husband); doesn't care to try to reconcile. Migraine today. Life a mess." Ms. McLachlan is now separated from Craig Murray McLachlan and it is anticipated that a Divorce Order will shortly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SEPTEMBER 6, 1994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against this background of previous injuries, work history, medical history and matrimonial situation that the September 6, 1994 accident must be 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McLachlan was accompanying her daughters on what she described as a "mini-safety session" which she undertook to show them the safest way of using their bicycles to get to school. I find that Ms. Schieck was proceeding on a green light through the intersection and that Ms. McLachlan and her two daughters were in a marked crosswalk and that the "walk sign" in favour of Ms. McLachlan was illuminated. I also find that the defendant drove her car through the crosswalk without regard for the safety of Ms. McLachlan and her two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liability was admitted, Ms. Schieck will be liable for any injuries which were caused by any contact between her vehicle and Ms. McLachlan or any contact which her vehicle had with the bicycle of Ms. McLachlan which caused the bicycle to come into contact with Ms. McLachlan, or any injuries which were caused when Ms. McLachlan took evasive measures to avoid contact between herself or her bicycle with the vehicle of Ms. Schieck.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considerable disparity between the various descriptions of what happened that day. At trial, Ms. McLachlan stated that she saw the car coming, that she turned her body away from the car, that one of the tires of the defendant's car drove over her foot, that the car dragged her and her bicycle and that the vehicle then proceeded down the street. She stated: "I went over with my bike and was on the ground." "I know my foot was wedged or struck under the tire and I had to get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her March 25, 1999 discovery, Ms. McLachlan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hit my bike and she took my leg and the bike tire under her wheel and dragged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leg went under the wheel?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foot.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foot went under the wheel?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did my bike.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your foot went under the wheel of the car?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foot was run over?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dragged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did your foot go under the tire or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managed to pull it out even though the tire was on your foot?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what you're describing, ma'am, and let's make it clear, from what you're describing it appears that the car's tire almost ran over your foot and you pulled it away before it got run over. Is that what you're describing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anything else happen?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bike went down, everything was pretty quick.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fall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holding on to the handlebars of my bike, I went over, I must have hit something. I actually can't tell you what I hit.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Ma'am, did you fall down?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went down,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fell down on the road?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Did you hit anything as you fell down?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what I hit or if I hit.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 bike got run over by the car? Yes, no maybe?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wheel was dragged a bit by the car. The wheel was - part of my foot on the tire and the bike and the wheel of her car. So that end of my bike went.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actual bike didn't get run over by her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you're saying is that the bike got pushed over by the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didn't fall down, though,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on the ground. The lady ran over to help me get off the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caused you to be on the ground?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Her car.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Her car pushed you on to the 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no, no, her car didn't actually push me. I was holding on to my bike so it would have taken the bike and taken me with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her car pushed your bike over and you went over with your bike?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fall under your bike?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believe so. I went on the right-hand side of my bike.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Reports in the various clinical notes and medical-legal reports of advisors also vary regarding what I will refer to as the "mechanics" of what occurred: (a) "She had her left foot dragged underneath the bike wheel and both the foot and bike wheel were dragged underneath the wheel of the car." (January 19, 1995 letter of Ms. Lebrun), (b) "... when apparently a car came striking the rear wheel, knocking the bike down with her foot getting trapped under the bike and her twisting her knee. She feels she didn't actually fall and strike the ground, but her knees may have struck the bike frame." (January 27, 1995 letter of Dr. Sabiston); (c) "... a car ran over her left foot." "She believes she was dragged perhaps a couple of feet ..." (December 28, 1994 letter of Dr. C.A. Grafton; (d) "... she was hit by a car." (May 17, 2000 letter of Dr. leNobel); (e) "... hit by car - foot caught under tire." (July 10, 1995 report to I.C.B.C. of Dr. Donnelly); (f) "... a car struck the bike wheel, and also her foot, with the wheel going up over her left foot. Terry McLachlan was dragged perhaps a couple of feet ...". (October 17, 2000 medical-legal opinion of Dr. leNobel); and (g) "She said that a car made a right turn and hit 'my bike and my foot (left)and somehow dragged me under her wheel for a ways ..." (September 29, 1999 medical-legal report of Dr. Fenton).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Ms. McLachlan told her various advisors and Dr. Fenton that which is set out above and that all of them have accurately recorded what they were told by Ms. McLachlan. Despite these discrepancies, the notations made in the records of the Lions Gate Hospital on the same day are consistent with what Ms. McLachlan states in her testimony as what occurred on September 6, 1994: "had car drive over foot - pulled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evidence was the shoe that Ms. McLachlan says she was wearing that day. The shoe showed substantial damage. I find that this was the shoe that Ms. McLachlan was wearing that day. After viewing the shoe, after the reviewing the evidence of what she has told various advisors over the years, and after hearing her testimony, I find that the damage to the shoe was caused by contact between the shoe and one of the tires of the vehicle of Ms. Schieck.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Regarding the "mechanics" of what happened that day, it is not surprising that the recollection of Ms. McLachlan would not be exact and that understanding of the "mechanics" of the accident would be vague. At trial, Ms. McLachlan was doing her best to attempt to reconstruct the "mechanics" of the accident. I found her to be a credible and conscientious witness. I have no hesitation in concluding that Ms. McLachlan would be paying less attention to what was happening to herself and that she would have been concentrating on trying to avoid being in contact with the car. Also in evidence was a photograph of the side of the vehicle of Ms. Schieck. A large mark on the door of the vehicle allows me to conclude that the vehicle of Ms. Schieck came into contact with the bicycle being pushed by Ms.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basis of what was recorded on September 6, 1994 and subsequently, the testimony of Ms. McLachlan at trial and the other evidence, I find that the vehicle of Ms. Schieck came into contact with the bicycle of Ms. McLachlan, one of the tires of Ms. Schieck's vehicle came into contact with the shoe of Ms. McLachlan and that, either as a result of evasive measures or the fact that her bicycle was hit by the vehicle driven by Ms. Schiek, Ms. McLachlan twisted and either was off balance so that she fell to the ground or was struck by the bicycle so that she fell to the ground. Accordingly, the issue which then arises is what injuries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 THAT MS. McLACHLAN ALLEGES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problem which Ms. McLachlan associates with this accident have also been variously described in the records maintained by her medical and other advisors: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knee joints are normal. There is an irregular aclerotic area in the distal left femoral shaft, most probably a bone island." (October 13, 1994 x-ray report from Lions Gate Hospital);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complaining of knee pain anteriorly. The feet she states are somewhat better. She claims that her knees are getting worse. She is also complaining of low back pain and pain the left sacroiliac joint. She did state that she sustained marked abduction and divarication of this lower extremity." "There is no effusion in the area of the knee joints and there is some resistance to examination for fear of anticipating pain." I did not find any abnormalities or restriction of movements. Radiographs are negative. I have arranged a bone scan." (November 4, 1994 report of Dr. Preto, Orthopaedic Surgeon);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significant bony abnormality is seen. An irregular area of calcification in the distal third of the shaft of the femur was present at the previous examination of October 13/94 and is unchanged. It most likely represents a bone island or an enchrondrome." (December 8, 1994 x-ray report of Dr. Twohig);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complaints of low back pain, upper extremity and lower extremity pains. On clinical examination she was found to have no abnormalities other than tenderness over the distal femur on the left side. There are no areas of swelling, heat or redness locally. There are no palpable regional lymph nodes. Examination of both knees is normal with a full range of movement. ... A bone scan reveals an increased uptake in the area of the left distal femur in the area of a 4 x 2 cm. Area of sclerosis which appears to be intramedullary. There are punctuate radiolucent areas within this lesion on the plain films. ... (December 15, 1994 report letter of Dr. Preto);</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presented to the Lions Gate Hospital complaining of pain in her foot and also ankle problems. Her left knee became sore somewhat later."; Specifically in regards to the knees, she can walk 1/2 hour before her knees get sore. She tried to skate but after that had difficulty walking for several days. She also has pain at rest and a locking sensation. She does not describe swelling or grinding in the knees." (January 26, 1995 report letter from Dr. Sabiston);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that she injured her left ankle and complained of knee and low back pain. Later in the day she complained of triggering of pain from the first MVA." (January 5, 1996 letter from Dr. Yasin, Physical Medicine and Rehabilitation Specialist);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examination today, she does have pain aggravation with extension of her lumbar spine, and she is tender over the left facet joints in the region of her pain." (January 13, 2000 letter from Dr. leNobel);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however, very sore, has low back and buttock pain, generally worse on the left side. There is some radiation to the left greater trochanter. The pain is definitely worse with lumbar extension." (March 17, 2000 letter from Dr. leNobel).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most current assessment of the long-term effects of the accident as set out by one of Ms. McLachlan's advisors is contained in the October 17, 2000 medical-legal opinion of Dr. leNobel: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soft tissue injuries to the cervical spine, with referred pain to the shoulder girdles, to the upper thoracic spine, and to the had (cervicogenic headaches). I believe, based on the restriction of movement in her neck, that Teri McLachlan has had development of post traumatic degenerative changes in the cervical spine. X-rays which I have requested today will help determine the extent of such post traumatic degenerative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Teri McLachlan has had soft tissue injuries to the lumbar spine, and development of degenerative changes in the lower lumbar spine. She has referred pain from these areas, to the pelvis and hips. She has had an injury to her left knee, and has evidence today of patellofemoral pain in the left knee and right knee. She has pains in her feet, due I believe to referred pain from the lower lumbar spine. She has some degree of muscle deconditioning, with loss of muscle strength and endurance, due to restriction of activities subsequent to the motor vehicle accident. She has had problems with depression, contributed to, at least in part, by her ongoing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persistence of her symptoms, and the long duration and severity of her symptoms, I think that the prognosis for symptom resolution and functional improvement is guarded. I believe that Teri McLachlan's ongoing symptoms are on account of injuries from the motor vehicle accidents as described. I believe that her inability to work is on account of injuries from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opinion is not shared by Dr. Fenton. At the request of the defendants, Ms. McLachlan was seen by Dr. Fenton on September 21, 1999. It was the conclusion of Dr. Fenton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this lady has some subjective symptoms but at the present time apart from some mild retropatellar crepitus in both knees she has no objective findings on examination of the musculosketal and peripheral nervous systems and there are some non-organic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Fenton accepted that Ms. McLachlan had "subjective symptoms" but was of the opinion that: "... the patellofemoral symptoms need [not] preclude her from carrying out her normal activities." He would not put any restrictions on "... her work or recreational activities." Regarding the opinion of Dr. Fenton, I note in particular the following comments made by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useful however to review the medical records and the x-rays and I might have to provide a further follow-up report when I have done this. At this time however I do not believe Ms. McLachlan will have any long term disability as a result of these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report is based entirely on the patient's history as it was given to me by the patient, and on the findings at physical examination which was carried out following taking of the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leNobel has only been treating Ms. McLachlan since August 30, 1999. However, I find his diagnosis to be consistent with the previous diagnoses of previous treating physicians and referral medical advisors. I substantially discount the opinion of Dr. Fenton as he did not have the benefit of the medical records and the x-rays when he provided his opinion as he was able to spend less than an hour with Ms. McLachlan on September 21, 1999. I adopt the prognosis of Dr. leNobel: "The prognosis for symptom resolution and functional improvement is guarded." I accept the assessment of the long term effects of the accident as well as the likelihood of recovery as set out in the October 17, 2000 medical-legal opinion of Dr. leNobel. I am satisfied that this opinion is consistent with the descriptions that Ms. McLachlan had provided immediately after the accident and since the accident and that the soft tissue injuries to the cervical spine and to the lumbar spine as described by Dr. leNobel accurately describes the injuries flowing from the September 6, 1994 accident. However, I am satisfied that Ms. McLachlan has not proven on a balance of probabilities that the "irregular area of calcification in the distal third of the shaft of the femur" which was revealed in the October 13, 1994 x-ray was caused by or has been exacerbated by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CASE AUTHORITIES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Dealing first with the question of non-pecuniary damages, I find that the plaintiff has proven on a balance of probabilities that she continues to be disabled as a result this accident and that her prognosis for recovery is "guarded" at best. The range of damages provided by counsel for Ms. Schieck was $5,000 to $15,000. The counsel for Ms. McLachlan relied on the following previous decisions in his submissions that damages in the range of $65,000 and $75,000 were appropriate: Nichols et al v. Dillabough, </w:t>
      </w:r>
      <w:hyperlink r:id="rId21" w:history="1">
        <w:r>
          <w:rPr>
            <w:rFonts w:ascii="arial" w:eastAsia="arial" w:hAnsi="arial" w:cs="arial"/>
            <w:i/>
            <w:color w:val="0077CC"/>
            <w:sz w:val="20"/>
            <w:u w:val="single"/>
            <w:shd w:val="clear" w:color="auto" w:fill="FFFFFF"/>
            <w:lang w:val="en-US" w:eastAsia="en-US" w:bidi="ar-SA"/>
          </w:rPr>
          <w:t>[1995] B.C.J. No. 199</w:t>
        </w:r>
      </w:hyperlink>
      <w:r>
        <w:rPr>
          <w:rFonts w:ascii="arial" w:eastAsia="arial" w:hAnsi="arial" w:cs="arial"/>
          <w:color w:val="000000"/>
          <w:sz w:val="20"/>
          <w:lang w:val="en-US" w:eastAsia="en-US" w:bidi="ar-SA"/>
        </w:rPr>
        <w:t xml:space="preserve"> (B.C.S.C.) ($50,000); Coutu v. Rowe, </w:t>
      </w:r>
      <w:hyperlink r:id="rId22" w:history="1">
        <w:r>
          <w:rPr>
            <w:rFonts w:ascii="arial" w:eastAsia="arial" w:hAnsi="arial" w:cs="arial"/>
            <w:i/>
            <w:color w:val="0077CC"/>
            <w:sz w:val="20"/>
            <w:u w:val="single"/>
            <w:shd w:val="clear" w:color="auto" w:fill="FFFFFF"/>
            <w:lang w:val="en-US" w:eastAsia="en-US" w:bidi="ar-SA"/>
          </w:rPr>
          <w:t>[1996] B.C.J. No. 1781</w:t>
        </w:r>
      </w:hyperlink>
      <w:r>
        <w:rPr>
          <w:rFonts w:ascii="arial" w:eastAsia="arial" w:hAnsi="arial" w:cs="arial"/>
          <w:color w:val="000000"/>
          <w:sz w:val="20"/>
          <w:lang w:val="en-US" w:eastAsia="en-US" w:bidi="ar-SA"/>
        </w:rPr>
        <w:t xml:space="preserve"> (B.C.S.C.) ($75,000); Liu v. Hansen, </w:t>
      </w:r>
      <w:hyperlink r:id="rId23" w:history="1">
        <w:r>
          <w:rPr>
            <w:rFonts w:ascii="arial" w:eastAsia="arial" w:hAnsi="arial" w:cs="arial"/>
            <w:i/>
            <w:color w:val="0077CC"/>
            <w:sz w:val="20"/>
            <w:u w:val="single"/>
            <w:shd w:val="clear" w:color="auto" w:fill="FFFFFF"/>
            <w:lang w:val="en-US" w:eastAsia="en-US" w:bidi="ar-SA"/>
          </w:rPr>
          <w:t>[1996] B.C.J. No. 591</w:t>
        </w:r>
      </w:hyperlink>
      <w:r>
        <w:rPr>
          <w:rFonts w:ascii="arial" w:eastAsia="arial" w:hAnsi="arial" w:cs="arial"/>
          <w:color w:val="000000"/>
          <w:sz w:val="20"/>
          <w:lang w:val="en-US" w:eastAsia="en-US" w:bidi="ar-SA"/>
        </w:rPr>
        <w:t xml:space="preserve"> (B.C.S.C.) ($100,000); Anson v. Karoway </w:t>
      </w:r>
      <w:hyperlink r:id="rId24" w:history="1">
        <w:r>
          <w:rPr>
            <w:rFonts w:ascii="arial" w:eastAsia="arial" w:hAnsi="arial" w:cs="arial"/>
            <w:i/>
            <w:color w:val="0077CC"/>
            <w:sz w:val="20"/>
            <w:u w:val="single"/>
            <w:shd w:val="clear" w:color="auto" w:fill="FFFFFF"/>
            <w:lang w:val="en-US" w:eastAsia="en-US" w:bidi="ar-SA"/>
          </w:rPr>
          <w:t>(1997), 52 B.C.L.R. (3d) 8</w:t>
        </w:r>
      </w:hyperlink>
      <w:r>
        <w:rPr>
          <w:rFonts w:ascii="arial" w:eastAsia="arial" w:hAnsi="arial" w:cs="arial"/>
          <w:color w:val="000000"/>
          <w:sz w:val="20"/>
          <w:lang w:val="en-US" w:eastAsia="en-US" w:bidi="ar-SA"/>
        </w:rPr>
        <w:t xml:space="preserve"> (B.C.S.C.) ($105,000); Stephenson v. Tabobo, </w:t>
      </w:r>
      <w:hyperlink r:id="rId25" w:history="1">
        <w:r>
          <w:rPr>
            <w:rFonts w:ascii="arial" w:eastAsia="arial" w:hAnsi="arial" w:cs="arial"/>
            <w:i/>
            <w:color w:val="0077CC"/>
            <w:sz w:val="20"/>
            <w:u w:val="single"/>
            <w:shd w:val="clear" w:color="auto" w:fill="FFFFFF"/>
            <w:lang w:val="en-US" w:eastAsia="en-US" w:bidi="ar-SA"/>
          </w:rPr>
          <w:t>[1999] B.C.J. No. 106</w:t>
        </w:r>
      </w:hyperlink>
      <w:r>
        <w:rPr>
          <w:rFonts w:ascii="arial" w:eastAsia="arial" w:hAnsi="arial" w:cs="arial"/>
          <w:color w:val="000000"/>
          <w:sz w:val="20"/>
          <w:lang w:val="en-US" w:eastAsia="en-US" w:bidi="ar-SA"/>
        </w:rPr>
        <w:t xml:space="preserve"> (B.C.S.C.) ($50,000); and Brown v. Ryan, </w:t>
      </w:r>
      <w:hyperlink r:id="rId26" w:history="1">
        <w:r>
          <w:rPr>
            <w:rFonts w:ascii="arial" w:eastAsia="arial" w:hAnsi="arial" w:cs="arial"/>
            <w:i/>
            <w:color w:val="0077CC"/>
            <w:sz w:val="20"/>
            <w:u w:val="single"/>
            <w:shd w:val="clear" w:color="auto" w:fill="FFFFFF"/>
            <w:lang w:val="en-US" w:eastAsia="en-US" w:bidi="ar-SA"/>
          </w:rPr>
          <w:t>2000 BCSC 680</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[2000] B.C.J. No. 897</w:t>
        </w:r>
      </w:hyperlink>
      <w:r>
        <w:rPr>
          <w:rFonts w:ascii="arial" w:eastAsia="arial" w:hAnsi="arial" w:cs="arial"/>
          <w:color w:val="000000"/>
          <w:sz w:val="20"/>
          <w:lang w:val="en-US" w:eastAsia="en-US" w:bidi="ar-SA"/>
        </w:rPr>
        <w:t xml:space="preserve">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the soft tissue injuries to the cervical spine and the lumbar spine and the injury to the left knee of Ms. McLachlan have caused her pain which continues to the date of trial. I also find that she proven on the balance of probabilities that this pain is likely to be felt by her in the future. I further find that the pain and suffering caused by the injuries would have been felt by most people who experienced such injuries even though I am satisfied that some of the pain and suffering was more severe as a result of the pre-existing conditions that were present. I find that many of the pre-accident recreational and athletic activities are no longer available to Ms.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Athey v. Leonati </w:t>
      </w:r>
      <w:hyperlink r:id="rId27"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the Supreme Court of Canada made it clear that it was not necessary for a plaintiff such as Ms. McLachlan to establish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defendant was the sole cause of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 as long as the defendant is part of the cause of the injury, the defendant is liable, even though his act alone was not enough to create the injury. There is no basis for a reduction of liability because of the existence of other preconditions: defendants remain liable for all damages caused or contributed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p.239)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Ms. McLachlan has shown on a balance of probabilities that her continuing complaints are of a convincing nature and that she has overcome the improbability that her pain continued beyond the normal recovery period. On the basis of the following portion of the October 2, 2000 medical-legal opinion of Dr. Hayward, I am prepared to conclude that the risk of osteoarthritis has been increased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this patient will be at increased risk of developing osteoarthritis in the affected joints as compared to her risk if she not been in the above mentioned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Taking into account all of the circumstances, I am satisfied that damages of $45,000 should be available to Ms. McLachlan for her pain and suffering arising out of the September 4, 1994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October 17, 2000 medical-legal opinion, Dr. leNobel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it would be appropriate for Teri McLachlan to be enrolled in a multi-disciplinary pain clinic. I think that it would be reasonable to allow a period of 8 to 12 weeks in such a multi- disciplinary pain clinic. I think that there is hope that such an attendance could be helpful in lessening her symptoms, and helpful in improving her level of function. That said, given the severity and duration of her symptoms, I would not anticipate complete resolution, through such an approach. It is also important to note that physiotherapy and massage therapy have been helpful to Teri McLachlan, and I believe that such measures should be components of such a multi-disciplinary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cost of the multi-disciplinary pain clinic treatment recommended by Dr. leNobel was set out in Exhibits 4 and 5. The Thorsen Health Centre estimate of a five to eight week and four to six hours per day program at $7,995.00. The case manager stated the nature of the program: "Through active rehabilitation/kinesiology physiotherapy, chiropractic therapy, manual therapy, personal and vocational counselling, pain education group, stress management, biofeedback and nutritional awareness we endeavour the restore the patient's function to a level where normal job and home life can resume." The cost of a similar program at Columbia Rehabilitation Centre (B.C.) Inc. was $1,400 for an "Interdisciplinary Assessment) and $350 per day based on six hours per day, five days per week with an average program duration of 25 days and a maximum duration of 30 days. The program was described as providing: "... goal directed, interdisciplinary rehabilitation services to help clients manage and reduce pain, restore function to occupational readiness and achieve safe, durable, vocational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Ms. Schieck submits that there is no reason to suggest that such a multi-disciplinary pain clinic will assist Ms. McLachlan. I prefer to rely on the recommendations of Dr. leNobel and on the recommendations of Dr. Hayward who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it is important that she be encouraged to engage in regular exercise as this has been beneficial to her in the recent past. She may also benefit from referral to a pain clinic such as the Thorsen Pain Clinic or the Columbia Pain Clinic. (in his October 2, 2000 medical-legal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Ms. McLachlan has proven on a balance of probabilities that enrolment at a multi-disciplinary pain clinic is required treatment. Accordingly, the sum of $11,900 is set out as the sum which will be available to Ms. McLachlan to attend the Columbia Rehabilitation Centre (B.C.) Inc. including interdisciplinary assessment plus a program of maximum duration. There is nothing before me to suggest that Ms. McLachlan will not undertake that program immediately and, accordingly, that sum for future care costs will not be discounted.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amount that should be awarded, if any, for past and future wage loss is a difficult question as Ms. McLachlan was not working at the time of the September 6, 1994 accident, as I am not satisfied that there was convincing evidence that she had an intention to return to work in 1994, and as I am not satisfied that she has mitigated her damages since 1994. The medical advisors of Ms. McLachlan are consistent in their opinions about whether Ms. McLachlan is in a position to return to work. The October 2, 2000 medical-legal opinion of Dr. Hayward is indicative: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is currently totally disabled with respect to these injuries and is unable to work. She has not been able to return to her job at BC Tel. The main pre-existing condition prior to these accidents was migraine headaches. The soft tissue injuries probably aggravated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prognosis of Dr. Fenton in his September 21, 1999 opinion is more optimistic: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might have been reasonable for her to have been away from work had she been working for six to eight weeks following the first accident and perhaps the same length of time following the second accident. I do not think there is any real need for her to have been away from her work at B.C. Tel. Should she have been employed with them following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presented on behalf of Ms. McLachlan that, but for the accident on September 6, 1994, she would have returned to work was not convincing. During her November 9, 2000 discovery, Ms. McLachlan agreed that the technology had changed at her former employer since 1985, that she did not inquiried as to the cost of day care and that it was not "planned" that her husband would be in a position to stay home and take care of the children while she worked. She stated that either girlfriends or people in the area might be in a position to provide after school care. Regarding seeking work, she stated that in 1994: "I was going back to work because of the family situation." "I was seriously considering it, I knew it [separation from her husband] was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trial, Ms. McLachlan stated in her direct examination that she had a long time friend in Tracy Peterson, that they had worked together at B.C. Telephone Company, that she kept in touch with Ms. Peterson to advise her from time to time about the "postings" that might be available. Ms. McLachlan testified that before the September 6, 1994 accident Ms. Peterson phoned her to advise that B.C. Telephone Company was hiring at the North Vancouver office, that Ms. Peterson brought her an application form, that "nothing happened with it" because Ms. McLachlan was preparing her two children for grades two and four at school and that, because the accident occurred on the first day of school, she did not take the opportunity of later submitting the application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her March 25, 1999 discovery, Ms. McLachlan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were you planning to return to work?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wanted to go back in 1996.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steps had you made to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a lot of contacts with B.C. Tel employees, I had applications brought home to me, I had one girl watching all the job postings.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is it you weren't able to return to work in '96?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wasn't ready with my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steps have you made to find work now or are you still disabled?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still disabled.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cross-examination at trial, that statement was read to Ms. McLachlan and she stated: "I was desperate in 1996. I was ready in 1994. By 1995 or 1996 the abuse in front of the children - I was desperate to get them out of that situation." She stated that a return to work was "an opportunity in 1994" but that she was "desperate in 1996". She confirmed that the salary would have been approximately $30,000 a year during that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Under cross-examination, Ms. McLachlan was vague on whether age 60 or age 65 was the retirement age: "I don't expect wage loss until age 65." She also agreed that no work evaluation had ever been done and no evaluation had been done about what marketable skills she might offer. She also described computer training as "not what I want to do but would give me flexibility." She described the inquiries about jobs that might be available for someone of her abilities as watching "want ads." She confirmed that she not phoned potential employers to advise them about the kind of job that she could do with the disabilities that she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Dealing with the claim for past loss of income, I am satisfied that Ms. McLachlan has not proven on a balance of probabilities that re-employment would have occurred but for the September 6, 1994 accident. I cannot be satisfied that there is a real possibility that she would have sought or would have obtained employment during 1994 or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took no steps before or after the accident to deal with the application form which was provided to her by Ms. Peterson. Despite the fact that Ms. Peterson testified that it would take 20 or 30 minutes to fill out the application and that Ms. McLachlan had told her that Ms. McLachlan was "very excited about possibility", no steps were taken by Ms. McLachlan between when she got the application and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evidence that Ms. McLachlan made any serious attempt to find employment, to take the usual steps that one would usually associate with improving skills and education to become more marketable, to make arrangements for day care, to respond to employment opportunities, to prepare a resume, or to apply for any full-time or part-time positions either in the home or outside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the wages she might have earned if she had returned to work in 1994 would have ranged between approximately $36,000 a year and $47,000 a year, I am satisfied that there was no possibility that she would have earned such income between September 6, 1994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Associated Economic Consultants Ltd. were asked to provide a calculation of future wage loss. The values they created were calculated using an annual discount rate of 2.5%, the rate required by regulation in B.C. in matters pertaining to future loss employment earnings. The calculations were from January 15, 2000 (the trial date) to Ms. McLachlan's 65th birthday to January 28, 2022.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net present value of an annual sum of $1,000 from the trial date to her 65th birthday is calculated to be $15,933. Based on a constant annual salary of $40,000, the present value of her future wage loss was calculated to be $637,320. In his submissions, counsel for Ms. McLachlan indicated that he did not make the submission that Ms. McLachlan was "entitled to anything remotely like $637,320."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Brown v. Golaiy </w:t>
      </w:r>
      <w:hyperlink r:id="rId2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(B.C.S.C.), the court stated that some of the considerations to take into account in making an assessment of future income losses include whether: (a) The plaintiff has been rendered less capable overall from earning income from all types of employment; (b) The plaintiff is less marketable or attractive as an employee to potential employers; (c) The plaintiff has lost the ability to take advantage of all job opportunities which might otherwise have been open to him, ha he not been injured; and (d)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am also mindful that there was a duty on Ms. McLachlan to mitigate her damages. In Parypa v. Wickware, </w:t>
      </w:r>
      <w:hyperlink r:id="rId29"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(B.C.C.A.),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calculating such likelihoods, the plaintiff is not entitled to compensation based solely on the type of work she was performing at the time of the accident. There is a duty on the plaintiff to mitigate her damages by seeking, if at all possible, a line of work that can be pursued in spite of her injuries. If the plaintiff is unqualified for such work, then she is required, within the limits of her abilities, to pursue education or training that would qualify her for such work. If the plaintiff claims she is not able to mitigate by pursuing other lines of work or by retraining, she must prove this on a balance of probabilities.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satisfied that Ms. McLachlan has proven on a balance of probabilities that her ability to earn future income has been diminished. I find that there is greater than a "real possibility" that future loss will occur. However, the calculations of Associated Economic Consultants Ltd. are based on a certainty which I cannot find in this case. While counsel for Ms. McLachlan submits that a discount of 50% is in order and while counsel for Ms. Schieck indicates that there should be no award for loss of future earning capacity, I am satisfied that it is more appropriate to set the likelihood of future wage loss at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this percentage fairly represents an accurate reduction to take into account that Ms. McLachlan may never seek work (whether or not she fully recovers), that she would not work until the age of 65, that employment at her previous employer would not be available, that changes in the nature of the work available would prove Ms. McLachlan's skills obsolete and that she would not seek work until her children have graduated from high school. It also takes not account that Ms. McLachlan continues to fail to mitigate her damages by not attempting to upgrade her skills, obtain new skills through education and training or to seek any employment. Using the constant annual sum of $40,000 from the trial date to when Ms. McLachlan will be age 65 at a net present value of $15,933 for each $1,000 and after applying the substantial discount that I find to be appropriate in the circumstances, the award made for loss of future earning capacity is $63,732.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Out-of-pocket expenses totalling $1,240.46 are set out in Exhibit 6. I find that Ms. McLachlan has proven on a balance of probabilities both the amount and the fact that the expenditures noted arose as a consequence of the accident. Accordingly, Ms. McLachlan is entitled to the sum of $,1240.46 for those out-of-pocket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following summarizes the amounts awarded to Ms.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437"/>
        <w:gridCol w:w="167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 - first accident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w:t>
            </w:r>
          </w:p>
        </w:tc>
        <w:tc>
          <w:tcPr>
            <w:tcW w:w="19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 - second accident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313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324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Wage Loss</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$63.732.00</w:t>
            </w:r>
          </w:p>
        </w:tc>
        <w:tc>
          <w:tcPr>
            <w:tcW w:w="19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$1,240.46</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1149"/>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$125,372.66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parties will be liberty to make further submissions regarding what costs should be available to Ms. McLachlan as a result of the September 6, 1994 accident and Action No. B964143.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 w:history="1">
        <w:r>
          <w:rPr>
            <w:rFonts w:ascii="arial" w:eastAsia="arial" w:hAnsi="arial" w:cs="arial"/>
            <w:b/>
            <w:bCs/>
            <w:i/>
            <w:color w:val="0077CC"/>
            <w:kern w:val="32"/>
            <w:sz w:val="28"/>
            <w:szCs w:val="32"/>
            <w:u w:val="single"/>
            <w:shd w:val="clear" w:color="auto" w:fill="FFFFFF"/>
            <w:lang w:val="en-US" w:eastAsia="en-US" w:bidi="ar-SA"/>
          </w:rPr>
          <w:t>Middelaer v. Berner, [2012] B.C.J. No. 2051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M092249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2051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2012 BCSC 1472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Daphne Middelaer, Plaintiff, and Carol Ann Berner,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Civil litigation — Civil procedure — Parties — Adding or substituting — After expiry of limitation period — Application by the plaintiff Middelaer to add the Corporation of Delta as a defendant allowed — Middelaer was seeking damages in relation to a motor vehicle accident — The defendant Berner's vehicle struck Middelaer and her niece as they stood beside a road, killing Middelaer's niece — Speed bump spacing was a possible cause of the accident — Delta was responsible for the design and maintenance of the speed bumps but the limitation period had expired — The delay was caused by solicitor inadvertence or an honest error and Delta had not lost its ability to defend itself.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and against — Actions against municipality — Bringing action — Limitation period — Application by the plaintiff Middelaer to add the Corporation of Delta as a defendant allowed — Middelaer was seeking damages in relation to a motor vehicle accident — The defendant Berner's vehicle struck Middelaer and her niece as they stood beside a road, killing Middelaer's niece — Speed bump spacing was a possible cause of the accident — Delta was responsible for the design and maintenance of the speed bumps but the limitation period had expired — The delay was caused by solicitor inadvertence or an honest error and Delta had not lost its ability to defend itself.</w:t>
      </w:r>
    </w:p>
    <w:p>
      <w:pPr>
        <w:jc w:val="both"/>
        <w:rPr>
          <w:rFonts w:ascii="arial" w:eastAsia="arial" w:hAnsi="arial" w:cs="arial"/>
          <w:sz w:val="20"/>
          <w:lang w:val="en-US" w:eastAsia="en-US" w:bidi="ar-SA"/>
        </w:rPr>
      </w:pPr>
      <w:bookmarkStart w:id="15" w:name="Legislation Cited_1"/>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CHAPTER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(Vehicle) Regulation, B.C. Regulation 447/83, s.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3(2)(a),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CHAPTER 323, s.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6-2(7)(b)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No counsel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Municipality of Delta: L.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Insurance Corporation of British Columbia: R. Deering.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R.W. JENKINS J."/>
            <w:bookmarkEnd w:id="18"/>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arising from a motor vehicle accident which occurred on May 17, 2008 in Delta, B.C. (the "Accident"). This application is to add the Corporation of Delta ("Delta") as a defendant in this action and for leave to file an amended notice of civil claim which will include the allegations against Delta. This matter is contested by Delta as the application to add Delta is being brought outside the limitation period within which an action can be commenced against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never appeared to this action and has not retained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Party, The Insurance Corporation of British Columbia ("ICBC") takes no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17, 2008, near the 4400 block of 64th Street in Delta, B.C., the plaintiff and her four year old niece, Alexa, were standing in a grassy area adjacent to 64th Street when they were struck by a vehicle driven by the defendant. The vehicle had allegedly veered off the road onto the grassy area, striking the plaintiff and also striking and tragically killing Alexa.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was commenced on May 8, 2009 by the plaintiff's former counsel claiming damages arising from the Accident and naming Ms. Berner as the sole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several other actions commenced which relate to the Accident and they are: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action has been commenced by John and Yvette Middelaer who are the parents of the plaintiff in this action, Daphne Middelaer. At the time of the Accident, John and Yvette Middelaer were seated in a car that had been parked by the plaintiff in an area adjacent to the grassy area near 64th Street. The car in which John and Yvette Middelaer were sitting was also struck by the defendant's vehicle.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Alexa's parents, Laurel Middelaer and Michael Middelaer have commenced an action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wherein Carol Berner, Daphne Middelaer and Delta have all been named as defendants.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Laurel and Michael Middelaer have also commenced separate actions. I am advised that Laurel and Michael Middelaer have separated since the date of the Accident. Daphne Middelaer, Carol Berner and Delta have all been named as defendants in the separate actions commenced by Laurel and Michael Middelaer.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in which only Carol Berner was originally named as a defendant, was commenced by previous counsel for Daphne Middelaer and the current counsel for Daphne Middelaer in this action was retained in August of 2009, after filing a Notice of Change of Solicitor on October 21,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Current counsel for Daphne Middelaer in this action is not counsel in any of the other three actions referred to above. Separate counsel is representing Daphne Middelaer in those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February 10, 2010, ICBC filed a third party notice denying insurance coverage to the defendant Berner under the terms of a plan of automobile insurance. Later, on April 22, 2010, ICBC filed a statement of defence of the third party in which ICBC denied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Berner.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Carol Berner was convicted of impaired driving causing death and several other charges arising from the Accident and in December 2010 was sentenced to two and one-half years incarceration as a result of the convictions.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December 6, 2010, ICBC filed an application for production of the file of the Delta Police Department relating to the Accident and an order for production was granted on December 16,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Plaintiff's current counsel has deposed that on June 15, 2012 the plaintiff provided her with a copy of a report of John Morall, PhD. dated February 25, 2012. Plaintiff's counsel learned that Dr. Morrall had been retained by counsel for Delta to provide an opinion with respect to the design and maintenance of that portion of 64th Street in Delta where the Accident occurred. Dr. Morrall's report opined on the design, installation and maintenance standards with respect to traffic calming on 64th Street. The report is twelve pages long and included opinions regarding the speed limit in the section of 64th Street at issue, the speed humps </w:t>
      </w:r>
      <w:r>
        <w:rPr>
          <w:rFonts w:ascii="arial" w:eastAsia="arial" w:hAnsi="arial" w:cs="arial"/>
          <w:i/>
          <w:color w:val="000000"/>
          <w:sz w:val="20"/>
          <w:lang w:val="en-US" w:eastAsia="en-US" w:bidi="ar-SA"/>
        </w:rPr>
        <w:t>in situ</w:t>
      </w:r>
      <w:r>
        <w:rPr>
          <w:rFonts w:ascii="arial" w:eastAsia="arial" w:hAnsi="arial" w:cs="arial"/>
          <w:color w:val="000000"/>
          <w:sz w:val="20"/>
          <w:lang w:val="en-US" w:eastAsia="en-US" w:bidi="ar-SA"/>
        </w:rPr>
        <w:t xml:space="preserve"> on 64th Street and whether or not they were the appropriate speed mitigation device for 64th Street. Included in the report is information on the size of the speed humps and their spacing.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June 19, 2012 the plaintiff provided her counsel in this action with a copy of the transcript of an examination for discovery of Mr. Fraser, a representative of Delta, conducted on May 3, 2012 in the actions commenced by Laurel and Michael Middelear. From reading that transcript plaintiff's counsel learned,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of concerns raised by residents of 64th Street prior to the installation of speed humps and that Delta's policy in the installation of speed humps would have had reference to what are commonly referred to as the TAC Guidelines published by the Transportation Association of Canada, which include the maintenance and signage of roadways including guidelines for notice of the presence of speed humps. Of particular significance were statements in the transcript regarding the significance of the appropriate spacing of speed humps.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27, 2012, counsel for ICBC delivered to counsel for the plaintiff the report of Jonathan Lawrence which was dated June 21, 2012. Mr. Lawrence is a mechanical engineer who is an expert in the field of accident reconstruction. At page 6 of Mr. Lawrence's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measurements of the speed humps at the accident location, they are collector street speed humps. According to the information quoted above, collector street speed humps with a 50 km/h design speed should be spaced 123 meters apart. The speed humps at the crash location were 10 meters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Lawrence concluded the speed humps were not in conformity with sections of the Canadian Guide to Traffic Calming; the significance of which is that in a vehicle travelling at 50 km/h, going over the humps would cause the vehicle to be more sensitive to any force applied to the steering wheel by the driver. The inevitable conclusion is that the spacing of the speed humps could have contributed to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the plaintiff deposed that it was after her review of the Lawrence Report, the examination for discovery of Mr. Fraser, and the Morall Report that she determined that Delta was a necessary defendant to the claim of the plaintiff. This application was filed on July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 second affidavit, counsel for the plaintiff stated: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advised by the Plaintiff and verily believe to be true, that in the companion actions that have been brought relating to the May 17, 2008 motor vehicle accident and in which the Plaintiff has been named a Defendant, the Corporation of Delta brought an application for summary dismissal. That application was heard on July 16 by Mr. Justice Leask and denied . . .</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to this my affidavit and marked as Exhibit "A" is a true copy of the report of Allen Swanson. I am advised by the Plaintiff and verily believe to be true that this report formed part of the materials that were relied on in resisting the application of the Corporation of Delta for summary dismissal.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report Mr. Swanson provides his opinion as to whether the spacing of the speed humps in the location of the motor vehicle accident was in accordance with the guidelines contained in the Canadian Guide to Neighbourhood Traffic Calming. The opinion was responsive to the opinion provided by Dr. Morall. Mr. Swanson concludes that the use of the dual speed bumps on this street is not in accordance with the guidelines and that their use may have contributed to the defendant losing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evidence before me that counsel for the plaintiff was aware, prior to receipt of the Morall report on June 15, 2012, followed by the reports of Mr. Lawrence and Mr. Swanson, of the issue of speed hump spacing as a possible cause of the Accident or that Delta was responsible for the design, maintenance and signage of the speed humps.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Delta argues that what is relevant is the knowledge of the plaintiff, rather than the plaintiff's lawyer, that the plaintiff had grounds to pursue a claim against Delta. Delta argues the plaintiff, being a defendant in three actions commenced as a result of the Accident, must have known that Delta was also a defendant in those actions. The presumption would be that the plaintiff in this action, Daphne Middelaer, on reading the pleadings in the other three actions, would have been aware of allegations against Delta that it was responsible for the design, construction and maintenance of the speed humps, among other duties, in connection with 64th Street. Also, Delta submits that the Morall report, a copy of the transcript of an examination for discovery of a representative of Delta, and information regarding the refusal by Mr. Justice Leask to dismiss a companion action against Delta had all been provided by the plaintiff to her counsel. Delta asserts that it can therefore be assumed that at some time previous, the plaintiff gained knowledge of a possible claim against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makes this application pursuant to Rule 6-2(7)(b)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limitation for the commencement of an action claiming damages was likely two years from the date the damages were sustained under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I say "likely" as it is possible that discoverability under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could extend the period beyond two years. In oral submissions plaintiff's counsel conceded that it would be a "fair finding" to conclude that this application was brought outside the limitation period; however, the plaintiff contends that the date of discovery, and therefore the date on which time began to run for the purposes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was not the date of the accident, but rather from some later date. I find that the statutory limitation period has expired, however, based on my finding below, it is not necessary to delve further into the issue of discoverability.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relies on two decisions of the British Columbia Court of Appeal, first,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xml:space="preserve">] and second, </w:t>
      </w:r>
      <w:r>
        <w:rPr>
          <w:rFonts w:ascii="arial" w:eastAsia="arial" w:hAnsi="arial" w:cs="arial"/>
          <w:i/>
          <w:color w:val="000000"/>
          <w:sz w:val="20"/>
          <w:lang w:val="en-US" w:eastAsia="en-US" w:bidi="ar-SA"/>
        </w:rPr>
        <w:t>Moldovan v. Republic Western Insurance Company</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2011 BCCA 418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Moldovan</w:t>
      </w:r>
      <w:r>
        <w:rPr>
          <w:rFonts w:ascii="arial" w:eastAsia="arial" w:hAnsi="arial" w:cs="arial"/>
          <w:color w:val="000000"/>
          <w:sz w:val="20"/>
          <w:lang w:val="en-US" w:eastAsia="en-US" w:bidi="ar-SA"/>
        </w:rPr>
        <w:t>] to support the assertion that the balance of justice and convenience favours the inclusion of Delta under Rule 6-2(7)(b).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xml:space="preserve"> Lambert, J.A. stated, at page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chambers judge noted that the limitation period had expired by the time when Bavaria was first added as a defendant, following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So he referred to and considered the guidelines in </w:t>
      </w:r>
      <w:r>
        <w:rPr>
          <w:rFonts w:ascii="arial" w:eastAsia="arial" w:hAnsi="arial" w:cs="arial"/>
          <w:i/>
          <w:color w:val="000000"/>
          <w:sz w:val="20"/>
          <w:lang w:val="en-US" w:eastAsia="en-US" w:bidi="ar-SA"/>
        </w:rPr>
        <w:t>Lui v. West Granville Manor Ltd. (No. 1)</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Lui v. West Granville Manor Ltd. (No. 2)</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where some of the factors to be considered by a judge exercising the principled discretion conferred by Rule 15(5)(a) in circumstances where a limitation period has expired were discussed. The chambers judge noted that </w:t>
      </w:r>
      <w:r>
        <w:rPr>
          <w:rFonts w:ascii="arial" w:eastAsia="arial" w:hAnsi="arial" w:cs="arial"/>
          <w:color w:val="000000"/>
          <w:sz w:val="20"/>
          <w:u w:val="single"/>
          <w:lang w:val="en-US" w:eastAsia="en-US" w:bidi="ar-SA"/>
        </w:rPr>
        <w:t>prejudice to the defendant sought to be added could properly be presumed unless the applicant showed that, in the circumstances, the balance of justice and convenience ought to override that prejudice.</w:t>
      </w:r>
      <w:r>
        <w:rPr>
          <w:rFonts w:ascii="arial" w:eastAsia="arial" w:hAnsi="arial" w:cs="arial"/>
          <w:color w:val="000000"/>
          <w:sz w:val="20"/>
          <w:lang w:val="en-US" w:eastAsia="en-US" w:bidi="ar-SA"/>
        </w:rPr>
        <w:t xml:space="preserve"> In addition, the chambers judge found actual prejudice in this case in the face that Randy Marks, who was the manager for Bavaria in October of 1997, kept a record of fence inspections made at the time the inspections occurred, but that he destroyed it in the Spring of 2000. That destruction was six months after the limitation period expired.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Moldovan</w:t>
      </w:r>
      <w:r>
        <w:rPr>
          <w:rFonts w:ascii="arial" w:eastAsia="arial" w:hAnsi="arial" w:cs="arial"/>
          <w:color w:val="000000"/>
          <w:sz w:val="20"/>
          <w:lang w:val="en-US" w:eastAsia="en-US" w:bidi="ar-SA"/>
        </w:rPr>
        <w:t xml:space="preserve"> involved an application by the plaintiff to join an insurer as a defendant outside the two year limitation provided in section 103 of Part 7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B.C. Regulation 447/83. The action had been commenced against the defendant owner which was insured under a policy entered into in Arizona with the insurer that did not carry on business in British Columbia. The chambers judge had ordered the addition of the insurer as a defendant and Madam Justice Newbury, who delivered the unanimous decision of the Court of Appeal, stated at page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Given that the insurer must have been alerted by the plaintiff's factum to this issue, and given that the Master dealt with it at length, it seems to me that it would be appropriate for us to proceed to decide whether RWIC should be added as a defendant in this action pursuant to the Rule, rather than to remit it to the Supreme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circumstances surrounding the plaintiff's claim, which need not be rehearsed here, were reviewed by the Master. Most important, he found that the plaintiff's delay "resulted not from any tactical decision designed to gain an advantage for the plaintiff but from solicitor inadvertence or an honest error in judgment." As against this, RWIC has not alleged any particular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issue of balancing of prejudice, Newbury J.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A helpful summary of the law on the weighing of relative prejudice in this context is found in the analysis of Martinson, J. in </w:t>
      </w:r>
      <w:r>
        <w:rPr>
          <w:rFonts w:ascii="arial" w:eastAsia="arial" w:hAnsi="arial" w:cs="arial"/>
          <w:i/>
          <w:color w:val="000000"/>
          <w:sz w:val="20"/>
          <w:lang w:val="en-US" w:eastAsia="en-US" w:bidi="ar-SA"/>
        </w:rPr>
        <w:t xml:space="preserve">Wadsworth v. McLeod, </w:t>
      </w:r>
      <w:hyperlink r:id="rId44" w:history="1">
        <w:r>
          <w:rPr>
            <w:rFonts w:ascii="arial" w:eastAsia="arial" w:hAnsi="arial" w:cs="arial"/>
            <w:i/>
            <w:color w:val="0077CC"/>
            <w:sz w:val="20"/>
            <w:u w:val="single"/>
            <w:shd w:val="clear" w:color="auto" w:fill="FFFFFF"/>
            <w:lang w:val="en-US" w:eastAsia="en-US" w:bidi="ar-SA"/>
          </w:rPr>
          <w:t>[2004] B.C.J. No. 3039</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 must be had for the presence or absences of prejudice. There must be a balancing of prejudices: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at p. 299. Prejudice can be assumed, or actual.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Prejudice means prejudice associated with the delay itself. The fact that an opposing party is affected negatively by such an amendment does not mean that he is prejudiced. The prejudice must affect the ability to respond to the amended claim: </w:t>
      </w:r>
      <w:r>
        <w:rPr>
          <w:rFonts w:ascii="arial" w:eastAsia="arial" w:hAnsi="arial" w:cs="arial"/>
          <w:i/>
          <w:color w:val="000000"/>
          <w:sz w:val="20"/>
          <w:lang w:val="en-US" w:eastAsia="en-US" w:bidi="ar-SA"/>
        </w:rPr>
        <w:t>Bel Mar Developments Inc. v. North Shore Credit Union</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[2001] B.C.J. No. 512</w:t>
        </w:r>
      </w:hyperlink>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2001 BCSC 388</w:t>
        </w:r>
      </w:hyperlink>
      <w:r>
        <w:rPr>
          <w:rFonts w:ascii="arial" w:eastAsia="arial" w:hAnsi="arial" w:cs="arial"/>
          <w:color w:val="000000"/>
          <w:sz w:val="20"/>
          <w:lang w:val="en-US" w:eastAsia="en-US" w:bidi="ar-SA"/>
        </w:rPr>
        <w:t xml:space="preserve"> at para.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following comments of Master Bolton in </w:t>
      </w:r>
      <w:r>
        <w:rPr>
          <w:rFonts w:ascii="arial" w:eastAsia="arial" w:hAnsi="arial" w:cs="arial"/>
          <w:i/>
          <w:color w:val="000000"/>
          <w:sz w:val="20"/>
          <w:lang w:val="en-US" w:eastAsia="en-US" w:bidi="ar-SA"/>
        </w:rPr>
        <w:t>Takenaka v. Stanley</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[2000] B.C.J. No. 288</w:t>
        </w:r>
      </w:hyperlink>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2000 BCSC 242</w:t>
        </w:r>
      </w:hyperlink>
      <w:r>
        <w:rPr>
          <w:rFonts w:ascii="arial" w:eastAsia="arial" w:hAnsi="arial" w:cs="arial"/>
          <w:color w:val="000000"/>
          <w:sz w:val="20"/>
          <w:lang w:val="en-US" w:eastAsia="en-US" w:bidi="ar-SA"/>
        </w:rPr>
        <w:t xml:space="preserve"> at paras. 41 and 42: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Putting aside any issues of actual prejudice in addition to the prejudice resulting from the loss of the cause of action or of the limitation defence, I am satisfied that the prejudice to a plaintiff in the former event will usually be greater than the prejudice to a defendant in the latter. In the former case the plaintiff loses the opportunity to ask a court to consider a claim that the defendant has done something the law of the land considers to be actionable. In the latter, the defendant loses a windfall opportunity to avoid the issue altogether. Their respective situations may be precisely balanced in purposely financial terms, but not, I conclude, as a matter of justice.</w:t>
      </w:r>
      <w:r>
        <w:rPr>
          <w:rFonts w:ascii="arial" w:eastAsia="arial" w:hAnsi="arial" w:cs="arial"/>
          <w:color w:val="000000"/>
          <w:sz w:val="20"/>
          <w:lang w:val="en-US" w:eastAsia="en-US" w:bidi="ar-SA"/>
        </w:rPr>
        <w:t xml:space="preserve"> A right to seek justice cannot fairly be equated with a right to cut short the search without an answer.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believe that his analysis provides a firmer foundation for the conclusion I reached at paragraph 68 of the </w:t>
      </w:r>
      <w:r>
        <w:rPr>
          <w:rFonts w:ascii="arial" w:eastAsia="arial" w:hAnsi="arial" w:cs="arial"/>
          <w:i/>
          <w:color w:val="000000"/>
          <w:sz w:val="20"/>
          <w:lang w:val="en-US" w:eastAsia="en-US" w:bidi="ar-SA"/>
        </w:rPr>
        <w:t>Mah</w:t>
      </w:r>
      <w:r>
        <w:rPr>
          <w:rFonts w:ascii="arial" w:eastAsia="arial" w:hAnsi="arial" w:cs="arial"/>
          <w:color w:val="000000"/>
          <w:sz w:val="20"/>
          <w:lang w:val="en-US" w:eastAsia="en-US" w:bidi="ar-SA"/>
        </w:rPr>
        <w:t xml:space="preserve"> decision ( </w:t>
      </w:r>
      <w:hyperlink r:id="rId47" w:history="1">
        <w:r>
          <w:rPr>
            <w:rFonts w:ascii="arial" w:eastAsia="arial" w:hAnsi="arial" w:cs="arial"/>
            <w:i/>
            <w:color w:val="0077CC"/>
            <w:sz w:val="20"/>
            <w:u w:val="single"/>
            <w:shd w:val="clear" w:color="auto" w:fill="FFFFFF"/>
            <w:lang w:val="en-US" w:eastAsia="en-US" w:bidi="ar-SA"/>
          </w:rPr>
          <w:t>[2000] B.C.J. No. 44</w:t>
        </w:r>
      </w:hyperlink>
      <w:r>
        <w:rPr>
          <w:rFonts w:ascii="arial" w:eastAsia="arial" w:hAnsi="arial" w:cs="arial"/>
          <w:color w:val="000000"/>
          <w:sz w:val="20"/>
          <w:lang w:val="en-US" w:eastAsia="en-US" w:bidi="ar-SA"/>
        </w:rPr>
        <w:t>), that if all else is equal the balance of prejudice should be resolved in favour of the plaintiff." [At paras. 22-4.]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In the circumstances of this case, it seems to me that the balance of prejudice is clearly in the plaintiff's favour, and that it is just and convenient that RWIC was added as a defendant notwithstanding the time limitation in s. 103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Finally, I refer to the decision of the B.C. Court of Appeal in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2010 BCCA 128</w:t>
        </w:r>
      </w:hyperlink>
      <w:r>
        <w:rPr>
          <w:rFonts w:ascii="arial" w:eastAsia="arial" w:hAnsi="arial" w:cs="arial"/>
          <w:color w:val="000000"/>
          <w:sz w:val="20"/>
          <w:lang w:val="en-US" w:eastAsia="en-US" w:bidi="ar-SA"/>
        </w:rPr>
        <w:t xml:space="preserve"> in which the court reviewed factors to be considered on an application to amend pleadings when a limitation period has expired. In that case, Justice Kirkpatrick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factors to be considered on an application to amend pleadings following the expiry of a limitation period were set out in </w:t>
      </w:r>
      <w:r>
        <w:rPr>
          <w:rFonts w:ascii="arial" w:eastAsia="arial" w:hAnsi="arial" w:cs="arial"/>
          <w:i/>
          <w:color w:val="000000"/>
          <w:sz w:val="20"/>
          <w:lang w:val="en-US" w:eastAsia="en-US" w:bidi="ar-SA"/>
        </w:rPr>
        <w:t>Teal Cedar Products (1997) Ltd. v. Dale Intermediaries Ltd.</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sub. nom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Letvad v. Finley</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this Court adopted the analysis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and applied it in the context of an application to add defendants after the expiry of a limitation period. Justice Esson, speaking for the Court, observed that there was an "unfettered discretion" to permit amendments but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My understanding of the phrase "completely unfettered" in this context is that the discretion is not fettered by the relevant legislation, i.e., the Rule [24(1)]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 4.4]. It is, however, fettered to the extent that, as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it must be exercised judicially, in accordance with the evidence adduced and such guidelines as may appear from the authorities. It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that the guidelines to which the chambers judge is required to have regard include these: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extent of the delay;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reasons for the delay;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any explanation put forward to account for the delay;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degree of prejudice caused by delay;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extent of the connection, if any, between the existing claims and the proposed new cause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McEachern C.J.B.C. in his concurring reasons said at p. 300: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Applying the same principles regardless of whether the application is to add new defendants, as in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xml:space="preserve"> or new causes of action, as in </w:t>
      </w:r>
      <w:r>
        <w:rPr>
          <w:rFonts w:ascii="arial" w:eastAsia="arial" w:hAnsi="arial" w:cs="arial"/>
          <w:i/>
          <w:color w:val="000000"/>
          <w:sz w:val="20"/>
          <w:lang w:val="en-US" w:eastAsia="en-US" w:bidi="ar-SA"/>
        </w:rPr>
        <w:t>Med Finance</w:t>
      </w:r>
      <w:r>
        <w:rPr>
          <w:rFonts w:ascii="arial" w:eastAsia="arial" w:hAnsi="arial" w:cs="arial"/>
          <w:color w:val="000000"/>
          <w:sz w:val="20"/>
          <w:lang w:val="en-US" w:eastAsia="en-US" w:bidi="ar-SA"/>
        </w:rPr>
        <w:t>, I believe the most important considerations, not necessarily in the following order, are the length of the delay, prejudice to the respon-dents, and 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pause to note that plaintiff's counsel enlightened me to the fact that Delta has not relied on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in this action, despite having plead this section in its defence to the companion actions. Without making a determination on this issue, I am of the opinion that s. 286(3) would operate to prevent Delta from barring the maintenance of this action due to the plaintiff's failure to give notice within the two month period as specified in s. 286(1).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Analysis: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of the opinion that in this case, the balance of prejudice falls in the plaintiff's favour. To deny the application in this case would deny the plaintiff the right to assert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Delta which would usually be actionable and at the same time provide Delta a "windfall opportunity" of avoiding altogether adjudication as to its potential liability: </w:t>
      </w:r>
      <w:r>
        <w:rPr>
          <w:rFonts w:ascii="arial" w:eastAsia="arial" w:hAnsi="arial" w:cs="arial"/>
          <w:i/>
          <w:color w:val="000000"/>
          <w:sz w:val="20"/>
          <w:lang w:val="en-US" w:eastAsia="en-US" w:bidi="ar-SA"/>
        </w:rPr>
        <w:t>Takenaka v. Stanley</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[2000] B.C.J. No. 288</w:t>
        </w:r>
      </w:hyperlink>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2000 BCSC 242</w:t>
        </w:r>
      </w:hyperlink>
      <w:r>
        <w:rPr>
          <w:rFonts w:ascii="arial" w:eastAsia="arial" w:hAnsi="arial" w:cs="arial"/>
          <w:color w:val="000000"/>
          <w:sz w:val="20"/>
          <w:lang w:val="en-US" w:eastAsia="en-US" w:bidi="ar-SA"/>
        </w:rPr>
        <w:t>. Delta had been named as a defendant in the companion actions and has been actively defending those claims. There is no evidence of any prejudice to Delta involving lost or destroyed evidence, witnesses who are no longer available, or any other prejudice caused by the passage of time beyond the limitation period. The only prejudice suffered by Delta is the opportunity to rely on the statutory limitation period. There is no unfairness to Delta because it has not lost its ability to defend itself in this action. The very same actions or inactions of Delta, which form the basis of their defence to the companion actions, would be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terms of the explanation for the delay, I accept that the plaintiff's circumstance of being represented by separate counsel, and the circuitous route through which the plaintiff was required to gather documentation from parties in the other actions to forward to her solicitor in this action, contributed, through no fault of her own, to the cause of the delay. On the other hand, the issue of the delayed release of the Delta Police investigation was a matter lying solely under the control of Delta, and for which no explanation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Here, as in </w:t>
      </w:r>
      <w:r>
        <w:rPr>
          <w:rFonts w:ascii="arial" w:eastAsia="arial" w:hAnsi="arial" w:cs="arial"/>
          <w:i/>
          <w:color w:val="000000"/>
          <w:sz w:val="20"/>
          <w:lang w:val="en-US" w:eastAsia="en-US" w:bidi="ar-SA"/>
        </w:rPr>
        <w:t>Moldovan</w:t>
      </w:r>
      <w:r>
        <w:rPr>
          <w:rFonts w:ascii="arial" w:eastAsia="arial" w:hAnsi="arial" w:cs="arial"/>
          <w:color w:val="000000"/>
          <w:sz w:val="20"/>
          <w:lang w:val="en-US" w:eastAsia="en-US" w:bidi="ar-SA"/>
        </w:rPr>
        <w:t>, the delay has been caused by solicitor inadvertence or an honest error in judgment. The plaintiff's solicitor, who has had conduct of this matter since August of 2009, was supplied with the report of Dr. Morall, the transcript of the examination for discovery of a representative of Delta and the Lawrence report in June 2012, shortly before bringing this application. It is arguable that plaintiff's counsel, with further diligence, could have investigated the companion actions and learned of the possibility of pursuing Delta; however, as stated above, the prejudice which would fall to the plaintiff as a result of that failure greatly exceeds any prejudice to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Delta submits that it is the plaintiff's knowledge, not necessarily that of the plaintiff's counsel, that is significant. Counsel says the plaintiff must have known of a possible claim against Delta having read the Statements of Claim in the companion actions and in particular the allegations against Delta relating to the design of the speed humps. In my view, if the plaintiff had prior knowledge of the claims against Delta in the companion actions, it is most likely that she did not appreciate the significance of those claims, nor did she appreciate that the action commenced on her behalf should have included Delta as a defendant. In fact, in her response to civil claim for each of the companion actions, the plaintiff, as a defendant in those actions, responded that the facts alleged against Delta were outside the knowledge of the defendant, Daphne Middelaer. From the evidence before me it would appear that as soon as the plaintiff became aware of the merits of the claim against Delta, she acted dutifully to inform her counsel. It is also clear that once the plaintiff informed her current counsel of the reports and the examination for discovery of a representative of Delta, her counsel moved quickly to add Delta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Conclusion: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Considering the discretion referred to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 balancing of the prejudices to the parties and what is just and convenient, Delta ought to have been joined as a party and its participation in the proceedings is necessary to ensure the proper adjudication of the issues. As a result, I order that Delta be added as a defendant to this action. I also grant leave to the plaintiff to file a notice of civil claim to include the allegations made against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Pearlman v. Critchley, [2012] B.C.J. No. 216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and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 and January 31,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128649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Pearlman, Plaintiff, and Vince Critchley, G. Hocoluk, Quinlan Abrioux, Insurance Corporation of British Columbia (ICBC), Atlantic Trading Company Ltd., Rebecca Lee Spense, Dr. Mal (Malcolm) Cofman, Dr. Burton Goldstein, Scott Stephens, Owen Bird Law Corporation, American Commerce Insurance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Civil litigation — Civil procedure — Parties — Vexatious litigants — Pleadings — Striking out pleadings or allegations — Grounds — Failure to disclose cause of action or defence — False, frivolous, vexatious or abuse of process — Judgments and orders — Summary judgments — To dismiss action — Application by defendants American Commerce Insurance Company, Owen Bird Law Corporation and Scott Stephens for summary judgment dismissing the action as well as for a vexatious litigant order against Pearlman, allowed — Pearlman's action against the defendants arose from injuries he alleged he suffered in a November 2004 motor vehicle accident — Previous proceedings had determined that Pearlman had not suffered injuries, yet he continued to bring actions against various individuals and appealed every order made against him — Pearlman's actions did not disclose a cause of action — He had perverted access to justice and abused his right to bring claims.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1"/>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American Commerce Insurance Company, Owen Bird Law Corporation and Scott Stephens for summary judgment striking Pearlman's writ of summons and statement of claim and dismissing the action against them, as well as for a vexatious litigant order against Pearlman. Pearlman's action against the defendants arose from his claim for injuries he alleged he suffered in a November 2004 motor vehicle accident and the conduct of the defendants in the course of the litigation commenced by Pearlman in relation to the accident. Pearlman had brought numerous actions against various individuals, from the driver of the other vehicle to the doctors who had released Pearlman's medical records. He had appealed all orders made against him and had not paid any of the cost orders against him. A vexatious litigant order had been granted against Pearlman in respect to any future proceedings at the Court of Appeal. Previous proceedings had found that Pearlman had not suffered any injuries in the motor vehicle accident, yet Pearlman continued to bring actions. In this action, Pearlman claimed defendants had fraudulently withheld and/or concealed evidence and had violated his right to privacy in the course of the litigation.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1"/>
            <w:bookmarkEnd w:id="2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Pearlman's action was based on a faulty premise, which was that he had suffered injuries in the November 2004 accident. However, because a court had already determined that he had not suffered injuries in that accident, the premise of his claim was unfounded. His pleadings did not establish a cause of action and did not advance a claim known in law. They were groundless. Furthermore, the pleadings were not bona fides, they were oppressive and were designed to cause the defendants anxiety, trouble and expense. The Court found Pearlman had brought the action for an improper purpose, particularly the harassment and oppression of the defendants. Accordingly, Pearlman's writ of summons and statement of claim were struck and the action against the defendants was dismissed. Additionally, the Court found that Pearlman was a vexatious litigant. He had not demonstrated any self-restraint in pursuing various actions, despite having been unsuccessful at every level of court. He persisted in pursing actions he had already filed and intended to file more actions. He had perverted access to justice and abused his right to bring claims in this court. Neither Pearlman nor anyone on his behalf was to commence legal proceedings without leave of the Court.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2"/>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Privacy Act, </w:t>
      </w:r>
      <w:hyperlink r:id="rId57" w:history="1">
        <w:r>
          <w:rPr>
            <w:rFonts w:ascii="arial" w:eastAsia="arial" w:hAnsi="arial" w:cs="arial"/>
            <w:i/>
            <w:color w:val="0077CC"/>
            <w:sz w:val="20"/>
            <w:u w:val="single"/>
            <w:shd w:val="clear" w:color="auto" w:fill="FFFFFF"/>
            <w:lang w:val="en-US" w:eastAsia="en-US" w:bidi="ar-SA"/>
          </w:rPr>
          <w:t>RSBC 1996, CHAPTER 373, s. 1</w:t>
        </w:r>
      </w:hyperlink>
      <w:r>
        <w:rPr>
          <w:rFonts w:ascii="arial" w:eastAsia="arial" w:hAnsi="arial" w:cs="arial"/>
          <w:color w:val="000000"/>
          <w:sz w:val="20"/>
          <w:lang w:val="en-US" w:eastAsia="en-US" w:bidi="ar-SA"/>
        </w:rPr>
        <w:t>(1), s. 1(2), s. 2(2)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9-5, Rule 9-5(1)(a), Rule 9-5(1)(b), Rule 9-5(1)(c), Rule 9-5(1)(d), Rule 9-6, Rule 9-6(4), Rule 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58" w:history="1">
        <w:r>
          <w:rPr>
            <w:rFonts w:ascii="arial" w:eastAsia="arial" w:hAnsi="arial" w:cs="arial"/>
            <w:i/>
            <w:color w:val="0077CC"/>
            <w:sz w:val="20"/>
            <w:u w:val="single"/>
            <w:shd w:val="clear" w:color="auto" w:fill="FFFFFF"/>
            <w:lang w:val="en-US" w:eastAsia="en-US" w:bidi="ar-SA"/>
          </w:rPr>
          <w:t>RSBC 1996, CHAPTER 443, s. 18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David Pearlman.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for the Defendants, Scott Stephens, Owen Bird and American Commerce Insurance Company: James Carpick and Scott Stephens.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3"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J.M. GROPPER J."/>
            <w:bookmarkEnd w:id="25"/>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American Commerce Insurance Company (ACIC), Owen Bird Law Corporation (OBLC) and Scott Stephens have two applications. They apply for summary judgment. Specifically, they ask the Court to strike Mr. Pearlman's writ of summons and statement of claim and dismiss his action against them pursuant to Rules 9-5 and 9-6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They also apply for a vexatious litigant order that Mr. Pearlman be enjoined from commencing any further legal proceedings in this court without first obtaining leave of a Justice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Pearlman's action against these defendants arises from his claim for injuries he alleges he suffered in a motor vehicle accident on November 24, 2004 and these defendants' conduct in the course of the litigation commenced by Mr. Pearlman in relation to that accident and those alleged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Pearlman has commenced several proceedings in this court arising out of the November 2004 accident. They are: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tort action against the other driver and the corporate owner of the other vehicle (</w:t>
      </w:r>
      <w:r>
        <w:rPr>
          <w:rFonts w:ascii="arial" w:eastAsia="arial" w:hAnsi="arial" w:cs="arial"/>
          <w:i/>
          <w:color w:val="000000"/>
          <w:sz w:val="20"/>
          <w:lang w:val="en-US" w:eastAsia="en-US" w:bidi="ar-SA"/>
        </w:rPr>
        <w:t>David Pearlman v. Atlantic Trading Company Ltd. and Rebecca Lee Spence</w:t>
      </w:r>
      <w:r>
        <w:rPr>
          <w:rFonts w:ascii="arial" w:eastAsia="arial" w:hAnsi="arial" w:cs="arial"/>
          <w:color w:val="000000"/>
          <w:sz w:val="20"/>
          <w:lang w:val="en-US" w:eastAsia="en-US" w:bidi="ar-SA"/>
        </w:rPr>
        <w:t>, B.C.S.C., New Westminster Registry, Action No. M101344);</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action against Mr. Pearlman's B.C. insurer, ICBC, and the individual ICBC claims examiner assigned to the file alleging,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fraud,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David Pearlman v. The Insurance Corporation of British Columbia/ICBC and Kelly Winn</w:t>
      </w:r>
      <w:r>
        <w:rPr>
          <w:rFonts w:ascii="arial" w:eastAsia="arial" w:hAnsi="arial" w:cs="arial"/>
          <w:color w:val="000000"/>
          <w:sz w:val="20"/>
          <w:lang w:val="en-US" w:eastAsia="en-US" w:bidi="ar-SA"/>
        </w:rPr>
        <w:t>, B.C.S.C., Vancouver Registry, Action No. S064665);</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action against Mr. Pearlman's U.S. insurer, American Commerce Insurance Company and two of its individual employees alleging,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fraud,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David Pearlman v. American Commerce Insurance Company, Betsy Morrisette and Julie Deley-Shimer</w:t>
      </w:r>
      <w:r>
        <w:rPr>
          <w:rFonts w:ascii="arial" w:eastAsia="arial" w:hAnsi="arial" w:cs="arial"/>
          <w:color w:val="000000"/>
          <w:sz w:val="20"/>
          <w:lang w:val="en-US" w:eastAsia="en-US" w:bidi="ar-SA"/>
        </w:rPr>
        <w:t>, B.C.S.C., New Westminster Registry, Action No. S103347).</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action against Mr. Pearlman's doctor alleging,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fraud, defamation and medical malpractice (</w:t>
      </w:r>
      <w:r>
        <w:rPr>
          <w:rFonts w:ascii="arial" w:eastAsia="arial" w:hAnsi="arial" w:cs="arial"/>
          <w:i/>
          <w:color w:val="000000"/>
          <w:sz w:val="20"/>
          <w:lang w:val="en-US" w:eastAsia="en-US" w:bidi="ar-SA"/>
        </w:rPr>
        <w:t>David Pearlman v. Dr. Stan Lubin</w:t>
      </w:r>
      <w:r>
        <w:rPr>
          <w:rFonts w:ascii="arial" w:eastAsia="arial" w:hAnsi="arial" w:cs="arial"/>
          <w:color w:val="000000"/>
          <w:sz w:val="20"/>
          <w:lang w:val="en-US" w:eastAsia="en-US" w:bidi="ar-SA"/>
        </w:rPr>
        <w:t>, B.C.S.C., Vancouver Registry, Action No. S064108);</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application for indigency status in respect to an action against the law firm and individual lawyer Mr. Pearlman briefly retained alleging,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fraud, bad faith, deceit,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David Pearlman v. Stephens &amp; Holman and Michael P. Apperly</w:t>
      </w:r>
      <w:r>
        <w:rPr>
          <w:rFonts w:ascii="arial" w:eastAsia="arial" w:hAnsi="arial" w:cs="arial"/>
          <w:color w:val="000000"/>
          <w:sz w:val="20"/>
          <w:lang w:val="en-US" w:eastAsia="en-US" w:bidi="ar-SA"/>
        </w:rPr>
        <w:t>, B.C.S.C., New Westminster Registry, Action No. S102068);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action against the law firms and individual lawyers retained to act on behalf of the defendants in the tort and insurance actions, together with an expert witness and another of Mr. Pearlman's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Justice Low summarized the procedural history of the actions and their related appellate proceedings in </w:t>
      </w:r>
      <w:r>
        <w:rPr>
          <w:rFonts w:ascii="arial" w:eastAsia="arial" w:hAnsi="arial" w:cs="arial"/>
          <w:i/>
          <w:color w:val="000000"/>
          <w:sz w:val="20"/>
          <w:lang w:val="en-US" w:eastAsia="en-US" w:bidi="ar-SA"/>
        </w:rPr>
        <w:t>Pearlman v. Insurance Corporation of British Columbia</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2010 BCCA 362</w:t>
        </w:r>
      </w:hyperlink>
      <w:r>
        <w:rPr>
          <w:rFonts w:ascii="arial" w:eastAsia="arial" w:hAnsi="arial" w:cs="arial"/>
          <w:color w:val="000000"/>
          <w:sz w:val="20"/>
          <w:lang w:val="en-US" w:eastAsia="en-US" w:bidi="ar-SA"/>
        </w:rPr>
        <w:t xml:space="preserve"> at paras. 8-16: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It appears that all the litigation initiated by Mr. Pearlman stems from the motor vehicle accident. His tort action against Atlantic Trading and Ms. Spence went to trial and a jury rejected the claim. That result spawned more litigation. Mr. Pearlman sued ICBC and Ms. Winn, an adjuster, over the obtaining of the medical report from his family doctor, Dr. Lubin.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defendants in the ICBC action sought its summary resolution on a R. 18A application. They were substantially successful. The balance of the claim went to a jury trial but the trial judge dismissed the claim on a no evidence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Mr. Pearlman brought an action against Dr. Lubin in connection with, as I understand it, the release of the medical report. A trial court judge dismissed that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Finally, Mr. Pearlman sued American Commerce Insurance Company ("ACIC"), I believe on a disability insurance policy for benefits to which he claimed he was due as a result of the motor vehicle accident. ACIC was unsuccessful in a R. 18A application but, on appeal, this court dismissed the action with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Mr. Pearlman has appealed all the orders made against him. There are three separate appeals in the ICBC action - from the order made on the R. 18A application, from dismissal of the action on the no evidence motion and from dismissal of his appeal of the Registrar's taxation of costs (one of the two appeals now before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There are two separate appeals in the tort action - from dismissal of the claim and from dismissal of his appeal of the Registrar's taxation of costs (the other appeal now before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There is an appeal of the dismissal of the action against Dr. Lubin.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each of the six appeals brought by Mr. Pearlman, the court has refused him indigency status and has ordered that he post security for costs. He has not posted security on any of the appeals and about $66,000 in trial costs remain unpaid. Two of the appeals have been dismissed in chambers.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Mr. Pearlman was unsuccessful in review applications he brought in four of the appeals with respect to the indigency status and security for costs orders. I made similar orders in the two costs appeals in my oral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Justice Low granted a vexatious litigant order against Mr. Pearlman in respect to any future proceedings at the Court of Appeal at paras. 17-20: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common thread throughout the reasons in this Court has been that Mr. Pearlman's appeals lack merit. It is apparent that he is prepared persistently to litigate and appeal any and every aspect of this matter and bring appeals that are vexatious.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This is made starkly clear in an action Mr. Pearlman began in Supreme Court on 25 June 2010. Counsel has provided the writ of summons and statement of claim filed in that action. The defendants are ICBC, Atlantic Trading, Ms. Spence, the law firm that has represented Atlantic Trading and ICBC in the two actions involving them as well as two members of that law firm; ACIC and the law firm representing that company as well as a member of that law firm; and two dentists who provided reports in connection with certain dental injuries Mr. Pearlman claimed he suffered in the motor vehicle accident. The claim is for general, special, exemplary, punitive and aggravated damages but it is difficult to discern from the statement of claim what causes of action are being alleged. Whether this action can be dealt with on a summary basis is a matter solely for the trial court, but although its wording is rambling, it appears to me that the statement of claim repeats much of what has already been litigated.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Mr. Pearlman has put a number of litigants to considerable expense in defending the various actions he has brought and in responding to his appeals. He claims to be unable to pay the costs orders against him in the trial court or to post security for costs in any of the six appeals in which security has been ordered. It would be unfair to those he has sued and continues to sue to permit him to bring further appeals on these or related matters without leave.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There will be an order that Mr. Pearlman will not bring an appeal from any final order made in the action he commenced on 25 June 2010 in the Supreme Court of British Columbia, or from any final order made in any other action in that court brought against any person and arising out of, or directly or indirectly connected to, the motor vehicle accident of 25 November 2004 without first obtaining leave of a justice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case before me, Mr. Pearlman claims against these defendants as follows: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Stephens provided selective materials to Dr. Goldstein;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Stephens fraudulently obtained Dr. Goldstein's expert report;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Stephens fraudulently concealed parts of Dr. Goldstein's report;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defendants violated Mr. Pearlman's right to privacy pursuant to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by wrongfully obtaining his dental records from Dr. Cofman and providing Dr. Goldstein's expert reports to counsel for the defendants in the other actions as commenced by Mr. Pearlman;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ACIC is vicariously liable for the conduct of OBLC and Mr. Stephens;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ACIC redacted evidence from its reports;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Stephens fraudulently concealed a statement made by Rebecca Lee Spence, the defendant in the 2004 motor vehicle accident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Striking Pleadings and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9-5 provides the court with the authority to strike out a party's pleadings. Rule 9-5(1) and (2)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Admissibility of evidence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test under Rule 9-5(1)(a) is whether, assuming the facts as stated in the Notice of Civil Claim can be proved, it is "plain and obvious" that the claim is certain to fail: </w:t>
      </w:r>
      <w:r>
        <w:rPr>
          <w:rFonts w:ascii="arial" w:eastAsia="arial" w:hAnsi="arial" w:cs="arial"/>
          <w:i/>
          <w:color w:val="000000"/>
          <w:sz w:val="20"/>
          <w:lang w:val="en-US" w:eastAsia="en-US" w:bidi="ar-SA"/>
        </w:rPr>
        <w:t>Dempsey et al. v. Envision Credit Union et al.</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at para. 7. Evidence is not admissible under this sub-rule.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for Rule 9-5(1)(b), (c) and (d), Madam Justice Garson reviewed the applicable jurisprudence in </w:t>
      </w:r>
      <w:r>
        <w:rPr>
          <w:rFonts w:ascii="arial" w:eastAsia="arial" w:hAnsi="arial" w:cs="arial"/>
          <w:i/>
          <w:color w:val="000000"/>
          <w:sz w:val="20"/>
          <w:lang w:val="en-US" w:eastAsia="en-US" w:bidi="ar-SA"/>
        </w:rPr>
        <w:t>Dempsey</w:t>
      </w:r>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summary, a pleading will be struck out if:</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unintelligible, confusing and difficult to understand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a cause of action and do not advance a claim known in law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without substance in that they are groundless, fanciful and trifle with the Court's time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not bona fides, are oppressive and are designed to cause the Defendants anxiety, trouble and expense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brought for an improper purpose, particularly the harassment and oppression of the Defendants ...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Morriss v. Cuttler</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2010 BCSC 1288</w:t>
        </w:r>
      </w:hyperlink>
      <w:r>
        <w:rPr>
          <w:rFonts w:ascii="arial" w:eastAsia="arial" w:hAnsi="arial" w:cs="arial"/>
          <w:color w:val="000000"/>
          <w:sz w:val="20"/>
          <w:lang w:val="en-US" w:eastAsia="en-US" w:bidi="ar-SA"/>
        </w:rPr>
        <w:t>, I found that the plaintiff's claim disclosed no reasonable cause of action, was vexatious and constituted an abuse of the court's process. In that case, the plaintiff had brought three actions claiming that he had an interest in land pursuant to an option agreement. The third action added an allegation to the effect that the defendants in actions number one and two and their counsel conspired to defraud him of his interest in the land. I concluded at paras. 27, 28 and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Mr. Morriss persists in pursuing his claim to the property in spite of my explicit findings that he does not have an option to purchase the property, there was no "extension" of the option, and Prism is a bona fide purchaser for value of the property. It cannot be assumed that the facts alleged in the statement of claim in action no. 3 are true and can be proven. They are not true, and cannot be proven.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There is no purpose in Mr. Morriss relitigating this matter and his attempt to do so is an abuse of the court's process. His claims in action no. 3, like those in actions no. 1 and 2, involve the same defendants, the same property and are based on the same nonexistent option. Unique to action no. 3, is Mr. Morriss' claim of a conspiracy among the defendants, including the lawyer defendants, to fraudulently deprive or cheat him of his interest in the land pursuant to the security agreement (the option). As I have found, Mr. Morriss did not have an interest in the property and therefore his allegation that he has been fraudulently deprived or cheated out of his interest cannot stand.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Mr. Morriss' pleadings and claims in action no. 3 cannot stand. They disclose no reasonable claim. The essence of Mr. Morriss' position continues to be that an option exists in his favour provided to him by Mr. Festing in respect of the property. There is no option. That is sufficient to dispose of Mr. Morriss' action. The fact that Mr. Morriss has commenced three actions against the Festing defendants and the Prism defendants, and has added their counsel in action no. 3 amply demonstrates that this action is unnecessary scandalous frivolous and vexatious. Finally, Mr. Morriss' repeated claims, based on facts that I have explicitly rejected,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Like Mr. Morriss, Mr. Pearlman's actions are based on a faulty premise, which is that he suffered injuries in the November 2004 accident. The court has already determined that he did not suffer injuries in that accident. Because the premise is unfounded, these defendants could not have caused Mr. Pearlman not to receive damages for the injuries he alleged he suffered in the November 2004 motor vehicle accident, fraudulently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Referring to the </w:t>
      </w:r>
      <w:r>
        <w:rPr>
          <w:rFonts w:ascii="arial" w:eastAsia="arial" w:hAnsi="arial" w:cs="arial"/>
          <w:i/>
          <w:color w:val="000000"/>
          <w:sz w:val="20"/>
          <w:lang w:val="en-US" w:eastAsia="en-US" w:bidi="ar-SA"/>
        </w:rPr>
        <w:t>Dempsey</w:t>
      </w:r>
      <w:r>
        <w:rPr>
          <w:rFonts w:ascii="arial" w:eastAsia="arial" w:hAnsi="arial" w:cs="arial"/>
          <w:color w:val="000000"/>
          <w:sz w:val="20"/>
          <w:lang w:val="en-US" w:eastAsia="en-US" w:bidi="ar-SA"/>
        </w:rPr>
        <w:t xml:space="preserve"> criteria, Mr. Pearlman's pleadings do not establish a cause of action and do not advance a claim known in law. They are groundless.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Furthermore, the pleadings are not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they are oppressive and are designed to cause the defendants anxiety, trouble and expense. The action is brought for an improper purpose, particularly the harassment and oppression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Pearlman's claims cannot be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party can apply to the court for summary judgment under Rule 9-6. Rule 9-6(4) and (5)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 (4), the court,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test under Rule 9-6 is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w:t>
      </w:r>
      <w:r>
        <w:rPr>
          <w:rFonts w:ascii="arial" w:eastAsia="arial" w:hAnsi="arial" w:cs="arial"/>
          <w:i/>
          <w:color w:val="000000"/>
          <w:sz w:val="20"/>
          <w:lang w:val="en-US" w:eastAsia="en-US" w:bidi="ar-SA"/>
        </w:rPr>
        <w:t>Pitt v. Holt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2007 BCSC 1555</w:t>
        </w:r>
      </w:hyperlink>
      <w:r>
        <w:rPr>
          <w:rFonts w:ascii="arial" w:eastAsia="arial" w:hAnsi="arial" w:cs="arial"/>
          <w:color w:val="000000"/>
          <w:sz w:val="20"/>
          <w:lang w:val="en-US" w:eastAsia="en-US" w:bidi="ar-SA"/>
        </w:rPr>
        <w:t xml:space="preserve"> at para. 10. Some weighing of the evidence is permitted: </w:t>
      </w:r>
      <w:r>
        <w:rPr>
          <w:rFonts w:ascii="arial" w:eastAsia="arial" w:hAnsi="arial" w:cs="arial"/>
          <w:i/>
          <w:color w:val="000000"/>
          <w:sz w:val="20"/>
          <w:lang w:val="en-US" w:eastAsia="en-US" w:bidi="ar-SA"/>
        </w:rPr>
        <w:t>Southeast Toyota Distributors Inc. v. Branch</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[1997] B.C.J. No. 1426</w:t>
        </w:r>
      </w:hyperlink>
      <w:r>
        <w:rPr>
          <w:rFonts w:ascii="arial" w:eastAsia="arial" w:hAnsi="arial" w:cs="arial"/>
          <w:color w:val="000000"/>
          <w:sz w:val="20"/>
          <w:lang w:val="en-US" w:eastAsia="en-US" w:bidi="ar-SA"/>
        </w:rPr>
        <w:t xml:space="preserve"> at para. 61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Pearlman's statement of claim does not refer to the existence of a duty of care owed to him by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regard to the actions against Mr. Stephens and OBLC, the legal authorities are clear that a lawyer or law firm does not owe a duty of care to anyone other than his or her client: </w:t>
      </w:r>
      <w:r>
        <w:rPr>
          <w:rFonts w:ascii="arial" w:eastAsia="arial" w:hAnsi="arial" w:cs="arial"/>
          <w:i/>
          <w:color w:val="000000"/>
          <w:sz w:val="20"/>
          <w:lang w:val="en-US" w:eastAsia="en-US" w:bidi="ar-SA"/>
        </w:rPr>
        <w:t>Holland v. Douglas</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2010 BCSC 96</w:t>
        </w:r>
      </w:hyperlink>
      <w:r>
        <w:rPr>
          <w:rFonts w:ascii="arial" w:eastAsia="arial" w:hAnsi="arial" w:cs="arial"/>
          <w:color w:val="000000"/>
          <w:sz w:val="20"/>
          <w:lang w:val="en-US" w:eastAsia="en-US" w:bidi="ar-SA"/>
        </w:rPr>
        <w:t xml:space="preserve"> at para. 64 aff'd </w:t>
      </w:r>
      <w:hyperlink r:id="rId65" w:history="1">
        <w:r>
          <w:rPr>
            <w:rFonts w:ascii="arial" w:eastAsia="arial" w:hAnsi="arial" w:cs="arial"/>
            <w:i/>
            <w:color w:val="0077CC"/>
            <w:sz w:val="20"/>
            <w:u w:val="single"/>
            <w:shd w:val="clear" w:color="auto" w:fill="FFFFFF"/>
            <w:lang w:val="en-US" w:eastAsia="en-US" w:bidi="ar-SA"/>
          </w:rPr>
          <w:t>2010 BCCA 345</w:t>
        </w:r>
      </w:hyperlink>
      <w:r>
        <w:rPr>
          <w:rFonts w:ascii="arial" w:eastAsia="arial" w:hAnsi="arial" w:cs="arial"/>
          <w:color w:val="000000"/>
          <w:sz w:val="20"/>
          <w:lang w:val="en-US" w:eastAsia="en-US" w:bidi="ar-SA"/>
        </w:rPr>
        <w:t>. Mr. Pearlman has no claim against Mr. Stephens or OBLC. That being the case, there is no basis for a claim that ACIC is vicariously liable for the conduct of Mr. Stephens and OBLC.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Furthermore, Mr. Pearlman's action against ACIC has been dismissed: See </w:t>
      </w:r>
      <w:r>
        <w:rPr>
          <w:rFonts w:ascii="arial" w:eastAsia="arial" w:hAnsi="arial" w:cs="arial"/>
          <w:i/>
          <w:color w:val="000000"/>
          <w:sz w:val="20"/>
          <w:lang w:val="en-US" w:eastAsia="en-US" w:bidi="ar-SA"/>
        </w:rPr>
        <w:t>Pearlman v. American Commerce Insurance Company</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2009 BCCA 78</w:t>
        </w:r>
      </w:hyperlink>
      <w:r>
        <w:rPr>
          <w:rFonts w:ascii="arial" w:eastAsia="arial" w:hAnsi="arial" w:cs="arial"/>
          <w:color w:val="000000"/>
          <w:sz w:val="20"/>
          <w:lang w:val="en-US" w:eastAsia="en-US" w:bidi="ar-SA"/>
        </w:rPr>
        <w:t xml:space="preserve">. His application for leave to appeal was denied by the Supreme Court of Canada: See </w:t>
      </w:r>
      <w:hyperlink r:id="rId67" w:history="1">
        <w:r>
          <w:rPr>
            <w:rFonts w:ascii="arial" w:eastAsia="arial" w:hAnsi="arial" w:cs="arial"/>
            <w:i/>
            <w:color w:val="0077CC"/>
            <w:sz w:val="20"/>
            <w:u w:val="single"/>
            <w:shd w:val="clear" w:color="auto" w:fill="FFFFFF"/>
            <w:lang w:val="en-US" w:eastAsia="en-US" w:bidi="ar-SA"/>
          </w:rPr>
          <w:t>[2009] S.C.C.A. No. 134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also no basis for an allegation of fraud of any sort against these defendants. There is, therefore,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in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addition to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fraud, however, Mr. Pearlman also claims that his rights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have been breached by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R.S.B.C. 1996, c. 373, s. 1</w:t>
        </w:r>
      </w:hyperlink>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Violation of privacy actionable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It is a tort, actionable without proof of damage, for a person, wilfully and without a claim of right, to violate the privacy of another.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2(2)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Exceptions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or conduct is not a violation of privacy if any of the following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authorized or required under a law in force in British Columbia, by a court or by any process of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Pearlman sued for injuries he allegedly sustained in the November 2004 accident. Having done so, Mr. Pearlman has no expectation of privacy in regard to documents relevant to the matters in issue. He was obliged to produce all such documents and they were justly relied upon by the defendants to the action regarding the November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Moreover, Mr. Pearlman's specific arguments relating to these defendants have no merit. There was a court order to produce Dr. Malcolm Cofman's records. No privacy issues could arise, therefore, from these defendants obtaining copies. ACIC obtained the report from Dr. Burton Goldstein in his position as an expert for the defence. Consequently, that report is not Mr. Pearlman's document. There has been no breach of Mr. Pearlman's privacy, nor could there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Pearlman's writ of summons and statement of claim do not disclose a cause of action or raise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light of the above, Mr. Pearlman's writ of summons and statement of claim are struck and the action against these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These defendants seek an order that David Pearlman, or anyone on his behalf, not commence any further legal proceedings in this court without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purpose of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was stated in S.(M.) v. S. (P.I.) </w:t>
      </w:r>
      <w:hyperlink r:id="rId68" w:history="1">
        <w:r>
          <w:rPr>
            <w:rFonts w:ascii="arial" w:eastAsia="arial" w:hAnsi="arial" w:cs="arial"/>
            <w:i/>
            <w:color w:val="0077CC"/>
            <w:sz w:val="20"/>
            <w:u w:val="single"/>
            <w:shd w:val="clear" w:color="auto" w:fill="FFFFFF"/>
            <w:lang w:val="en-US" w:eastAsia="en-US" w:bidi="ar-SA"/>
          </w:rPr>
          <w:t>(1998), 60 B.C.L.R. (3d) 232</w:t>
        </w:r>
      </w:hyperlink>
      <w:r>
        <w:rPr>
          <w:rFonts w:ascii="arial" w:eastAsia="arial" w:hAnsi="arial" w:cs="arial"/>
          <w:color w:val="000000"/>
          <w:sz w:val="20"/>
          <w:lang w:val="en-US" w:eastAsia="en-US" w:bidi="ar-SA"/>
        </w:rPr>
        <w:t xml:space="preserve"> at para. 13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18 of the Supreme Court Act has been in the Act for a great many years. The section gives the court the needed ability to control its own process. It enables the court to put in place an order to prevent a citizen or citizens from being subjected to an endless blizzard of litigation. A great number of court applications have been filed by this appellant over a course of several years. In my judgment, the history disclosed here afforded an ample foundation for the conclusions reached and the order made by the learned judge of first instance. It is obviously of the utmost importance that there be unfettered access to the courts by citizens but I should think that a corollary of that is that continuing abuse of this most valuable and deeply enshrined democratic right should be dealt with decisively to preserve the rights of all. There is a right to invoke the jurisdiction of the Supreme Court but it is not a right that is without limit. In my opinion, s. 18 of the Supreme Court Act affords to judges of the Supreme Court the authority to order in proper cases that a persistent litigant must seek leave before being able to launch court proceedings. It is a necessary power to ensure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noted that a section 18 order does not prevent a person from gaining access to the courts. The litigant is entitled to apply for leave to do so, to allow a Justice of this Court to determine that it has a proper basis: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Some of the factors to be considered when the court entertains an application to enjoin a person from bringing legal proceedings without leave are described in </w:t>
      </w:r>
      <w:r>
        <w:rPr>
          <w:rFonts w:ascii="arial" w:eastAsia="arial" w:hAnsi="arial" w:cs="arial"/>
          <w:i/>
          <w:color w:val="000000"/>
          <w:sz w:val="20"/>
          <w:lang w:val="en-US" w:eastAsia="en-US" w:bidi="ar-SA"/>
        </w:rPr>
        <w:t>Houweling Nurseries Ltd. v. Houweling,</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2005 BCCA 8</w:t>
        </w:r>
      </w:hyperlink>
      <w:r>
        <w:rPr>
          <w:rFonts w:ascii="arial" w:eastAsia="arial" w:hAnsi="arial" w:cs="arial"/>
          <w:color w:val="000000"/>
          <w:sz w:val="20"/>
          <w:lang w:val="en-US" w:eastAsia="en-US" w:bidi="ar-SA"/>
        </w:rPr>
        <w:t xml:space="preserve"> at para. 9 (citing Re </w:t>
      </w:r>
      <w:r>
        <w:rPr>
          <w:rFonts w:ascii="arial" w:eastAsia="arial" w:hAnsi="arial" w:cs="arial"/>
          <w:i/>
          <w:color w:val="000000"/>
          <w:sz w:val="20"/>
          <w:lang w:val="en-US" w:eastAsia="en-US" w:bidi="ar-SA"/>
        </w:rPr>
        <w:t>Lang Michener et al. AND Fabian et al.</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xml:space="preserve"> (Ont. H. Ct. J.)). The court in </w:t>
      </w:r>
      <w:r>
        <w:rPr>
          <w:rFonts w:ascii="arial" w:eastAsia="arial" w:hAnsi="arial" w:cs="arial"/>
          <w:i/>
          <w:color w:val="000000"/>
          <w:sz w:val="20"/>
          <w:lang w:val="en-US" w:eastAsia="en-US" w:bidi="ar-SA"/>
        </w:rPr>
        <w:t>Re Lang Michener</w:t>
      </w:r>
      <w:r>
        <w:rPr>
          <w:rFonts w:ascii="arial" w:eastAsia="arial" w:hAnsi="arial" w:cs="arial"/>
          <w:color w:val="000000"/>
          <w:sz w:val="20"/>
          <w:lang w:val="en-US" w:eastAsia="en-US" w:bidi="ar-SA"/>
        </w:rPr>
        <w:t xml:space="preserve"> outlined the factors at length at 691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These defendants refer to the court proceedings which Mr. Pearlman has commenced in this court arising from the November 2004 motor vehicle accident. There are other actions. Mr. Pearlman's action in respect of his second motor vehicle accident of February 9, 2007 was heard by Madam Justice Kloegman in September, 2011. Her Reasons for Judgment are indexed at </w:t>
      </w:r>
      <w:hyperlink r:id="rId71" w:history="1">
        <w:r>
          <w:rPr>
            <w:rFonts w:ascii="arial" w:eastAsia="arial" w:hAnsi="arial" w:cs="arial"/>
            <w:i/>
            <w:color w:val="0077CC"/>
            <w:sz w:val="20"/>
            <w:u w:val="single"/>
            <w:shd w:val="clear" w:color="auto" w:fill="FFFFFF"/>
            <w:lang w:val="en-US" w:eastAsia="en-US" w:bidi="ar-SA"/>
          </w:rPr>
          <w:t>2011 BCSC 1696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These defendants also refer to actions that have been commenced by or on behalf of Mr. Pearlman since 1975, including those before the Manitoba Queen's Bench, the Manitoba Court of Appeal, the Tax Court, the Federal Court of Appeal and the Supreme Court of Canada. They have provided 42 reported decisions. Mr. Pearlman was the plaintiff in all but three. These defendants reviewed the entire list and referred to judicial findings in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note, as stated above, that Mr. Justice Low ordered that Mr. Pearlman not bring any appeal from any final order in any action in the Supreme Court of British Columbia brought against any person arising out of, or directly or indirectly connected to, the motor vehicle accident of November 2004 without first obtaining leave of a Justice of the Court. That may have been the order which was sought by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conclusion of the hearing on January 13, 2012, Mr. Pearlman advised me that he intends to bring a claim in respect his third motor vehicle accident in December 2010. He said he intended to file other claims as well, including against Mr. Vince Critchley who represented the defendant, and Dr. Hawk, a medical doctor who gave evidence on behalf of the defence in the action before Kloegman, J. He suggested he might be filing other claims as well. Despite Mr. Pearlman's strenuous objection, I ordered that until my reasons for judgment were published on this matter, he had to provide counsel for these defendants 14 days notice of his intention to bring any other legal proceedings in order that they could advise me if any further legal proceedings or claims were filed during the course of my deliberations. I did not enjoin Mr. Pearlman from filing any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was advised by trial scheduling on January 20, 2012, that these defendants wished to adduce further evidence. I allowed these defendants to provide short notice of a hearing on January 31, 2012 to Mr. Pearlman at his address for service by regular mail. Because of the pending application by these defendants, I did not issue reasons before the hearing on January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January 31, 2012, I allowed these defendants' application to adduce further evidence. The evidence is a letter dated January 13, 2012, from Mr. Pearlman to Messrs. Carpick and Stephens, advising that he intends to file further claims, including further claims against ICBC, Mr. Stephens, Mr. Carpick, and OBLC.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applying some of the factors from </w:t>
      </w:r>
      <w:r>
        <w:rPr>
          <w:rFonts w:ascii="arial" w:eastAsia="arial" w:hAnsi="arial" w:cs="arial"/>
          <w:i/>
          <w:color w:val="000000"/>
          <w:sz w:val="20"/>
          <w:lang w:val="en-US" w:eastAsia="en-US" w:bidi="ar-SA"/>
        </w:rPr>
        <w:t>Re Lang Michener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Houweling Nurseries</w:t>
      </w:r>
      <w:r>
        <w:rPr>
          <w:rFonts w:ascii="arial" w:eastAsia="arial" w:hAnsi="arial" w:cs="arial"/>
          <w:color w:val="000000"/>
          <w:sz w:val="20"/>
          <w:lang w:val="en-US" w:eastAsia="en-US" w:bidi="ar-SA"/>
        </w:rPr>
        <w:t>, I conclude that:</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Pearlman's numerous actions and appeals have been found to lack merit repeatedly. He cannot reasonably expect to obtain relief. Mr. Pearlman's repeated actions are for an improper purpose as he is aware that each assertion of his rights has been rejected;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Pearlman</w:t>
      </w:r>
      <w:r>
        <w:rPr>
          <w:rFonts w:ascii="arial" w:eastAsia="arial" w:hAnsi="arial" w:cs="arial"/>
          <w:color w:val="000000"/>
          <w:sz w:val="20"/>
          <w:lang w:val="en-US" w:eastAsia="en-US" w:bidi="ar-SA"/>
        </w:rPr>
        <w:t xml:space="preserve"> has "</w:t>
      </w:r>
      <w:r>
        <w:rPr>
          <w:rFonts w:ascii="arial" w:eastAsia="arial" w:hAnsi="arial" w:cs="arial"/>
          <w:i/>
          <w:color w:val="000000"/>
          <w:sz w:val="20"/>
          <w:lang w:val="en-US" w:eastAsia="en-US" w:bidi="ar-SA"/>
        </w:rPr>
        <w:t>rolled forward" the</w:t>
      </w:r>
      <w:r>
        <w:rPr>
          <w:rFonts w:ascii="arial" w:eastAsia="arial" w:hAnsi="arial" w:cs="arial"/>
          <w:color w:val="000000"/>
          <w:sz w:val="20"/>
          <w:lang w:val="en-US" w:eastAsia="en-US" w:bidi="ar-SA"/>
        </w:rPr>
        <w:t xml:space="preserve"> grounds and issues of previous actions into subsequent actions. He has brought actions against lawyers who have acted against him in earlier proceedings;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Pearlman has not paid any of the costs which have been awarded against him in the unsuccessful proceedings;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Pearlman has persistently taken unsuccessful appeals to the Court of Appeal and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Pearlman has not demonstrated any self restraint in pursuing his various actions, despite being unsuccessful at every level of court. He persists in pursuing the actions he has already filed. He intends to file more actions. He has perverted access to justice. It is time for this court to regulate its process. Mr. Pearlman has abused his right to bring claims in this court. He is not prohibited from filing legal proceedings; however, he must do so with the leave of a Justice of this Court. This requirement ensures that before he involves others in litigation, he convinces a Justice of the Court that it is appropriate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decline to rely on Mr. Pearlman's litigation history in courts outside of British Columbia. He has demonstrated that he is a vexatious litigant in British Columbia, without referring to his previous litigation history in Manitoba.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Mr. Pearlman is a vexatious litigant and order that neither he nor anyone on his behalf commence any further legal proceedings, including applications for indigent status, in this court without obtaining leave of Justice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Pearlman maintains that he cannot afford to pay costs. This, however, is not determinative of whether special costs ought to be ordered. Special costs are at the discretion of the court. They are awarded in cases where the conduct of one of the parties is "reprehensible".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Mr. Justice Low noted in his decision, Mr. Pearlman has "put a number of litigants to considerable expense in defending the various actions that he has brought and in responding to his appeals":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Mr. Pearlman's pursuit of unmeritorious claims and his accusations of conspiracy and fraud without any foundation are sufficient to justify an award of special costs. Mr. Pearlman must be aware that his persistence in bringing vexatious litigation has significant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Pearlman's writ of summons and statement of claim are struck and his action is dismissed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Neither Mr. Pearlman nor anyone on his behalf shall commence any further legal proceedings in this court without obtaining leave of a Justice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These defendants are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dispense with Mr. Pearlman's endorsement on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Spectratek Industries Inc. v. Dyke &amp; Howard, [2006] B.C.J. No. 1565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S026015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1565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1053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B.C.L.R. (4th) 356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1065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1692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Spectratek Industries Inc., Peter Belding and Susan Belding, plaintiffs, and Dyke &amp; Howard and D &amp; H Group,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Civil evidence — Opinion evidence — Expert evidence — The defendant's application that their expert be granted access to the plaintiff's documents for the purpose of preparing a business valuation was dismissed, as the valuator's firm had previously acted for the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Professional duties — Particular duties — Avoiding conflicts of interest — The defendant's application that their expert be granted access to the plaintiff's documents for the purpose of preparing a business valuation was dismissed, as the valuator's firm had previously acted for the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Professions — Other — Accountants — The defendant's application that their expert be granted access to the plaintiff's documents for the purpose of preparing a business valuation was dismissed, as the valuator's firm had previously acted for the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2"/>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was dismissed -- The plaintiffs were manufacturers and vendors of automotive paint and paint drying equipment -- The brought an action against the defendant accountants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 of contract, after an unexpectedly low inventory count caused them to default on their loan covenants -- The defendants presently applied for an order that their expert be granted access to the plaintiff's documents for the purpose of preparing a business valuation -- The plaintiffs opposed the application on the basis that they were former clients of the valuator's firm, Deloitte -- HELD: The plaintiffs had established a valid basis in opposing the engagement of the expert, given the prior engagement of Deloitte with the plaintiff, and the application of the defendants was dismissed -- The fact that the valuator in question had discussions with his partner, who was one of the accountants in the prior engagement, and then caused a search for documents relating to the period of the prior engagement was of concern -- These were documents which then came to the attention of the plaintiffs only through the search caused by Harder.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Counsel_3"/>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Kimberly S.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David B. Wende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3"/>
      <w:bookmarkEnd w:id="29"/>
      <w:r>
        <w:pict>
          <v:line id="_x0000_s1047" style="position:absolute;z-index:2517647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MORRISON J."/>
            <w:bookmarkEnd w:id="30"/>
            <w:r>
              <w:rPr>
                <w:rFonts w:ascii="arial" w:eastAsia="arial" w:hAnsi="arial" w:cs="arial"/>
                <w:b/>
                <w:color w:val="000000"/>
                <w:sz w:val="30"/>
                <w:lang w:val="en-US" w:eastAsia="en-US" w:bidi="ar-SA"/>
              </w:rPr>
              <w:t>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for an order that their expert, Mr. Jeffrey Harder and his colleagues at Deloitte &amp; Touche LLP, be granted access to the plaintiffs' documents for the purpose of preparing a business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have been in the business of manufacturing and selling automotive paint and paint drying equipment. The defendants are Chartered Accountants and were first retained by the plaintiffs as their accountants in September,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2001, after a physical inventory count, the plaintiffs learned that their inventory was approximately $689,000 lower than expected. The plaintiffs subsequently defaulted in their loan covenants. They then brought an action against the defendants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September, 1997, the former accountants for the plaintiffs were Deloitte &amp; Touche ("Deloitte"). Deloitte still has in its possession the following files: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Working papers for a Review Engagement for the years 1990 to 1996.</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Incomplete working papers for a special procedures report as of the end of February, 1997;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 working papers for the years 1989 to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Deloitte affirms that the rest of any files would have been destroyed in the ordinary course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Harder was not a member of Deloitte at the time Deloitte acted as accountants for the plaintiffs. Mr. Harder joined Deloitte in January 2005. He is a principal of Deloitte, a Fellow of the Institute of Chartered Accountants of B.C., and a Fellow of the Canadian Institute of Chartered Business Valuators as well. He is a well known and respected business valuator, as both parties acknowledged.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Harder deposes that he was first contacted by Mr. Wende, solicitor for the defendants, on January 31, 2006, regarding Deloitte being engaged in an expert capacity by the defendants to investigate the losses alleged by the plaintiffs. He was informed of the former relationship between the plaintiffs and Deloitte, and caused a conflict check to be conducted at Deloitte.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learned that one of his partners at Deloitte, Tom Kay, was the chartered accountant responsible for the Spectratek file at Deloitte during the period Deloitte acted as accountants for the plaintiffs. Mr. Harder determined, after his discussions with Mr. Kay, that there was no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However, the plaintiffs object to Mr. Harder and Deloitte being retained as experts on the basis that Spectratek is a former client of Deloitte. Accordingly, the plaintiffs have denied Mr. Harder and his associates access to the plaintiffs'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Harder deposes that he has not reviewed the contents of the Deloitte files with regard to the plaintiffs' company. He further gives his professional undertaking that he will not do so, and that he will instruct the members of his team not to review the said files. Further, none of the members of his team were involved with Spectratek when Spectratek was a client of Deloitte in those previous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Defendants/Applicants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argue that Deloitte's previous dealings with the plaintiffs are not sufficiently related to the engagement of Mr. Harder as an expert. From at least 1989 to November 1996, Deloitte provided accounting services, including preparation of review engagement reports. They may also have prepared the corporate and personal income tax returns for the plaintiffs. Now Deloitte is engaged by the defendants to provide independent expert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Deloitte's prior engagement is not sufficiently related to the current engagement, according to the defendants, for a number of reasons. The plaintiffs were engaged in a different business ten years ago, under a different name. That business did not include a company acquired by Spectratek, Wedge Clamp International. And the financial situation of Spectratek was different. Further, the retainer of Deloitte was almost ten years ago, and Mr. Harder and his team were never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Spectratek purchased Wedge Clamp on December 23, 1996, a company that sold frame strengthening equipment to be used in automotive repair. Until January 1996, the company known as Spectratek had conducted business as Oldfield Enterprises Ltd. It's most significant division before January 1996 was as a distributor of certain automotive paints. However, in October 1995, that portion of the company was sold to Sherwin Williams Company. Oldfield Enterprises Ltd. was renamed Spectratek on January 2, 1996 and continued with the Spectratek division, and then added the Wedge Clamp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Thus, the defendants argue that the plaintiffs were almost a totally different company during the time that Deloitte was acting as chartered accountants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submit there were no confidences provided to Deloitte ten years ago related to the lawsuit. Deloitte was not involved in any litigation planning or strategy. Any documents that may still be in Deloitte's possession are not confidential, and are likely producible in this litigation. There is no risk of breach of confidentiality. Nor is this a situation where the higher standard of a solicitor-client relationship should be imputed.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rely on two authorities, </w:t>
      </w:r>
      <w:r>
        <w:rPr>
          <w:rFonts w:ascii="arial" w:eastAsia="arial" w:hAnsi="arial" w:cs="arial"/>
          <w:b/>
          <w:i/>
          <w:color w:val="000000"/>
          <w:sz w:val="20"/>
          <w:lang w:val="en-US" w:eastAsia="en-US" w:bidi="ar-SA"/>
        </w:rPr>
        <w:t>MacDonald Estate v. Martin</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(1990), 77 D.L.R. (4th) 249</w:t>
        </w:r>
      </w:hyperlink>
      <w:r>
        <w:rPr>
          <w:rFonts w:ascii="arial" w:eastAsia="arial" w:hAnsi="arial" w:cs="arial"/>
          <w:color w:val="000000"/>
          <w:sz w:val="20"/>
          <w:lang w:val="en-US" w:eastAsia="en-US" w:bidi="ar-SA"/>
        </w:rPr>
        <w:t xml:space="preserve">, a decision of Mr. Justice Sopinka in 1990, and </w:t>
      </w:r>
      <w:r>
        <w:rPr>
          <w:rFonts w:ascii="arial" w:eastAsia="arial" w:hAnsi="arial" w:cs="arial"/>
          <w:b/>
          <w:i/>
          <w:color w:val="000000"/>
          <w:sz w:val="20"/>
          <w:lang w:val="en-US" w:eastAsia="en-US" w:bidi="ar-SA"/>
        </w:rPr>
        <w:t>L.R. v. British Columbia</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[2002] B.C.J. No. 565</w:t>
        </w:r>
      </w:hyperlink>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2002 BCSC 405</w:t>
        </w:r>
      </w:hyperlink>
      <w:r>
        <w:rPr>
          <w:rFonts w:ascii="arial" w:eastAsia="arial" w:hAnsi="arial" w:cs="arial"/>
          <w:color w:val="000000"/>
          <w:sz w:val="20"/>
          <w:lang w:val="en-US" w:eastAsia="en-US" w:bidi="ar-SA"/>
        </w:rPr>
        <w:t>, a decision of Madam Justice Humphries in March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paragraph 25 of the </w:t>
      </w:r>
      <w:r>
        <w:rPr>
          <w:rFonts w:ascii="arial" w:eastAsia="arial" w:hAnsi="arial" w:cs="arial"/>
          <w:b/>
          <w:i/>
          <w:color w:val="000000"/>
          <w:sz w:val="20"/>
          <w:lang w:val="en-US" w:eastAsia="en-US" w:bidi="ar-SA"/>
        </w:rPr>
        <w:t>L.R.</w:t>
      </w:r>
      <w:r>
        <w:rPr>
          <w:rFonts w:ascii="arial" w:eastAsia="arial" w:hAnsi="arial" w:cs="arial"/>
          <w:color w:val="000000"/>
          <w:sz w:val="20"/>
          <w:lang w:val="en-US" w:eastAsia="en-US" w:bidi="ar-SA"/>
        </w:rPr>
        <w:t xml:space="preserve"> decision,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principles in </w:t>
      </w:r>
      <w:r>
        <w:rPr>
          <w:rFonts w:ascii="arial" w:eastAsia="arial" w:hAnsi="arial" w:cs="arial"/>
          <w:b/>
          <w:i/>
          <w:color w:val="000000"/>
          <w:sz w:val="20"/>
          <w:lang w:val="en-US" w:eastAsia="en-US" w:bidi="ar-SA"/>
        </w:rPr>
        <w:t>MacDonald Estate</w:t>
      </w:r>
      <w:r>
        <w:rPr>
          <w:rFonts w:ascii="arial" w:eastAsia="arial" w:hAnsi="arial" w:cs="arial"/>
          <w:color w:val="000000"/>
          <w:sz w:val="20"/>
          <w:lang w:val="en-US" w:eastAsia="en-US" w:bidi="ar-SA"/>
        </w:rPr>
        <w:t xml:space="preserve"> should be applied cautiously when the circumstances are outside the particular issue with which that case was concerned - the unique and fiercely protected confidentiality which adheres to the solicitor/client relationship. The role of an expert witness who does not participate in litigation planning or strategy does not lend itself to the type of analysis applied to the role of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ruled that a doctor who had previously provided expert opinion for the Crown in previous litigation could be retained to provide an expert opinion in a class action against the Crown involving the Jericho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object to their former accountants, Deloitte, acting as experts for the defendants against Spectratek and the remaining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Counsel for the plaintiffs has relied on several authorities, including the following: </w:t>
      </w:r>
      <w:r>
        <w:rPr>
          <w:rFonts w:ascii="arial" w:eastAsia="arial" w:hAnsi="arial" w:cs="arial"/>
          <w:b/>
          <w:i/>
          <w:color w:val="000000"/>
          <w:sz w:val="20"/>
          <w:lang w:val="en-US" w:eastAsia="en-US" w:bidi="ar-SA"/>
        </w:rPr>
        <w:t>Arends v. Lockhart</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[1999] B.C.J. No. 3181</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Breda v. Breda</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[1997] O.J. No. 1442</w:t>
        </w:r>
      </w:hyperlink>
      <w:r>
        <w:rPr>
          <w:rFonts w:ascii="arial" w:eastAsia="arial" w:hAnsi="arial" w:cs="arial"/>
          <w:color w:val="000000"/>
          <w:sz w:val="20"/>
          <w:lang w:val="en-US" w:eastAsia="en-US" w:bidi="ar-SA"/>
        </w:rPr>
        <w:t xml:space="preserve"> (Ont. C.J. Gen. Div.); </w:t>
      </w:r>
      <w:r>
        <w:rPr>
          <w:rFonts w:ascii="arial" w:eastAsia="arial" w:hAnsi="arial" w:cs="arial"/>
          <w:b/>
          <w:i/>
          <w:color w:val="000000"/>
          <w:sz w:val="20"/>
          <w:lang w:val="en-US" w:eastAsia="en-US" w:bidi="ar-SA"/>
        </w:rPr>
        <w:t>Burgess (Litigation Guardian of) v. Wu</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[2003] O.J. No. 4826</w:t>
        </w:r>
      </w:hyperlink>
      <w:r>
        <w:rPr>
          <w:rFonts w:ascii="arial" w:eastAsia="arial" w:hAnsi="arial" w:cs="arial"/>
          <w:color w:val="000000"/>
          <w:sz w:val="20"/>
          <w:lang w:val="en-US" w:eastAsia="en-US" w:bidi="ar-SA"/>
        </w:rPr>
        <w:t xml:space="preserve"> (Ont. S.C.J.); </w:t>
      </w:r>
      <w:r>
        <w:rPr>
          <w:rFonts w:ascii="arial" w:eastAsia="arial" w:hAnsi="arial" w:cs="arial"/>
          <w:b/>
          <w:i/>
          <w:color w:val="000000"/>
          <w:sz w:val="20"/>
          <w:lang w:val="en-US" w:eastAsia="en-US" w:bidi="ar-SA"/>
        </w:rPr>
        <w:t>Di-Anna Aqua Inc. v. Ocean Spar Technologies L.L.C.</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[2005] N.S.J. No. 532</w:t>
        </w:r>
      </w:hyperlink>
      <w:r>
        <w:rPr>
          <w:rFonts w:ascii="arial" w:eastAsia="arial" w:hAnsi="arial" w:cs="arial"/>
          <w:color w:val="000000"/>
          <w:sz w:val="20"/>
          <w:lang w:val="en-US" w:eastAsia="en-US" w:bidi="ar-SA"/>
        </w:rPr>
        <w:t xml:space="preserve"> (N.S.S.C.); and </w:t>
      </w:r>
      <w:r>
        <w:rPr>
          <w:rFonts w:ascii="arial" w:eastAsia="arial" w:hAnsi="arial" w:cs="arial"/>
          <w:b/>
          <w:i/>
          <w:color w:val="000000"/>
          <w:sz w:val="20"/>
          <w:lang w:val="en-US" w:eastAsia="en-US" w:bidi="ar-SA"/>
        </w:rPr>
        <w:t>United States Mineral Products Co. v. Pinchin Harris Holland Associates Ltd.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(1992), 70 B.C.L.R. (2d) 171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One of the main issues of the trial between these parties will be the value of the business. When Spectratek was required to write down the value of its inventory to less than $700,000, the result was bankers calling in loans and a forced sale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have hired their own expert, a certified business valuator, Richard Evans. Mr. Evans deposes that he has reviewed the affidavit of Mr. Harder in this matter and believes "it would be of assistance to me to be able to review some or all of the materials enumerated therein". He refers to the documents set out previously, namely, the working papers for the Review Engagement for the years 1990 to 1996, the incomplete working papers for a special procedures report as of the end of February, 1997 and the tax working papers for the years 1989 to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affidavit of Mr. Harder indicates that he and Mr. Kay have had discussions between themselves regarding Deloitte's earlier engagement by Spectratek. This adds to the plaintiffs' concern. There is no evidence that Deloitte sought or obtained any form of consent from the plaintiffs to act as an expert assisting the defendants. As soon as the plaintiffs became aware of Deloitte's involvement, the plaintiffs objected to the involvement of Mr. Harder and Deloitte.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the former accountants to Spectratek Industries Inc., Deloitte should be disqualified from acting as an expert against Spectratek. The plaintiffs argue Deloitte is still in a position to disclose certain information to the defendants, information and documents which could be regarded as confidential unless otherwise authorized by Spectratek and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plaintiffs points out that at some point it may be necessary for a member of Deloitte to give evidence in support of the plaintiffs' case, whether to prove authenticity or content of certain documents, or on some other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Harder was certainly not personally involved in Deloitte's former engagement with the plaintiffs. He was a member of another unrelated firm of chartered accountants until 2005 when he joined Deloitte. The point the plaintiffs wish to make is that the former engagement of Deloitte is linked to this litigation, as any former engagement might be. It would not be appropriate for Deloitte to now act against its former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Di-Anna Aqua</w:t>
      </w:r>
      <w:r>
        <w:rPr>
          <w:rFonts w:ascii="arial" w:eastAsia="arial" w:hAnsi="arial" w:cs="arial"/>
          <w:color w:val="000000"/>
          <w:sz w:val="20"/>
          <w:lang w:val="en-US" w:eastAsia="en-US" w:bidi="ar-SA"/>
        </w:rPr>
        <w:t xml:space="preserve"> case from the Nova Scotia Supreme Court, the court quoted from Mr. Justice Sopinka in the </w:t>
      </w:r>
      <w:r>
        <w:rPr>
          <w:rFonts w:ascii="arial" w:eastAsia="arial" w:hAnsi="arial" w:cs="arial"/>
          <w:b/>
          <w:i/>
          <w:color w:val="000000"/>
          <w:sz w:val="20"/>
          <w:lang w:val="en-US" w:eastAsia="en-US" w:bidi="ar-SA"/>
        </w:rPr>
        <w:t>MacDonald Estate</w:t>
      </w:r>
      <w:r>
        <w:rPr>
          <w:rFonts w:ascii="arial" w:eastAsia="arial" w:hAnsi="arial" w:cs="arial"/>
          <w:color w:val="000000"/>
          <w:sz w:val="20"/>
          <w:lang w:val="en-US" w:eastAsia="en-US" w:bidi="ar-SA"/>
        </w:rPr>
        <w:t xml:space="preserve"> case, including this quote from page 270: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giving precedence to the preservation of the confidentiality of information imparted to a solicitor, the confidence of the public in the integrity of the profession and in the administration of justice will be maintained and strengthened. On the other hand, reflecting the interest of a member of the public to retain counsel of her choice and the interest of the profession in permitting lawyers to move from one firm to another, the standards are sufficiently flexible to permit a solicitor to act against a former client provided that a reasonable member of the public who is in possession of the facts would conclude that no unauthorized disclosure of confidential information had occurred or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Nova Scotia court at paragraph 25 referred to the screening mechanisms that must be put in place when a conflict first arises. That measures have to be taken to ensure that no disclosure will occur. The </w:t>
      </w:r>
      <w:r>
        <w:rPr>
          <w:rFonts w:ascii="arial" w:eastAsia="arial" w:hAnsi="arial" w:cs="arial"/>
          <w:b/>
          <w:i/>
          <w:color w:val="000000"/>
          <w:sz w:val="20"/>
          <w:lang w:val="en-US" w:eastAsia="en-US" w:bidi="ar-SA"/>
        </w:rPr>
        <w:t>Di-Anna Aqua</w:t>
      </w:r>
      <w:r>
        <w:rPr>
          <w:rFonts w:ascii="arial" w:eastAsia="arial" w:hAnsi="arial" w:cs="arial"/>
          <w:color w:val="000000"/>
          <w:sz w:val="20"/>
          <w:lang w:val="en-US" w:eastAsia="en-US" w:bidi="ar-SA"/>
        </w:rPr>
        <w:t xml:space="preserve"> case involved chartered accountants. I agree with the plaintiffs that this case is applicable to the one before the court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affidavit material before me, there is an undertaking and an assurance but there is no evidence that the appropriate measures or screening mechanisms were put in place when Mr. Harder was first engaged. Because at that point, he was aware that Deloitte had been the former accountants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find that the relationship between Deloitte, in the person of Mr. Harder, and the previous client, Spectratek, is sufficiently related to Mr. Harder's retainer to provide expert testimony for the defendants, who are being sued by the plaintiffs. Mr. Harder and Deloitte may have relevant information that may well be confidential, and if so, they must not be in a position to act against the former client of Deloitte. Nor to act to the advantage of the defendants who are being sued by the former client. At paragraph 29 of the </w:t>
      </w:r>
      <w:r>
        <w:rPr>
          <w:rFonts w:ascii="arial" w:eastAsia="arial" w:hAnsi="arial" w:cs="arial"/>
          <w:b/>
          <w:i/>
          <w:color w:val="000000"/>
          <w:sz w:val="20"/>
          <w:lang w:val="en-US" w:eastAsia="en-US" w:bidi="ar-SA"/>
        </w:rPr>
        <w:t>Di-Anna Aqua</w:t>
      </w:r>
      <w:r>
        <w:rPr>
          <w:rFonts w:ascii="arial" w:eastAsia="arial" w:hAnsi="arial" w:cs="arial"/>
          <w:color w:val="000000"/>
          <w:sz w:val="20"/>
          <w:lang w:val="en-US" w:eastAsia="en-US" w:bidi="ar-SA"/>
        </w:rPr>
        <w:t xml:space="preserve"> decision,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strong inference that chartered business valuators who work together share confidences. This court will draw that inference unless satisfied on the basis of clear and convincing evidence that all reasonable measures have been taken to ensure that no disclosure will occur by Anthony to Bradley or other members of PricewaterhouseCoopers who are engaged against Anthony's former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case before me, the evidence is far from clear that all reasonable measures were taken immediately to set up the appropriate screening mechanisms, and to ensure that no disclosure whatsoever would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Di-Anna Aqua</w:t>
      </w:r>
      <w:r>
        <w:rPr>
          <w:rFonts w:ascii="arial" w:eastAsia="arial" w:hAnsi="arial" w:cs="arial"/>
          <w:color w:val="000000"/>
          <w:sz w:val="20"/>
          <w:lang w:val="en-US" w:eastAsia="en-US" w:bidi="ar-SA"/>
        </w:rPr>
        <w:t xml:space="preserve"> emphasized the importance that "all reasonable measures were taken in a timely manner to ensure that no disclosure ... occurred ..." (paragraph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the decision of Mr. Justice Lowry in the </w:t>
      </w:r>
      <w:r>
        <w:rPr>
          <w:rFonts w:ascii="arial" w:eastAsia="arial" w:hAnsi="arial" w:cs="arial"/>
          <w:b/>
          <w:i/>
          <w:color w:val="000000"/>
          <w:sz w:val="20"/>
          <w:lang w:val="en-US" w:eastAsia="en-US" w:bidi="ar-SA"/>
        </w:rPr>
        <w:t>United States Mineral Products</w:t>
      </w:r>
      <w:r>
        <w:rPr>
          <w:rFonts w:ascii="arial" w:eastAsia="arial" w:hAnsi="arial" w:cs="arial"/>
          <w:color w:val="000000"/>
          <w:sz w:val="20"/>
          <w:lang w:val="en-US" w:eastAsia="en-US" w:bidi="ar-SA"/>
        </w:rPr>
        <w:t xml:space="preserve"> decision, at paragraph 22, the court cited with approval certain passages from Sopinka J. in </w:t>
      </w:r>
      <w:r>
        <w:rPr>
          <w:rFonts w:ascii="arial" w:eastAsia="arial" w:hAnsi="arial" w:cs="arial"/>
          <w:b/>
          <w:i/>
          <w:color w:val="000000"/>
          <w:sz w:val="20"/>
          <w:lang w:val="en-US" w:eastAsia="en-US" w:bidi="ar-SA"/>
        </w:rPr>
        <w:t>MacDonald Estate</w:t>
      </w:r>
      <w:r>
        <w:rPr>
          <w:rFonts w:ascii="arial" w:eastAsia="arial" w:hAnsi="arial" w:cs="arial"/>
          <w:color w:val="000000"/>
          <w:sz w:val="20"/>
          <w:lang w:val="en-US" w:eastAsia="en-US" w:bidi="ar-SA"/>
        </w:rPr>
        <w:t>. At paragraph 22,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MacDonald Estate</w:t>
      </w:r>
      <w:r>
        <w:rPr>
          <w:rFonts w:ascii="arial" w:eastAsia="arial" w:hAnsi="arial" w:cs="arial"/>
          <w:color w:val="000000"/>
          <w:sz w:val="20"/>
          <w:lang w:val="en-US" w:eastAsia="en-US" w:bidi="ar-SA"/>
        </w:rPr>
        <w:t xml:space="preserve">, Sopinka J. cites the passages from which the test was derived at pp. 1246-47. He draws the distinction between the "probability" and the "possibility" of real mischief and, after broadly reviewing the authorities in the common law jurisdictions, concludes (at p. 1258) the clear trend is in favour of a stricter test in support of a strong policy of ensuring </w:t>
      </w:r>
      <w:r>
        <w:rPr>
          <w:rFonts w:ascii="arial" w:eastAsia="arial" w:hAnsi="arial" w:cs="arial"/>
          <w:color w:val="000000"/>
          <w:sz w:val="20"/>
          <w:u w:val="single"/>
          <w:lang w:val="en-US" w:eastAsia="en-US" w:bidi="ar-SA"/>
        </w:rPr>
        <w:t>not only that there be no actual conflict but that there be no appearance of conflict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Breda</w:t>
      </w:r>
      <w:r>
        <w:rPr>
          <w:rFonts w:ascii="arial" w:eastAsia="arial" w:hAnsi="arial" w:cs="arial"/>
          <w:color w:val="000000"/>
          <w:sz w:val="20"/>
          <w:lang w:val="en-US" w:eastAsia="en-US" w:bidi="ar-SA"/>
        </w:rPr>
        <w:t xml:space="preserve"> decision, the court found that an accountant in a family dispute case who had acted for a group of joint ventures, including the husband's company, might well have acquired knowledge that would be relevant to his retainer by the wife to advise her in proceedings against the husband. "Information concerning the joint business ventures would be relevant to issues of valuation and equalization of the net family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Counsel for the plaintiffs has urged that the less stringent approach taken in </w:t>
      </w:r>
      <w:r>
        <w:rPr>
          <w:rFonts w:ascii="arial" w:eastAsia="arial" w:hAnsi="arial" w:cs="arial"/>
          <w:b/>
          <w:i/>
          <w:color w:val="000000"/>
          <w:sz w:val="20"/>
          <w:lang w:val="en-US" w:eastAsia="en-US" w:bidi="ar-SA"/>
        </w:rPr>
        <w:t>L.R.</w:t>
      </w:r>
      <w:r>
        <w:rPr>
          <w:rFonts w:ascii="arial" w:eastAsia="arial" w:hAnsi="arial" w:cs="arial"/>
          <w:color w:val="000000"/>
          <w:sz w:val="20"/>
          <w:lang w:val="en-US" w:eastAsia="en-US" w:bidi="ar-SA"/>
        </w:rPr>
        <w:t xml:space="preserve"> is not representative of that generally taken when dealing with a disqualification of experts. The facts in </w:t>
      </w:r>
      <w:r>
        <w:rPr>
          <w:rFonts w:ascii="arial" w:eastAsia="arial" w:hAnsi="arial" w:cs="arial"/>
          <w:b/>
          <w:i/>
          <w:color w:val="000000"/>
          <w:sz w:val="20"/>
          <w:lang w:val="en-US" w:eastAsia="en-US" w:bidi="ar-SA"/>
        </w:rPr>
        <w:t>L.R.</w:t>
      </w:r>
      <w:r>
        <w:rPr>
          <w:rFonts w:ascii="arial" w:eastAsia="arial" w:hAnsi="arial" w:cs="arial"/>
          <w:color w:val="000000"/>
          <w:sz w:val="20"/>
          <w:lang w:val="en-US" w:eastAsia="en-US" w:bidi="ar-SA"/>
        </w:rPr>
        <w:t xml:space="preserve"> are certainly distinguishable from the facts in the case before me. The decisions in </w:t>
      </w:r>
      <w:r>
        <w:rPr>
          <w:rFonts w:ascii="arial" w:eastAsia="arial" w:hAnsi="arial" w:cs="arial"/>
          <w:b/>
          <w:i/>
          <w:color w:val="000000"/>
          <w:sz w:val="20"/>
          <w:lang w:val="en-US" w:eastAsia="en-US" w:bidi="ar-SA"/>
        </w:rPr>
        <w:t>MacDonald Estate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Di-Anna Aqua</w:t>
      </w:r>
      <w:r>
        <w:rPr>
          <w:rFonts w:ascii="arial" w:eastAsia="arial" w:hAnsi="arial" w:cs="arial"/>
          <w:color w:val="000000"/>
          <w:sz w:val="20"/>
          <w:lang w:val="en-US" w:eastAsia="en-US" w:bidi="ar-SA"/>
        </w:rPr>
        <w:t xml:space="preserve"> are more reflective of the situation before the court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the plaintiffs have established a valid basis in opposing the engagement of this expert, given the prior engagement of Deloitte with Spectratek. The fact that Mr. Harder had discussions with his partner, who was one of the accountants in the prior engagement, and then caused a search for documents relating to the period of the prior engagement is of concern. These are documents which then came to the attention of the plaintiffs only through the search caused by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cautions and the concerns on a public policy basis raised in both the </w:t>
      </w:r>
      <w:r>
        <w:rPr>
          <w:rFonts w:ascii="arial" w:eastAsia="arial" w:hAnsi="arial" w:cs="arial"/>
          <w:b/>
          <w:i/>
          <w:color w:val="000000"/>
          <w:sz w:val="20"/>
          <w:lang w:val="en-US" w:eastAsia="en-US" w:bidi="ar-SA"/>
        </w:rPr>
        <w:t>MacDonald Estate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Di-Anna Aqua</w:t>
      </w:r>
      <w:r>
        <w:rPr>
          <w:rFonts w:ascii="arial" w:eastAsia="arial" w:hAnsi="arial" w:cs="arial"/>
          <w:color w:val="000000"/>
          <w:sz w:val="20"/>
          <w:lang w:val="en-US" w:eastAsia="en-US" w:bidi="ar-SA"/>
        </w:rPr>
        <w:t xml:space="preserve"> cases are relevant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the application of the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Swanson v. Hill, [2014] B.C.J. No. 2635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M045359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2001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246 A.C.W.S. (3d) 561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66 C.P.C. (7th) 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3163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Roselynn Amy Swanson on her own behalf and on behalf of all persons entitled to benefit from the Estate of Alice Mary Kidd, Deceased, Plaintiffs, and Jason Hill and Murray James Christman,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 w:name="Keywords_4"/>
      <w:bookmarkEnd w:id="31"/>
      <w:r>
        <w:rPr>
          <w:rFonts w:ascii="arial" w:eastAsia="arial" w:hAnsi="arial" w:cs="arial"/>
          <w:b/>
          <w:color w:val="000000"/>
          <w:sz w:val="20"/>
          <w:lang w:val="en-US" w:eastAsia="en-US" w:bidi="ar-SA"/>
        </w:rPr>
        <w:t>Civil litigation — Civil procedure — Disposition without trial — Dismissal of action — Delay or failure to prosecute — Excuse for — Application by defendant to dismiss deceased plaintiff's claim for damages because of inexcusable and inordinate delay which caused serious prejudice and which justified dismissal of claims dismissed — Delay was inordinate but it was excusable because plaintiffs' counsel was responsible for it — This failing was not to be held to plaintiffs' detriment.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Liability — Conduct of action — Failure to pursue action with diligence — Delay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conduct of action — Failure to pursue action with diligence — Application by defendant to dismiss deceased plaintiff's claim for damages because of inexcusable and inordinate delay which caused serious prejudice and which justified dismissal of claims dismissed — Delay was inordinate but it was excusable because plaintiffs' counsel was responsible for it — This failing was not to be held to plaintiffs' detriment.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Duties — Interests of client — Professions — Legal — Barristers and solicitors — Application by defendant to dismiss deceased plaintiff's claim for damages because of inexcusable and inordinate delay which caused serious prejudice and which justified dismissal of claims dismissed — Delay was inordinate but it was excusable because plaintiffs' counsel was responsible for it — This failing was not to be held to plaintiffs' detriment.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 w:name="Case Summary_3"/>
            <w:bookmarkEnd w:id="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Christman to have the claim for pecuniary damages brought on behalf of the deceased plaintiff Swanson dismissed. He also wanted to have dismissed claims brought on behalf of persons who would be entitled to take under the Family Compensation Act. This action arose from a motor vehicle accident that occurred on December 27, 2002. Swanson, her mother Kidd and Swanson's granddaughter were passengers in a car that was driven by Swanson's father. A car travelling in the opposite direction crossed the centre line and collided with Swanson's car. Kidd was killed and Swanson was injured. Christman admitted liability. Swanson died on July 21, 2008 and the only aspect of her personal claim that remained was her loss of income. When Swanson died this action lost momentum. Christman submitted that it was 10 years since the action was commenced and there remained a lack of disclosure regarding the identities of persons for whom relief was sought under the Act. There were also incomplete efforts to gather income loss information related to Swanson. Christman also claimed that there was an inexcusable and inordinate delay which caused serious prejudice and which justified dismissal of the claims.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 w:name="Holdings of Court_2"/>
            <w:bookmarkEnd w:id="3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order sought by Christman was draconian and it was not lightly granted. It was recognized that inordinate delay could be found to be excusable where counsel was largely responsible for the delay. The inordinate delay was due to counsel and this failing was not to be held to the plaintiffs' detriment. The parties were directed to schedule and to attend a case planning conference to confirm a schedule for the production of outstanding information requirements and to raise any other issues required to finalize trial matters. The parties were also to set a trial date.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 w:name="Legislation Cited_3"/>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6-2(5), Rule 6-2(7) (b), Rule 22-7, Rule 22-7(7)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CHAPTER 126</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5" w:name="Counsel_4"/>
      <w:bookmarkEnd w:id="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S.G.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Christman: L.J. Mackoff.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4"/>
      <w:bookmarkEnd w:id="36"/>
      <w:r>
        <w:pict>
          <v:line id="_x0000_s1052"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D.M. MASUHARA J."/>
            <w:bookmarkEnd w:id="37"/>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deal with an application to have this action dismissed for want of prosecution pursuant to Rule 22-7(7)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defendant Christman seeks dismissal of the claim for pecuniary damages brought on behalf of the plaintiff Ms. Swanson, deceased; and claims on behalf of persons who would be entitled to take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(the "Act"). The argument of the defendant Christman is that it has been ten years since this action was commenced and there remains a lack of disclosure regarding the identities of the persons for whom relief is sought under the Act. As well, there have been incomplete efforts to gather income loss information related to Ms. Swanson. The defendant submits that there has been an inexcusable and inordinate delay which has caused serious prejudice and in the circumstances justifies the dismissal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response, it is conceded on behalf of the plaintiff that an inordinate delay has occurred; however, it is submitted that the delay is excusable. In this case the plaintiff, Ms. Swanson, died in 2008 which has caused some difficulties in the proceeding; however, the primary argument advanced is that the solicitors prosecuting the claim are at fault for the delay. It is argued that the failings of these solicitors should not be placed at the feet of their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agreed by the opposing parties that the application narrows to this last point; whether the actions or lack of action by the plaintiff's solicitors in the circumstances amounts to a delay which is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event the defendant's application is denied, then the executor of Ms. Swanson's estate, Mr. Van Weenen (her husband) seeks under Rule 6-2(7)(b) to be substituted as a plaintiff in this action with the attendant amendment to the style of cause. The defence consents to the order should the application come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Applicability of Rule 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start of the hearing, counsel for the plaintiff raised a technical objection to the application. It was submitted that the application had been brought under the wrong rule. Instead of Rule 22-7(7), it was argued that the applicant was required to have proceeded first under Rule 6-2(5). The latter rule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Prosecution of proceeding if plaintiff or petitioner 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plaintiff or petitioner has died and the proceeding may be continued, a defendant or respondent may apply to the court for an order that the person entitled to proceed do proceed within the time that the court orders and that, in default, the proceeding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argues that the defendant cannot seek a dismissal for want of prosecution presently because the defendant has not obtained that right under Rule 6-2(5). The plaintiff states that the failure of the defendant to make an application under Rule 6-2(5) precludes the defendant from now asking this Court for a dismissal for want of prosecution under Rule 22-7(7). The defendant disagrees and submits that the rule is not stated to be mandatory as the words "may apply" are used. Counsel for both parties advise they have been unable to locate any authorities discussing the interpretation or application of this rule. There appears to be little to no discussion of similar rules in the English cases or in other Canadian jurisdictions. In some jurisdictions a proceeding cannot continue upon the death of a party without leave of the court. That has not been the case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appears the rule in this Province is a means for a defendant or respondent to prompt action where, for example, a proper representative has not come forward or is unknowledgeable as to the requirement to advance the case. In such a situation, an application to ensure fairness in the process is required. If the person entitled to proceed following the hearing does not do so in accordance with the court's order it is then that the proceedings can then be dismissed. I do not read the rule as an option on the part of the party seeking dismissal to either go by Rule 6-2(5) or Rule 22-7(7) in this type of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instant case, while Ms. Swanson has died, it is clear that the plaintiff's solicitors believed that they were properly retained to advance the case and were being instructed by the right person. They also held themselves out in this way. The delays in this action were not the result of an appropriate representative for Ms. Swanson needing to be ascertained or a representative lacking in knowledge as to how to advance the case. The lack of the substitution of Mr. Van Weenen as representative for the plaintiff was a technical deficiency. This should have been addressed promptly by plaintiff's counsel, but was not. Notice to plaintiff's counsel of the dismissal application was provided close to six months in advance of the hearing. In the circumstances, denying the defendant an opportunity to apply under Rule 22-7(7), on the technical basis raised, would be inappropriate. I note that the inaction of plaintiff's counsel is available on a mitigating factor in a dismissal application under Rule 22-7.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action arises from a motor vehicle accident that occurred on December 27, 2002 in Golden, BC. The circumstances of the accident are that the plaintiff, Ms. Swanson, her mother Alice Mary Kidd, and Ms. Swanson's granddaughter were passengers in a car driven by the plaintiff's father. A car travelling in the opposite direction crossed the center line and collided with the car in which the plaintiff was a passenger. Alice Mary Kidd was killed in the crash. The plaintiff was injured. Liability has been admitted by the defendant Christman.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case was originally handled by counsel in Alberta, but the file was transferred to the firm of Vertlieb Dosanj in Vancouver. A writ and statement of claim were filed in December 2004. Various lawyers in the firm have represented the plaintiff's claims since the action was commenced and, except for the present application, have remained on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Independent counsel for the plaintiff in this application is Mr.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case, it appears, progressed in the usual way. Pleadings were closed in November 2005. Medical information and wage loss documents were sent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2006, clinical records from 15 doctors, clinics, or hospitals treating the plaintiff, documents related to her wage loss, and documents related to claims under the Act were listed and produced. An examination for discovery of Ms. Swanson was carried out and, at the request of the defendant, independent medical examinations were scheduled for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2007, a trial was scheduled for June 2008, independent medical examinations were conducted, and answers to outstanding requests were given. The defendant sought production of the RCMP records regarding the accident, and brought third party proceedings against Parks Canada. The pleadings in respect to the third party proceedings were not closed until December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2008 due to illness of the plaintiff's counsel an adjournment of the trial was sought and agreed to. The third party proceedings were dismissed by consent, in April 2008. A notice of mediation was delivered in June 2008 by the defendant's counsel and mediation was scheduled for November of that year. Unfortunately, Ms. Swanson died on July 21, 2008. As a result, the only aspect of her personal claim that remained was her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from Ms. Swanson's death that progress in the litigation lost momentum relative to interactions between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order sought by the defendant is draconian and is not lightly granted. In </w:t>
      </w:r>
      <w:r>
        <w:rPr>
          <w:rFonts w:ascii="arial" w:eastAsia="arial" w:hAnsi="arial" w:cs="arial"/>
          <w:i/>
          <w:color w:val="000000"/>
          <w:sz w:val="20"/>
          <w:lang w:val="en-US" w:eastAsia="en-US" w:bidi="ar-SA"/>
        </w:rPr>
        <w:t>PMC Builders &amp; Developers Ltd. v. Country West Construction</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Mr. Justice Low, writing for the court, stated that there were four questions that required consideration in an application to dismiss for want of prosecution (at para. 27):</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commented that the fourth question encompassed the other three and was the most important and decisive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Justice Romilly in </w:t>
      </w:r>
      <w:r>
        <w:rPr>
          <w:rFonts w:ascii="arial" w:eastAsia="arial" w:hAnsi="arial" w:cs="arial"/>
          <w:i/>
          <w:color w:val="000000"/>
          <w:sz w:val="20"/>
          <w:lang w:val="en-US" w:eastAsia="en-US" w:bidi="ar-SA"/>
        </w:rPr>
        <w:t>Louie v. John Doe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2008 BCSC 651</w:t>
        </w:r>
      </w:hyperlink>
      <w:r>
        <w:rPr>
          <w:rFonts w:ascii="arial" w:eastAsia="arial" w:hAnsi="arial" w:cs="arial"/>
          <w:color w:val="000000"/>
          <w:sz w:val="20"/>
          <w:lang w:val="en-US" w:eastAsia="en-US" w:bidi="ar-SA"/>
        </w:rPr>
        <w:t>, observed that the test is cumulative, and that an applicant must be successful in achieving an affirmative answer for all of the questions in order to obtain a dismissal of the action. He also observed that a rebuttable factual presumption in support of prejudice arises where an affirmative answer is established for the first two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case the plaintiff has conceded that the delay has been inordinate. However, the remaining questions are in dispute. Opposing counsel advise that the application turns on the answer to whether the inordinate delay is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has been recognized that an inordinate delay may be found to be excusable where counsel, as distinct from their client, has been largely responsible for the delay; see for example </w:t>
      </w:r>
      <w:r>
        <w:rPr>
          <w:rFonts w:ascii="arial" w:eastAsia="arial" w:hAnsi="arial" w:cs="arial"/>
          <w:i/>
          <w:color w:val="000000"/>
          <w:sz w:val="20"/>
          <w:lang w:val="en-US" w:eastAsia="en-US" w:bidi="ar-SA"/>
        </w:rPr>
        <w:t>Louie</w:t>
      </w:r>
      <w:r>
        <w:rPr>
          <w:rFonts w:ascii="arial" w:eastAsia="arial" w:hAnsi="arial" w:cs="arial"/>
          <w:color w:val="000000"/>
          <w:sz w:val="20"/>
          <w:lang w:val="en-US" w:eastAsia="en-US" w:bidi="ar-SA"/>
        </w:rPr>
        <w:t xml:space="preserve"> at para. 40. The applicant submits that this is not the case in the instant. While acknowledging that plaintiff's counsel has played a role in the delay, it is submitted that the client bears the dominant responsibility for the 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Independent plaintiff's counsel on the other hand argues that the record clearly shows that the inordinate delay was the responsibility of the plaintiff's counsel retained to prosecute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the following reasons, I conclude that the inordinate delay was due to plaintiff's counsel and that this failing should not be held as a detriment to the plaintiff. Further, the prejudice to the defendant and a review of the overall circumstances do not justify a dismissal of the action. In this regard, I note that by 2008 a trial date had been fixed, a notice of trial issued, and a notice to mediate was issued and scheduled by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already noted, this action unfolded as would normally be expected. The unfortunate event was Ms. Swanson's death. Her husband, Mr. Van Weenen, was executor of her estate. He identified himself as such to plaintiff's counsel and confirmed his appointment by providing a copy of the Will by November 2008. The materials indicate that in 2009, 2010 and 2011 plaintiff's counsel were contacted repeatedly by Mr. Van Weenen, the plaintiff's daughter Ms. Harrison, and previous Alberta counsel, Mr. Brackett, with respect to the action. Mr. Van Weenen and Ms. Harrison were advised that steps were being taken to gather information and retain an economist. One communication from a member of the firm to the client indicates that Ms. Swanson's claims were being dealt with on a priority basis, which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January 2011 and early 2012, documents and information were sought by plaintiff's counsel from Mr. Van Weenen or Ms. Harrison, which were promptly provided. Mr. Van Weenen and the plaintiff's family were never advised matters were not proceeding or that there was any risk of an application for dismissal for want of prosecution. In early 2012, defendant's counsel indicated to plaintiff's counsel that such an application might be brought. In May 2013, the defendant sought hearing dates for, and served application seeking dismissal for want of prosecution returnable in October 2013. Mr. Van Weenan and the plaintiff's family were not told of these developments by their counsel until October 2013. The materials indicate that the assigned lawyer in the firm had the misguided belief that settlement would occur. An offer to settle was made on July 30, 2013. It appears the offer was not received by the defendant's counsel. The offer was re-sent in September 2013, at which point defendant's counsel indicated there would be no response and that the application to dismiss would proceed. On October 15, 2013 a notice of intention to proceed was filed by plaintiff's counsel. On October 30, 2013 independent counsel was retained to deal with the dismissal application. Several months were required by independent counsel to review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note in the communications from Mr. Van Weenen with counsel in 2009 that he was "upset" with not being informed as to the status of the case and it not advancing; his concerns were noted by counsel. There is no conduct on his part that reflects intent to gain a tactical advantage by delay or a lack of reasonable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Vertlieb deposed candidly that based upon his review of the entire file, which he details in his affidavit, "the delay in prosecuting this action rests with Plaintiff's counsel. Despite numerous inquiries from Mr. Van Weenen, from former counsel, and from Ms. Harrison, Plaintiff's counsel failed to take steps to move the action forward, although our firm was indicating to Mr. Van Weenen and Ms. Harrison that we were doing so. In hindsight, it appears this arose from the number of associates involved, and inattention."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agree with the above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 in terms of prejudice regarding the claim under the Act, in my view, there is financial information regarding Mrs. Kidd and Ms. Swanson regarding their circumstances. Also, there is one surviving dependant adult child who was cared for by Mrs. Kidd and after her death by Ms. Swanson. That adult child now resides with his brother, Shane Kidd, who can provide evidence in respect to the financial support provided for his brother and the medical requirements. It is noted that the burden is upon the plaintiff and it appears that the prejudice in the delay here may be realistically more against the plaintiff's case. I am advised that the particulars of the family compensation claim had not been demanded or sought by defendant's counsel prior to Ms. Swanson's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basis of the foregoing, the application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parties are directed to schedule and attend a case planning conference to confirm a schedule for the production of outstanding information requirements and raise any other issues required to finalize matters for trial. A trial date should also be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application for an order to substitute Ms. Swanson as the plaintiff in this action with Mr. Van Weenan, in his capacity as Executor of the Estate of Roselynn Amy Swanson, sought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Terrim Properties Ltd. v. Sorprop Holdings Ltd., [2012] B.C.J. No. 1399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21221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1399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985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68 C.E.L.R. (3d)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1994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217 A.C.W.S. (3d) 610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Terrim Properties Ltd., Plaintiff, and Sorprop Holdings Ltd., Barroca Enterprises Ltd., Christopher Shawn Barroca and Michelle Leanne Barroca,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 w:name="Keywords_5"/>
      <w:bookmarkEnd w:id="38"/>
      <w:r>
        <w:rPr>
          <w:rFonts w:ascii="arial" w:eastAsia="arial" w:hAnsi="arial" w:cs="arial"/>
          <w:b/>
          <w:color w:val="000000"/>
          <w:sz w:val="20"/>
          <w:lang w:val="en-US" w:eastAsia="en-US" w:bidi="ar-SA"/>
        </w:rPr>
        <w:t>Environmental law — Environmental liability — Civil litigation — Contaminated land — Liability for contamination — Site remediation — Action by plaintiffs for order compelling remediation of real property dismissed — Plaintiffs claimed groundwater of property was contaminated by substance that migrated from adjoining properties owned by defendants — No independent remediation was carried out — Court had no jurisdiction because there was no finding by "director" pursuant to Environmental Management Act that affected property was contaminated site.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Environmental law — Environmental legislation — Provincial legislation — Action by plaintiffs for order compelling remediation of real property dismissed — Plaintiffs claimed groundwater of property was contaminated by substance that migrated from adjoining properties owned by defendants — No independent remediation was carried out — Court had no jurisdiction because there was no finding by "director" pursuant to Environmental Management Act that affected property was contaminated site.</w:t>
      </w:r>
    </w:p>
    <w:p>
      <w:pPr>
        <w:jc w:val="both"/>
        <w:rPr>
          <w:rFonts w:ascii="arial" w:eastAsia="arial" w:hAnsi="arial" w:cs="arial"/>
          <w:sz w:val="20"/>
          <w:lang w:val="en-US" w:eastAsia="en-US" w:bidi="ar-SA"/>
        </w:rPr>
      </w:pPr>
      <w:bookmarkStart w:id="39" w:name="Legislation Cited_4"/>
      <w:bookmarkEnd w:id="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Environmental Management Act, </w:t>
      </w:r>
      <w:r>
        <w:rPr>
          <w:rFonts w:ascii="arial" w:eastAsia="arial" w:hAnsi="arial" w:cs="arial"/>
          <w:i/>
          <w:color w:val="000000"/>
          <w:sz w:val="20"/>
          <w:lang w:val="en-US" w:eastAsia="en-US" w:bidi="ar-SA"/>
        </w:rPr>
        <w:t>SBC 2003, CHAPTER 53</w:t>
      </w:r>
      <w:r>
        <w:rPr>
          <w:rFonts w:ascii="arial" w:eastAsia="arial" w:hAnsi="arial" w:cs="arial"/>
          <w:color w:val="000000"/>
          <w:sz w:val="20"/>
          <w:lang w:val="en-US" w:eastAsia="en-US" w:bidi="ar-SA"/>
        </w:rPr>
        <w:t>, "director, s. 44, s. 44(1), ss. 45-50, s. 46, s. 47, s. 47(7)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Rule 3-1(2)(c)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0" w:name="Counsel_5"/>
      <w:bookmarkEnd w:id="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Colgur.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Sorprop Holdings Ltd.: A. 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Barroca Enterprises Ltd., Christopher Shawn Barroca and Michelle Leanne Barroca: D. Kawano.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1" w:name="Judgment_5"/>
      <w:bookmarkEnd w:id="41"/>
      <w:r>
        <w:pict>
          <v:line id="_x0000_s1057"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2" w:name="T.J. MELNICK J."/>
            <w:bookmarkEnd w:id="42"/>
            <w:r>
              <w:rPr>
                <w:rFonts w:ascii="arial" w:eastAsia="arial" w:hAnsi="arial" w:cs="arial"/>
                <w:b/>
                <w:color w:val="000000"/>
                <w:sz w:val="30"/>
                <w:lang w:val="en-US" w:eastAsia="en-US" w:bidi="ar-SA"/>
              </w:rPr>
              <w:t>T.J. 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Terrim Properties Ltd. ("Terrim"), claims that the groundwater of certain real property it formerly owned was contaminated by a substance which it asserts migrated from adjoining properties owned by the defendants. Terrim seeks general and special damages as a result as well as an order compelling the defendants to remediate the property which is now owned by another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resist Terrim's claim on a number of bases: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Sorprop:</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did not bring anything or accumulate anything on its property that could escape.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Terrim's action is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it relates to damages that occurred more than two years before this action was commenced.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acquired its property in 2004 and thus is not liable in nuisance if there was any substance that escaped from the property it now owns at the time it was owned by another corporation which operated a facility that sold gasoline.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Terrim has framed its argument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has not pleaded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has no jurisdiction to issue a remediation order in these circumstances as the process is governed by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Terrim has not followed the procedure laid down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thus can seek neither remediation nor damages at this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Barroca: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Terrim has provided no evidence that any contaminant originated from or migrated through its property to that formerly owned by Terrim.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defendants rely on s. 46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say that they are not "responsible persons" under the provisions of the </w:t>
      </w:r>
      <w:r>
        <w:rPr>
          <w:rFonts w:ascii="arial" w:eastAsia="arial" w:hAnsi="arial" w:cs="arial"/>
          <w:i/>
          <w:color w:val="000000"/>
          <w:sz w:val="20"/>
          <w:lang w:val="en-US" w:eastAsia="en-US" w:bidi="ar-SA"/>
        </w:rPr>
        <w:t>Act.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adopt the argument of the defendant Sorprop Holdings Ltd. ("Sorprop").</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early 2008, Terrim received approval from the British Columbia Lottery Corporation to operate a gaming centre in Castlegar. Later that year it sought financing to enable it to proceed with the project. Terrim obtained a commitment from a financial institution to provide the financing subject to Terrim providing certain security. The security included Terrim granting a mortgage over real property on which it owned two apartment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property in question is Lot A, District Lot 4, Kootenay District, Plan 10372 ("the affected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One of the lender's requirements was that Terrim provide an environmental assessment of the affected property. Two assessments were carried out which suggested the groundwater in the affected property was contaminated. The nature of the contamination was such as to suggest to Terrim that it had been caused by contaminants that had migrated from an adjoining property now owned by Sorprop. From the material filed in support of Terrim's claim on this summary trial, it is less clear upon what basis it claims that Barroca Enterprises Ltd. ("BarrocaCo") or its shareholders, Christopher Shawn Barroca or Michelle Leanne Barroca, were responsible for the contamination. However, the BarrocaCo property also adjoins the affected property and so perhaps it was prudent to join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any event, as a consequence of the discovery of the contaminated groundwater, the lender withdrew its commitment to finance the gaming facility for Terrim. Possibly because the approval to construct the gaming facility was specific to Terrim and likely was not something that Terrim could assign to another (I'm guessing here because the evidence does not establish this), Terrim transferred ownership of the affected property to a corporation by the name of 2 Baker Developments Ltd. ("2 Baker") and then the shares of Terrim were sold to a third party by Terrim's shareholder(s). The sale of Terrim took place on September 30, 2011, to the third party who apparently had the financial capacity to construct the gaming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meantime, however, this action had been commenced by Terrim on November 25, 2010, which was less than two years after Terrim received the first of the two environmental assessments dated December 2, 2008, from J Jensen Environmental Consulting ("J Jensen"). It was from this report, says Terry Segarty, the former president and a director of Terrim, and the president and a director of 2 Baker, that Terrim first became aware of a contamination problem in the groundwater of the affected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reasons that are not explained, Terrim has continued on as the plaintiff in this action notwithstanding that the affected property is now owned by 2 Baker. That is, there is no evidence as to any arrangement between 2 Baker and Terrim respecting Terrim continuing as plaintiff notwithstanding that, one would assume, any general damages suffered are by the owner of the affected property and if anyone is entitled to remediation it is the owner of the affected property. There is no evidence that Terrim suffered damages by having to sell the affected property to 2 Baker for less than would otherwise have been the case if it had not been contaminated. In fairness, however, Terrim did expend considerable money for the environmental work and was, of course, also out of pocket for the application fees and related expenses it lost when the financing was withdrawn. Thus, it has a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 Jensen had carried out what is known as a Phase 1 assessment. The lender required a Phase 2 assessment given the concerns raised in the Phase 1 report. This was carried out by SNC-Lavalin Environment Inc. ("SNC-Lavalin") who confirmed the finding in the Phase 1 report. Interestingly, neither the J Jensen report nor the SNC-Lavalin report was able to pinpoint the source of the contamination. The defendants had not permitted test wells to be drilled on their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during the course of the assessment by J Jensen, a search was carried out in the BC Environment Site Registry. This revealed that there were two environmental reports on file relating to the Sorprop property but pre-dating Sorprop's purchase of the property. These reports were a Landmark Consulting Environmental Report dated August 21, 1995, and another report from that firm dated September 14, 1996. Both reports had been on file with the registry maintained by the Ministry of Environment since 1996. Thus, the position taken on this application by Terrim is that Sorprop was negligent in not having searched and found the reports and by not having followed up on them. The thesis of counsel for Terrim was that, had Sorprop done so and taken steps to ensure the environmental soundness of its property, the affected property may no longer have been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any event, although not pleaded by Terrim,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for liability for remediation in ss. 45 to 50. Whether a certain site is contaminated is to be determined in accordance with s. 44. Section 44(1)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(1) A director may determine whether a site is a contaminated site and, if the site is a contaminated site, the director may determine the boundaries of the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is no evidence that a director has made any determination respecting the affected site.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definition of "director" does not include a judge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Section 47 provides: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responsible for remediation of a contaminated site is absolutely, retroactively and jointly and separately liable to any person or government body for reasonably incurred costs of remediation of the contaminated site, whether incurred on or off the contaminated site.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Subsection (1) must not be construed as prohibiting the apportionment of a share of liability to one or more responsible persons by the court in an action or proceeding under subsection (5) or by a director in an order under section 48 </w:t>
      </w:r>
      <w:r>
        <w:rPr>
          <w:rFonts w:ascii="arial" w:eastAsia="arial" w:hAnsi="arial" w:cs="arial"/>
          <w:i/>
          <w:color w:val="000000"/>
          <w:sz w:val="20"/>
          <w:lang w:val="en-US" w:eastAsia="en-US" w:bidi="ar-SA"/>
        </w:rPr>
        <w:t>[remediation orders]</w:t>
      </w: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section, "costs of remediation" means all costs of remediation and includes, without limitation,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preparing a site profile,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costs of carrying out a site investigation and preparing a report, whether or not there has been a determination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xml:space="preserve"> as to whether or not the site is a contaminated site,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and consultant costs associated with seeking contributions from other responsible persons,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imposed by a director, a municipality, an approving officer or the commission under this Part.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under this Part applies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the introduction of a substance into the environment is or was not prohibited by any legislation if the introduction contributed in whole or in part to the site becoming a contaminated site,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terms of any cancelled, expired, abandoned or current permit or approval or waste management plan and its associated operational certificate that authorizes the discharge of waste into the environment.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section 50 (3) </w:t>
      </w:r>
      <w:r>
        <w:rPr>
          <w:rFonts w:ascii="arial" w:eastAsia="arial" w:hAnsi="arial" w:cs="arial"/>
          <w:i/>
          <w:color w:val="000000"/>
          <w:sz w:val="20"/>
          <w:lang w:val="en-US" w:eastAsia="en-US" w:bidi="ar-SA"/>
        </w:rPr>
        <w:t>[minor contributors]</w:t>
      </w:r>
      <w:r>
        <w:rPr>
          <w:rFonts w:ascii="arial" w:eastAsia="arial" w:hAnsi="arial" w:cs="arial"/>
          <w:color w:val="000000"/>
          <w:sz w:val="20"/>
          <w:lang w:val="en-US" w:eastAsia="en-US" w:bidi="ar-SA"/>
        </w:rPr>
        <w:t>, any person, including, but not limited to, a responsible person and a director, who incurs costs in carrying out remediation of a contaminated site may commence an action or a proceeding to recover the reasonably incurred costs of remediation from one or more responsible persons in accordance with the principles of liability set out in this Part.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(7) and (8), a person is not required to obtain, as a condition of an action or proceeding under subsection (5) being heard by a court,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determination, opinion or apportionment of liability for remediation from a director,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opinion respecting liability from an allocation panel.</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all cases, the site that is the subject of an action or proceeding must be determined or considered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xml:space="preserve"> to be or to have been a contaminated site before the court can hear the matter.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subsection (7), if independent remediation has been carried out at a site and the site has not been determined or considered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xml:space="preserve"> to be or to have been a contaminated site, the court must determine whether the site is or was a contaminated site.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determine in accordance with the regulations, unless otherwise determined or established under this Part, any of the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person is responsible for remediation of a contaminated site;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of remediation of a contaminated site have been reasonably incurred and the amount of the reasonably incurred costs of remediation;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apportionment of the reasonably incurred costs of remediation of a contaminated site among one or more responsible persons in accordance with the principles of liability set out in this Part;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determinations as are necessary to a fair and just disposition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has been no independent remediation carried out respecting the affected property.</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Quite apart from the extent to which Terrim has the present capacity to maintain this action (a point that does not appear to have concerned any of the defendants), I am satisfied that it commenced this action within two years of first becoming aware of the contamination of the affected property and is thus within the two years provided by s. 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for the commencement of an action with the application of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However, with respect to Terrim's claim for remediation, I agree with counsel for the defendants that Terrim's claim is barred by s. 47(7)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There has been no finding by a director pursuant to s. 44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the affected property (or those of the defendants) is a contaminated site. I therefore have no jurisdiction to deal with the question of remediation - of either the affected property or the properties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for the argument grounded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Sorprop, that cannot be maintained either as Terrim has not pleaded its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trite law (as well as R 3-1(2)(c)) that one must plead the legal basis for seeking relief. Neither counsel for the defendants came to court prepared to deal with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anticipated, properly, that they were here to meet a claim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During the hearing, counsel for Terrim conceded that Terrim was not pursuing its claim in nuisance. That makes sense, because the evidence did not disclose that any of the defendants had brought onto their properties (or allowed to accumulate on their properties) any substance that, having escaped into the affected property, thus contaminated it. In this respect see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(1868), L.R. 3 H.L. 330 (H.L.).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makes provision for situations such as this (i.e. for the liability of a subsequent owner of land from which has escaped a contaminant) but the aggrieved property owner must follow the procedure prescribed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noted above, I do not have the jurisdiction to deal with the situation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Given the above, it is not necessary for me to come to any conclusions respecting the capacity of Terrim to maintain all of the claims it advances. Nor is it necessary for me to come to any conclusions as to the extent to which either the J Jensen report or the SNC-Lavalin report would assist a finder of fact in determining, on a balance of probabilities, the source of the contamination that has affected the affected property.</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Terrim's action is dismissed. The defendants are entitled to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T.J. 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Transpacific Petroleum Corp. v. Dover Investments Ltd., [2009] B.C.J. No. 2377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15-19, 22-26, 29-30, October 1-3, 6-10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S033664, S068338, S072294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918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C.C.E.L. (3d) 205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3244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789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Dover Investments Limited and Robert Salna, Plaintiffs, and Transpacific Petroleum Corp. and Ghareeb Awad, Defendants And between Transpacific Petroleum Corp. and Ghareeb Awad, Plaintiffs, and Dover Investments Limited and Robert Salna, Defendants And between Dover Investments Limited, Plaintiff, and Transpacific Petroleum Corp. and Ghareeb Awad,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(256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November 26, 2009. See </w:t>
      </w:r>
      <w:hyperlink r:id="rId109" w:history="1">
        <w:r>
          <w:rPr>
            <w:rFonts w:ascii="arial" w:eastAsia="arial" w:hAnsi="arial" w:cs="arial"/>
            <w:i/>
            <w:color w:val="0077CC"/>
            <w:sz w:val="18"/>
            <w:u w:val="single"/>
            <w:shd w:val="clear" w:color="auto" w:fill="FFFFFF"/>
            <w:lang w:val="en-US" w:eastAsia="en-US" w:bidi="ar-SA"/>
          </w:rPr>
          <w:t>[2009] B.C.J. No. 2354</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3" w:name="Keywords_6"/>
      <w:bookmarkEnd w:id="43"/>
      <w:r>
        <w:rPr>
          <w:rFonts w:ascii="arial" w:eastAsia="arial" w:hAnsi="arial" w:cs="arial"/>
          <w:b/>
          <w:color w:val="000000"/>
          <w:sz w:val="20"/>
          <w:lang w:val="en-US" w:eastAsia="en-US" w:bidi="ar-SA"/>
        </w:rPr>
        <w:t>Civil litigation — Civil procedure — Contempt of court — What constitutes — Judgments and orders — Disobedience or non-compliance with — Action by plaintiffs Transpacific and Awad relating to joint venture agreement between the parties dismissed — The joint venture agreement concerned an Egyptian oil and gas concession — In second of three related actions, Transpacific and Awad claimed against defendants Dover and Salna for breach of contract, wrongful dismissal and contempt of an injunction order — Salna's actions in showing copies of order to third parties were not in contempt of the order restricting certain communications. Multiple actions relating to a joint venture agreement between the parties concerning an Egyptian oil and gas concession where the claims of Awad and Transpacific Petroleum Corp. were dismissed, and the claims of Dover Investments Ltd. and Salna were allowed — The multiple findings made included the following: Salna was entitled to an additional 0.353 per cent from Awad's share as reflected in the "February Agreement"; Awad had not been wrongfully dismissed, as he had resigned; Awad was liable in defamation, with damages to be assessed; Salna was not in contempt of the July 18, 2003 order; etc.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Corporations, partnerships and associations law — Joint ventures — Relations of venturers to one another — Allocation of revenues — Allocation of profits and losses — Multiple actions relating to a joint venture agreement between the parties concerning an Egyptian oil and gas concession where the claims of Awad and Transpacific Petroleum Corp. were dismissed, and the claims of Dover Investments Ltd. and Salna were allowed — The multiple findings made included the following: Salna was entitled to an additional 0.353 per cent from Awad's share as reflected in the "February Agreement"; Awad had not been wrongfully dismissed, as he had resigned; Awad was liable in defamation, with damages to be assessed; Awad was not entitled to a share in the REU 12 well; etc.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Discipline and termination of employment — Resignation — Multiple actions relating to a joint venture agreement between the parties concerning an Egyptian oil and gas concession where the claims of Awad and Transpacific Petroleum Corp. were dismissed, and the claims of Dover Investments Ltd. and Salna were allowed — The multiple findings made included the following: Salna was entitled to an additional 0.353 per cent from Awad's share as reflected in the "February Agreement"; Awad had not been wrongfully dismissed, as he had resigned; Awad was liable in defamation, with damages to be assessed; Awad was not entitled to a share in the REU 12 well; etc.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What constitutes defamatory words — Multiple actions relating to a joint venture agreement between the parties concerning an Egyptian oil and gas concession where the claims of Awad and Transpacific Petroleum Corp. were dismissed, and the claims of Dover Investments Ltd. and Salna were allowed — The multiple findings made included the following: Salna was entitled to an additional 0.353 per cent from Awad's share as reflected in the "February Agreement"; Awad had not been wrongfully dismissed, as he had resigned; Awad was liable in defamation, with damages to be assessed; Awad was not entitled to a share in the REU 12 well; etc.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4" w:name="Case Summary_4"/>
            <w:bookmarkEnd w:id="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Multiple actions relating to a joint venture agreement between the parties concerning an Egyptian oil and gas concession (the REU) that was assigned from Marathon Petroleum Gebel El Zeit Ltd. in 2000. In the first action, Dover Investments Ltd. sought damages for libel, slander and intentional interference with contractual relations as a result of Awad's May 20, 2003 letter to the Chairman of the Egyptian General Petroleum Corporation. Awad counterclaimed for breach of an Oct. 20 employment agreement and a revised agreement made between April 14, 2003 and April 21, 2003. In the second action, Awad sought oppression remedies pursuant to the Business Corporation Act. In the third action, Transpacific Petroleum Corp. and Awad claimed against Dover and Salna for breach of contract, wrongful dismissal, contempt of an injunction order, and other claims arising out of the "February Agreement". Presently, the issues for determination were: (1) whether Awad was wrongfully dismissed; (2) whether he was entitled to unpaid wages and benefits; (3) whether he was entitled to a 50 per cent interest in the Abu Sennan concession; (4) whether he was entitled to damages for a Range Rover; (5) whether he was entitled to a share in the well named REU 12; (6) whether Salna was in contempt of the July 18, 2003 order restricting certain communications; (7) whether Dover and Salna were entitled to the claim against Awad for libel and slander and/or interference with contractual relations; (8) whether Dover and Salna breached the joint venture agreement by improperly deducting financing costs; (9) whether Awad was entitled to loss of foreign tax credits; and (10) whether Dover intentionally or negligently reduced oil production.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5" w:name="Holdings of Court_3"/>
            <w:bookmarkEnd w:id="45"/>
            <w:r>
              <w:rPr>
                <w:rFonts w:ascii="arial" w:eastAsia="arial" w:hAnsi="arial" w:cs="arial"/>
                <w:color w:val="000000"/>
                <w:sz w:val="20"/>
                <w:lang w:val="en-US" w:eastAsia="en-US" w:bidi="ar-SA"/>
              </w:rPr>
              <w:t>HELD: Claims of Awad and Transpacific dismissed; claims of Dover and Salna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Salna was entitled to an additional 0.353 per cent from Awad's share as reflected in the February Agreement. The court was willing to have submissions on the damages arising from Awad's libellous correspondence and interference with contractual relations. (1) Based on the evidence, Awad resigned from the position of Deputy Manager and negotiated the terms of his resignation. The claim that he had provided his resignation letter for the sole purpose of facilitating the Affinity financing, and that after said financing fell through his resignation was void was rejected. He knew by July 12, 2000 before he signed his resignation that Affinity was not prepared to lend any money. He was entitled to no further payment or damages for breach of the employment contract. At no time was he wrongfully dismissed. (2) Awad had not proved he was entitled to a 70 per cent uplift as a term of his employment contract or as a term of the concession agreement. The claim was ill-conceived. (3) Dover and Salna had not breached the February Agreement by not conveying an interest in the Abu Sennan concession to Awad. He was not entitled to a 50 per cent interest or any other interest in the concession. (4) The issue of the Range Rover was solely caused by Awad, who had transferred the ownership to Dover without its consent or knowledge. He then refused a transfer back to him, so as to avoid payment of customs duties or shipping costs. He had no claim under contract or in equity for what he sought. Awad had until Aug. 15, 2009 to provide evidence that he had paid the necessary taxes, duties and/or penalties on the vehicle and it would be transferred to him. Failing that, Dover could retain the vehicle. (5) Awad was not entitled to any of the revenues from REU 12. He told and allowed Dover to go sole risk on the well, and refused to pay or contribute towards the cost of the REU 1, REU 11 or REU 12 wells. (6) Salna was not in contempt of the July 18, 2003 order. Salna had showed a copy of the order to the EGPC, the Minister of Petroleum and Petrozeit. Doing so was not a breach of the order. The court was unable to find Salna made the statements attributed to him on the evidence, and even if he did, the Internet Stockwatch article was not covered under the order. Finally, even if Salna made the comments in question, truth was a defence to the claim. (7) The statements in question were defamatory and Awad admitted that in sending the May 23, 2003 letter he was "out to get" Salna. Awad was liable for interfering with contractual relations. He interfered with Dover's business, used unlawful means, intended to cause injury or damages and damages resulted. The court invited submissions on damages. Dover and Salna were entitled to damages equivalent to their out-of-pocket expenses totalling $21,992. (8) This claim failed. The February Agreement was clear. Dover was entitled to recover "all of its advanced funds, including the operating costs as well as all costs of financing to close the deal" before there was a distribution of net revenues. (9) Awad's claim that he lost his foreign tax credits or that there was a breach of the joint venture agreement because his profit was distributed from Salna's personal account instead of Dover's corporate account failed. Expert testimony showed that the actual physical source of the monies would not have precluded him from claiming foreign tax credits. Nor would he lose his entitlement by virtue of other individuals claiming excess foreign tax credits. (10) The claim that Dover somehow intentionally or negligently reduced oil production failed. The court preferred the evidence that all oil fields declined differently and irregularly. Furthermore, it was impossible given the joint structure of Petrozeit for Dover to intentionally reduce production.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6" w:name="Legislation Cited_5"/>
      <w:bookmarkEnd w:id="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 Act, </w:t>
      </w:r>
      <w:hyperlink r:id="rId110" w:history="1">
        <w:r>
          <w:rPr>
            <w:rFonts w:ascii="arial" w:eastAsia="arial" w:hAnsi="arial" w:cs="arial"/>
            <w:i/>
            <w:color w:val="0077CC"/>
            <w:sz w:val="20"/>
            <w:u w:val="single"/>
            <w:shd w:val="clear" w:color="auto" w:fill="FFFFFF"/>
            <w:lang w:val="en-US" w:eastAsia="en-US" w:bidi="ar-SA"/>
          </w:rPr>
          <w:t>R.S.O. 1990, c. B.16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7" w:name="Counsel_6"/>
      <w:bookmarkEnd w:id="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Transpacific Petroleum Corp. and Ghareeb Awad: G. Awad,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Dover Investments Limited and Robert Salna: L. Gold.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6"/>
      <w:bookmarkEnd w:id="48"/>
      <w:r>
        <w:pict>
          <v:line id="_x0000_s1062"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Introduction and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September 30, 1999 Joint Venture Agreement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October 27, 1999 Employment Contract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February 2000 Joint Venture Agreement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The Actions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Dover Investments Limited v. Transpacific Petroleum Corp. (VA S033664) 2. Awad v. Dover and Salna (Ont. S.C.J. No. 03-CL5217) 3. Transpacific Petroleum Corp. v. Dover Investments Limited (VA S068338) 4. Dover Investments Limited v. Transpacific Petroleum Corp. (VA S072294)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The Issues for Determination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1: Was Awad Wrongfully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2: Is Awad Entitled to Unpaid Wages and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3: Is Awad Entitled to a 50 Percent Interest in Abu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Sennan?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4: Is Awad Entitled to Damages for the Range Rover?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5: Is Awad Entitled to Share in REU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6: Was Salna in Contempt of the July 18,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7: The Claim against Awad for Libel and Slander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and/or Interference with Contractual Relations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8: Has Dover and Salna Breached the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Agreement by Improperly Deducting Financing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9: Is Awad Entitled to Loss of Foreign Tax Credits?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10: Did Dover Intentionally or Negligently Reduce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Oil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Conclusion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L.A. LOO J."/>
            <w:bookmarkEnd w:id="49"/>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Introduction and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three actions relate to a joint venture agreement between the parties concerning an Egyptian oil and gas concession known as the Ras El Ush (referred to as "REU") that was assigned from Marathon Petroleum Gebel El Zeit Ltd. ("Marathon") in 2000. The REU is also the subject of litigation in Ontario. Another oil and gas concession in Egypt called East Wadi Araba ("EWA") and agreement was entered into between Robert Salna, Ghareeb Awad, John Riva, and Dover Investments Limited ("Dover"). The EWA is currently the subject of litigation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gave my oral decision on most of the issues on March 25, 2009 with reasons for judgment to follow. These are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Ghareeb Awad is a 63-year-old petroleum geologist/geophysicist who has a Ph.D. in applied geophysics from the University of Cairo and worked for the Egyptian General Petroleum Corporation ("EGPC") before immigrating to Canada in 1980 and working for Petro-Canada and Getty Oil Company. He became an "independent consultant" in 1984 and since 2003 has lived in Richmond,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Transpacific Petroleum Corp. ("Transpacific") is a company incorporated in British Columbia and wholly owned and controlled by Dr.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Robert Salna is a 52-year-old businessman who resides in Richmond Hill, Ontario. He is a university graduate, a licensed land surveyor, and the president and sole shareholder of a land surveying company. Mr. Salna began investing in real estate as a teenager and after finding gold in Aruba, began a number of Canadian public companies including Monte Carlo Gold Mines Ltd. He knew nothing about Egyptian oil and gas concessions or doing business in Egypt until a discussion with John Riva, who was a board member of Monte Carlo Gold Mines Ltd., led him to Dr.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Dover is a company incorporated in Ontario and wholly owned and controlled by Mr. Salna.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Awad testified on his own behalf and called no other evidence. Dover and Robert Salna called ten witnesses, including two experts. Dr. Awad's credibility is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Egypt's oil and gas reserves are generally developed under a concession agreement providing for the production-sharing arrangements between the Government of Egypt, the EGPC, and a Contractor (most often a foreign entity). A model form of concession agreement has been used in Egypt since about 1973. Under the concession, the Contractor is granted an initial exploration phase and required to take all risks relating to exploration, including minimum work commitments and financial obligations. Following commercial discoveries, the concession is operated by the Contractor and the EGPC through a joint operating company, the shares of which are owned equally by the Contractor and the EGPC. Both the Contractor and the EGPC appoint members to the board of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case the joint operating company is known as Petrozeit.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1998 Dr. Awad was living in Egypt when he learned that Marathon was selling its assets in Egypt, including the REU. A geologist who was valuing the REU for a client asked Dr. Awad to assist him in reviewing data in Marathon's data room in Cairo. Later he and the geologist flew to Houston, Texas where they attended Marathon's offices and Dr. Awad reviewed the REU's daily production logs and geological information. Dr. Awad was paid for all of his expenses to conduct this review in late 1998 or early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Dr. Awad learned that the geologist's client was not interested in acquiring the REU, he decided to acquire an interest himself, but he had no money. He needed to find someone who could come up with $12.5 million. Only a company could acquire the concession, and the Minister of Petroleum preferred a foreign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Awad decided to go to Vancouver where his daughters lived, and find someone with a "small company" so that he could "cut a good deal" for himself. Dr. Awad arrived in Vancouver around the spring of 1999 and his enquires led him to Canoil Exploration Corp. ("Canoil"), a small Vancouver Stock Exchange company. Dr. Awad convinced the principals of Canoil to acquire the REU, or at least attempt to finance its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Dr. Awad, Quest Capital Corp. ("Quest") signed a letter of intent to finance $7 million on the condition that Canoil put up $700,000. Marathon approved Canoil's bid, but the deal collapsed because Canoil only had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Awad explained his unsuccessful efforts to John Riva (who has since died in September 2007). According to Dr. Awad, Mr. Riva told him that he knew Robert Salna from Toronto who "made a lot of money from public companies". That led to a telephone discussion between Dr. Awad, Mr. Salna, and Mr. Riva in mid-September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telephone discussion, Dr. Awad explained to Mr. Salna about the REU oil reserves and production, and his deal with Marathon to accept $12.5 million by September 30, 1999 which was just 14 days away. Dr. Awad gave Mr. Salna the name of Murray Sinclair at Quest, and Don Moore, the president of Phoenix Canada Oil Co., an international oil exploration company, as someone interested in purchasing an interest in the REU.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Awad claims that Mr. Salna, who he had never met, agreed in their initial discussion that "he would put up the money and the deal would be 40 percent for myself, 40 percent for Mr. Salna and 20 percent for Mr. Riva". He claims that Mr. Salna told him "he can walk into the bank and get the twelve and a half million dollars just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Awad claims that before they faxed their proposal to Marathon, Mr. Salna told him that he had a shell company, Dover Investments Limited, Isle of Man that they would use to acquire the REU, and that after the deal closed, the shares in Dover Investments Limited, Isle of Man would be reallocated 40/40/20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Salna testified that in the initial telephone discussion Mr. Riva had proposed using a shell company and raising the money through the public market and out of the control block, the shares could be divided 40/40/20. That idea was quickly discarded because it was impossible to do that within two weeks. Mr. Salna also told Dr. Awad that he could only handle 25 percent of the purchase price and that is why Dr. Awad gave him the names of Murray Sinclair and Don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Salna reviewed documents he asked Dr. Awad to send to him. He also spoke to Dave Coatney at Marathon who indicated that Marathon wanted more than $13 million and a $1.3 million (USD) deposit by September 30, 1999. Mr. Salna negotiated with Mr. Coatney to arrive at $13.5 million as the purchase price, and a period of due diligence ending in mid-October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Salna contacted Mr. Moore who indicated that he was interested and that his company could handle about 75 percent of the purchase price, which left Mr. Salna with having to finance 25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Salna testified that he did not have a shell company. Dover Investments Limited, Isle of Man was not his company. Barry Stinton was the sole director of that company, and the Aurora, Ontario address was Mr. Stinton's address. Mr. Stinton allowed him to use the shell company for the bid (which I note as being signed by Barry Stinton of Aurora, Ontario), but was unwilling to sell the company. As a result, Mr. Salna incorporated Dover Investments Limited (Cayman). He later transferred the Marathon acquisition to Dover Investments Limited, an Ontario Corporation. It was too difficult to finance the acquisition with an off-shore corporation, and a tax treaty between Canada and Egypt allowed credit for taxes paid in Egypt so that the revenues could be brought into Canada without negative tax ramifications.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Binding Letter of Intent was made between Dover Investments Limited, Isle of Man and Marathon on September 27, 1999 providing for a purchase price of $13,500,000 (USD), an initial payment of $1,350,000 (USD), and the closing contemplated as November 15, 1999 and no later than January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Sometime in or around this time period, Mr. Moore decided not to participate and Mr. Salna was left with financing the entire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Binding Letter of Intent was signed, Mr. Salna and his brother Dexter Salna flew to Egypt as part of the due diligence. It was the first time that Robert and Dexter Salna met Dr. Awad in person. He picked them up at the Cairo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Dexter Salna has a degree in civil engineering and a master's degree in construction management. He worked for two years as a project manager for PCL Construction before obtaining a master's in business administration from Harvard. He has managed a number of businesses, including construction companies and computer companies. He worked for many years as CFO for Trapeze, a division of Constellation Software Inc. ("Constellation"), the second largest Canadian-controlled software company, and as CFO of other divisions within Constellation, and has been involved in a number of business acquisitions.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Salna took a leave of absence from Constellation, and took up residence in Cairo in January 2000 after his brother Robert offered him a job assisting him in Petrozeit's operations. Dexter Salna managed the accounting and finances for Dover and Petrozeit until he left Egypt in or around April 2001. At the time of trial, he was a general manager at Constellation and manages a division of approximately 180 employees with revenues of between $25 and $30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September 30, 1999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Three days after Marathon accepted the Binding Letter of Intent, a September 30, 1999 joint venture agreement (the "September Agreement") was prepared by Dr. Awad on his computer: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 JOINT VENTURE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September 30,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Subjects: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acquisition of Marathon-Egypt Ras El Ush Oil Lease. *Canadian International Petroleum Ltd. (CIPL)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First party:</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Dover Investment Ltd an Isle of Man Corporation whose principal office is at 1 Corbett Crecent, Aurora, Ontario, Canada L4G 2E9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party:</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Ghareeb M. Awad, whose principal address is at 501-3428 Crowley Dr., Vancouver-B.C. V5R 6C4 Canada.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Third party: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D. Riva, whose principal address is at 2940 Conrad Drive N.W., Calgary-Alberta T2L 1B4 Canada.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introduction and the [advice] of the third party (Riva) of the second party (Awad) and, as a result of the second party's (Awad) technical work, [advice] and recommendation, the [first] party (Dover) has agreed to form a Joint Venture between the three parties and submit an offer to Marathon Oil Company to acquire 100% of its interest in Ras El Ush Oil Field and develop lease located in the Gulf of Suez-Egypt for the total of US$13,500,000 with accrued net revenues to the joint venture effective September 01, 1999. The joint venture's offer was accepted by Marathon Oil Company on September 27, 1999 and should close no later than January 31,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financing of this deal will be the responsibility of the first party (Dover) whereby, all the funds to close this transaction, will be the responsibility of Dover. Dover will recover all its advanced funds (including all advanced operating costs), as well as all costs of financing to close the deal from the field's net oil revenues.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the recovery of Dover's funds, the 100% of the Joint Venture interest will be re-allocated to reflect each party's interest in the joint venture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Dover Investment Ltd.</w:t>
            </w:r>
          </w:p>
        </w:tc>
        <w:tc>
          <w:tcPr>
            <w:tcW w:w="532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65% (Sixty Five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Ghareed M. Awad et 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15% (Fifteen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3869"/>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D. Riva et al</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05% (Five Percent) and,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Financier</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15% (Fifteen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financier's share of 15% is saved (or partially saved), the saved portion will be divided proportionately among the other three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Dover owns the majority interest in the Joint Venture yet, no major transaction of significant effect on the property will be valid without the consent of all the partners.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three Joint Venture partners are in the process of forming a separate company to handle future oil and gas explorations and production in Egypt and elsewhere under the name Canadian International Petroleum Ltd., based in Canada and will be listed and traded publicly. The current interests in this company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Ghareed M. Awad et al</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50% (Fifty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Robert Salna et al</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30% (Thirty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D. Riva et 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20% (Twenty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Dover will submit any offers for concession bid-rounds or the acquisition of other properties on behalf of Canada International Petroleum Ltd. (CIPL), provide its assets in Egypt as guarantees to the government and pay any signature bonuses to the government then, Dover will transfer the 100% interest in such concession(s) or asset(s) to CIPL. CIPL will pay-back to Dover all the expenses involved in such acquisition.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is in full force effective immediately and binding to all parties, their heirs, assignors and successors.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all parties to this agreement are Canadian citizens, any future disputes among the partners will be litigated in Canadian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is acknowledged and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Dover Investment Ltd.</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1999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Ghareeb M. Awad</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Sept. 30, 1999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D. Riva</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Sept. 30, 1999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 October 27, 1999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Awad told Mr. Salna that he was the best geologist and geophysicist in Egypt, he was extremely well connected, he went to school with most of the people who had high connections in the EGPC, and his connections and credentials alone would guarantee that the concession would be assigned if he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Awad convinced Mr. Salna that he was capable and qualified to manage the Petrozeit operation which had more than 200 employees. Not only was he qualified, he stressed that he was over-qualified. He never told Mr. Salna that only once had he been the general manager of a concession and was terminated from that position before any employees were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soon as Mr. Salna agreed to hire him, Dr. Awad changed his status from Egyptian to "ex-pat" so that he could be paid a higher salary than Egyptians. From 1996 to 2000 Dr. Awad lived in Egypt as an Egyptian.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Awad convinced Mr. Salna that a written employment contract with him had to be provided to the EGPC requirement or they would not "approve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Indeed, Dr. Awad testified that he is a very famous person, everybody knows him, he started in the oil business in Egypt when there was nothing, he has published papers everywhere in the world that everybody reads, he is worth and should be paid at least $10 million annually, and using his name meant the EGPC and the Egyptian government would approve the assignment from Marathon.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Dr. Awad's own words, "Mr. Salna was forced to sign the first employment contract with Awad" on October 27, 1999 appointing him general manager of Petrozeit at a salary of $10,000 a month commencing January 1, 2000. Dr. Awad negotiated the terms of the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employment agreement between Dover Investments Limited (Cayman) and Dr. Awad was prepared by Dr. Awad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27, 1999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Subject: Employment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Dover Investment Ltd. is a private company, incorporated under the laws of the Cayman Islands of the [Caribbean] Sea and its president is Mr. Robert Salna.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Dover, in association with Dr. Ghareeb M. Awad and Mr. John D. Riva has acquired the 100% interest of Marathon Petroleum Grebel El Zeit Ltd. in the Ras El Ush Oil Producing Lease-Egypt and its 50% interest in the Joint Operating Company (Petrozeit). The sale and purchase is effective September 01, 1999 and the final sales and purchase agreement was signed on October 21,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Pending the final approval of the deal by the Egyptian Government, Dover will register a subsidiary company in Egypt, that will own and operate the acquired interests and will be named "Dover Petroleum Egypt Limited".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Dover Investment Ltd., as consented by Mr. John D. Riva, is hereby appointing Dr. Ghareed M. Awad as the General Manager of Petrozeit and the General Manager of Dover Petroleum Egypt Limited. Dr. Awad is fully authorized to run their operations in Egypt. The Egyptian General Petroleum Corporation will be officially notified of such appointment and authorization.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recognition of Dr. Awad's efforts to run our operations in Egypt, he will be paid a monthly non-taxable salary and expenses in the sum of US$10,000 (Ten Thousand American Dollars). This employment contract is effective January 01, 2000 and will be valid for one year (re-newable with three [months'] notice before expiry) and is in full force and binding to all parties as of today, subject to receiving the approval of our acquisition of Marathon's interests by the Egyptian Government.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Accepted 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Robert Salna-President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 D. Riva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Ghareeb M.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it was initially contemplated that the assignment would be concluded by the end of January 2000, it did not close until July 24, 2000. It was because of Dr. Awad's name that the assignment was delayed. Dr. Awad says it was because Mr. Halim, the EGPC Vice-Chairman of Exploration and Agreements, is jealous of him and he refused to pay him a bribe. Dr. Awad agrees that during that time he had nothing to manage and nothing to do, but he insisted on being paid and was paid $10,000 a month from January 2000 to July 2000. Throughout this time Mr. Salna actively worked towards financing the acquisition which according to Dr. Awad, was Mr. Salna's "problem" and had nothing to do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February 2000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Awad complains that Mr. Salna "had no money" and "had to sell 5.7% of his interest to some of his business associates for US$970,000" in order to finance the acquisition. However, it is clear from the face of the September Agreement that that there would be financing costs. In his examination for discovery, Dr. Awad admitted that he knew from the beginning that Mr. Salna did not have funds on hand to finance the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To help him secure the $1.25 million deposit, in October 1999, Mr. Salna sold 5.71 percent of his interest to a group of seven investors for approximately $970,000. The financiers or lenders did not want a percentage of the REU but a cash bonus. That left 9.29 percent (15 - 5.71 = 9.29) available to be distributed pro rata among the parties under the terms of the September Agreement. However, Dr. Awad was not content with that: he wanted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Salna testified that in the month before February 2000, he received numerous telephone calls from Dr. Awad demanding a greater interest and threatening to sabotage the entire deal if that did not happen. There were many heated discussions between them: Dr. Awad threatened that he was a person with great influence; he knew and had gone to school with the people who made the decisions and if he told them not to approve the assignment, it would not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Awad does not disagree. He testified that he told Mr. Salna that not only was he going to complain to Mr. Coatney at Marathon because he had "enough clout" with Marathon who knew "it was my deal"; he was going to complain to the EGPC about Mr. Salna's ethics.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the testimony of both men and my opportunity to observe them, I have no doubt that Mr. Salna was under tremendous pressure to give in to Dr. Awad's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February 2000 Mr. Salna had guaranteed the 5.71 percent interest held by the investors, or $970,000, and invested approximately $250,000 of his own money. If Dr. Awad made good on his threats, Mr. Salna would have suffered a financial loss. He had already paid the $1.25 million (USD)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was only because of Dr. Awad's continued threats to scuttle the deal that Mr. Salna reluctantly succumbed to Dr. Awad's demands. Dr. Awad received an additional 0.353 percent for a total of 18 percent which is reflected in the February 2000 Joint Venture Agreement (the "February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February Agreement was drafted and prepared by Dr. Awad on his computer and provides: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 JOINT VENTURE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February,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Subjects: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acquisition of Marathon-Egypt Ras El Ush Oil Lease. *Canadian International Petroleum Ltd. (CIPL)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First party:</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Dover Investment Ltd an Ontario-Canada Corporation whose principal office is at 10225 Yonge Street, Richmond Hill, Ontario, MC 3B2 Canada,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party:</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Ghareeb M. Awad, whose principal address is at 501-3428 Crowley Dr., Vancouver-B.C. V5R 6C4 Canada.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Third party: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D. Riva, whose principal address is at 2940 Conrad Drive N.W., Calgary-Alberta T2L 1B4 Canada.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introduction and the advice of the third party (Riva), of the second party (Awad) and, as a result of the second party's (Awad) technical work, advise and recommendation, the first party (Dover) has agreed to form a Joint Venture between the three parties and submit an offer to Marathon Oil Company, to acquire 100% of its interest in Ras El Ush Oil Field and development lease, located in the Gulf of Suez-Egypt for the total of US$13,500,000 with accrued net oil revenues to the joint venture effective September 01, 1999. The joint venture's offer was accepted by Marathon Oil Company on September 27, 1999 and should close no later than March 31,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financing of this deal will be the responsibility of the first party (Dover) whereby, all the funds to close this transaction will be the responsibility of Dover. Dover will recover all its advanced funds, including the operating costs as well as all costs of financing to close the deal from the field's net oil revenues.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recovery of Dover's funds, the 100% of the Joint Venture interest will be reallocated to reflect each party's interest in the joint venture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Dover Investments Limited.</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 76% (Seventy Six</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Percent)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Dr.Ghareeb M. Awad et al</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 18% (Eighteen Percent)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D. Riva et 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06% (Six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general banking system is established the net profits from the property (after paying operating costs and expenses) will be transferred on a monthly basis, directly from Dover's bank account, to each partner's bank account in accordance with his interest in the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Dover owns the majority interest in the Joint Venture yet, no major transaction of significant effect on the property will be valid without the consent of all the partners.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three Joint Venture partners are in the process of forming a separate company to handle future oil and gas exploration and production in Egypt and elsewhere under the name </w:t>
      </w:r>
      <w:r>
        <w:rPr>
          <w:rFonts w:ascii="arial" w:eastAsia="arial" w:hAnsi="arial" w:cs="arial"/>
          <w:b/>
          <w:color w:val="000000"/>
          <w:sz w:val="20"/>
          <w:lang w:val="en-US" w:eastAsia="en-US" w:bidi="ar-SA"/>
        </w:rPr>
        <w:t>Canadian International Petroleum Ltd. (CIPL), based</w:t>
      </w:r>
      <w:r>
        <w:rPr>
          <w:rFonts w:ascii="arial" w:eastAsia="arial" w:hAnsi="arial" w:cs="arial"/>
          <w:color w:val="000000"/>
          <w:sz w:val="20"/>
          <w:lang w:val="en-US" w:eastAsia="en-US" w:bidi="ar-SA"/>
        </w:rPr>
        <w:t xml:space="preserve"> in Canada and will be listed and traded publicly. The current interest in this company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Ghareeb M. Awad et al</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50% (Fifty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Robert P. Salna et al</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30% (Thirty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D. Riva et 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20% (Twenty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Dover will submit any offers for concession bid-rounds or the acquisition of other properties on behalf of Canadian International Petroleum Ltd. (CIPL), provide its assets in Egypt as guarantees to the government and pay any signature bonuses to the government then, Dover will transfer the 100% interest in such concession(s) or asset(s) to CIPL. CIPL will pay-back to Dover all the expenses involved in such acquisition. No major transaction of significant effect on any property acquired for CIPL, will be valid without the consent and the written approval of all the three partners.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is in full force effective immediately and binding to all parties, their heirs, assignors and successors. This agreement supercedes any of the previous arrangements. Since all parties to this agreement are Canadian citizens, any future disputes among the partners will be litigated in Canadian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is acknowledged and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Ghareeb M. Awad</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26 April, 2000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Robert Salna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8th Feb,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President Dover Investments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Limited</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D. Riva</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8th Feb, 2000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Notwithstanding the express provisions of the February Agreement, Dr. Awad astonishingly contends that he received an 18 percent interest in the REU "from day one since we signed the agreement", and that his interest is not allocated or reallocated after Dover recovers all of its financing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Awad complains that he was so unhappy with the percentage split that was "forced" on him that he refused to sign the February Agreement until April 29, 2000. He complains that he hated Mr. Salna because he had "reneged" on the agreement to give him a 40 percent interest, he did not like his ethics, he did not trust him, and he could not help but let everyone know that he hated him. He told prospective lenders that he did not trust Robert Salna and that he was a stupid idiot who knew nothing about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will deal with the actions in the order in which they were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1. Dover Investments Limited v. Transpacific Petroleum Corp. (VA S03364)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Dover commenced this action in August 2003, claiming damages for libel, slander, and intentional interference with contractual relations as a result of Dr. Awad's May 20, 2003 letter to the Chairman of the EGPC in response to Mr. Salna's letter of May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Salna alleges that Dr. Awad threatened to murder him and use his influence to destroy his interest in the REU, and that it was only under duress he agreed to increase Dr. Awad's interest in the REU. Dr. Awad counterclaims for breach of the October 2000 employment agreement and a revised employment agreement made between April 14, 2003 and April 21,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Salna's letter of May 18, 2003 reads:</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May 18,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Eng. Ibrahim Saleh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Chairman, EGPC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cc: Acct. Youssef Kamal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Vice-Chairman for Financial Control of Exploration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&amp; Production Companies, EGPC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certain changes within the Contractor's organization have taken place effective today, May 18, 2003. Dr. Gharib Awad has resigned his post as Deputy Exploration General Manager within the Gebel El Zeit Petroleum Company (Petrozeit) joint venture. His duties will be assumed by Mr. Peter Moulds, currently the General Manager at Petrozeit. Dr. Awad has also resigned as a Board Member on the Petrozeit Board of Directors and will be replaced on the Board by Mr. Dexter Salna.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Robert Salna"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President and CEO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Awad's letter of May 20, 2003 reads:</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May 20, 2003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Egyptian General Petroleum Corporation</w:t>
      </w:r>
      <w:r>
        <w:rPr>
          <w:rFonts w:ascii="arial" w:eastAsia="arial" w:hAnsi="arial" w:cs="arial"/>
          <w:color w:val="000000"/>
          <w:sz w:val="20"/>
          <w:lang w:val="en-US" w:eastAsia="en-US" w:bidi="ar-SA"/>
        </w:rPr>
        <w:t xml:space="preserve"> Palestine Street, New Maadi, Cairo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Fax 202 518 4963, 202 518 4960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Attn: Eng. Ibrahim Saleh - Chairman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Chairman,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reference to the letter that you received from Dover Investment Limited, dated May 18, 2003 concerning my alleged resignation as: </w:t>
      </w:r>
      <w:r>
        <w:rPr>
          <w:rFonts w:ascii="arial" w:eastAsia="arial" w:hAnsi="arial" w:cs="arial"/>
          <w:b/>
          <w:color w:val="000000"/>
          <w:sz w:val="20"/>
          <w:lang w:val="en-US" w:eastAsia="en-US" w:bidi="ar-SA"/>
        </w:rPr>
        <w:t>"Deputy Exploration General Manager and Board Member of Petrozeit"</w:t>
      </w:r>
      <w:r>
        <w:rPr>
          <w:rFonts w:ascii="arial" w:eastAsia="arial" w:hAnsi="arial" w:cs="arial"/>
          <w:color w:val="000000"/>
          <w:sz w:val="20"/>
          <w:lang w:val="en-US" w:eastAsia="en-US" w:bidi="ar-SA"/>
        </w:rPr>
        <w:t>. Please kindly be informed that: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own 18% interest of Ras El Ush oil Lease - Gulf of Suez,</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own 25% interest in East Wadi Araba Concession - Gulf of Suez,</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never submitted any resignation to Robert Salna (President of Dover Investments),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an agreement with Dover that I will stay as a permanent Board Member,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we acquired the field from Marathon in September 1999 and E. Wadi Araba Concession in October 2002, Dover was supposed to submit a Deed of Assignment to EGPC to define each party's interest, that never happened until now which is in violation of our Joint Venture Agreement,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Dover had consistently abused the trust and never distributed all the net revenues to me in accordance with my interest,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requested to assume the Operatorship, since Dover has no technical staff and its President is a real estate salesman,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appointed General Manager of Petrozeit (Peter Moulds) has no reliable business experience, tarnished history in Egypt, was fired by Seagull for bad conduct, failed to fulfill his duties at Petrozeit, not a partner and was forced on the partners.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 Yours,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Ghareeb M. Awad"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TransPacific Petroleum Corp.-President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Canadian International Petroleum Corp.-President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Deputy Exploration Manager and Board Member-Petrozeit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Cc:</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Youssef Kamal-Vice Chairman for Financial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Control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Eng. Hosny Gaballah-Chairman, Petrozeit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July 18, 2003 Madam Justice Bennett enjoined the parties from communicating with Petrozeit's and EGPC's board of directors, officers or employees, "respecting the personality and competence of each other generally and Dover Investments Limited, Robert Salna, Peter Moulds, Dale Amerine or any other of the other directors, officers or employees of Dover Investments Ltd. and each party is enjoined from the otherwise maligning the others." The order also provided that neither party would interfere with the business of each other. By further orders, the restraining order was extended until it expired on January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2. Awad v. Dover and Salna (Ont. S.C.J. No. 03-CL5217)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November 2003 Dr. Awad commenced an action in Ontario Superior Court against Dover and Robert Salna for oppression remedies pursuant to the </w:t>
      </w:r>
      <w:r>
        <w:rPr>
          <w:rFonts w:ascii="arial" w:eastAsia="arial" w:hAnsi="arial" w:cs="arial"/>
          <w:b/>
          <w:i/>
          <w:color w:val="000000"/>
          <w:sz w:val="20"/>
          <w:lang w:val="en-US" w:eastAsia="en-US" w:bidi="ar-SA"/>
        </w:rPr>
        <w:t>Business Corporation Act</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R.S.O. 1990, c. B.16</w:t>
        </w:r>
      </w:hyperlink>
      <w:r>
        <w:rPr>
          <w:rFonts w:ascii="arial" w:eastAsia="arial" w:hAnsi="arial" w:cs="arial"/>
          <w:color w:val="000000"/>
          <w:sz w:val="20"/>
          <w:lang w:val="en-US" w:eastAsia="en-US" w:bidi="ar-SA"/>
        </w:rPr>
        <w:t>. Dr. Awad agreed that Dover could apply $231,234 (USD) of his REU revenue towards his share of EWA expenses, but Dover set off more than that amount. Mr. Justice Spence found that Dr. Awad was oppressed by the set-off and granted judgment in his favour for $663,039.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Awad also asked that his interest in the REU be bought out. Mr. Justice Spence valued his interest at $630,000 as at March 1, 2004 subject to adjustments. He later ordered that Dover buy Dr. Awad's interest in REU as of December 31, 2005. He also found that Dr. Awad had largely disposed of his assets in the middle of the hearing rendering himself "totally judgment-proof".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$663,039 has been paid into court in the Alberta litigation. The EWA joint venture agreement provides that any partner is to "to file their litigation in the province of Alberta,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in Ontario did not deal with whether Dover or Robert Salna breached the REU February Agreement, as alleged by Dr. Awad. Those issues are being decided by this Court and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3. Transpacific Petroleum Corp. v. Dover Investments Limited (VA S068338)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action commenced by Transpacific and Ghareeb Awad in December 2006 is considered the main action and was heard at the same time as Dover's two actions. Dr. Awad and Transpacific claim against Dover and Mr. Salna for breach of contract, wrongful dismissal, contempt of the injunction order, and other claims arising out of the February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amended statement of claim filed December 2007 Transpacific and Dr. Awad allege in para. 42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had breached their </w:t>
      </w:r>
      <w:r>
        <w:rPr>
          <w:rFonts w:ascii="arial" w:eastAsia="arial" w:hAnsi="arial" w:cs="arial"/>
          <w:color w:val="000000"/>
          <w:sz w:val="20"/>
          <w:u w:val="single"/>
          <w:lang w:val="en-US" w:eastAsia="en-US" w:bidi="ar-SA"/>
        </w:rPr>
        <w:t>REU</w:t>
      </w:r>
      <w:r>
        <w:rPr>
          <w:rFonts w:ascii="arial" w:eastAsia="arial" w:hAnsi="arial" w:cs="arial"/>
          <w:color w:val="000000"/>
          <w:sz w:val="20"/>
          <w:lang w:val="en-US" w:eastAsia="en-US" w:bidi="ar-SA"/>
        </w:rPr>
        <w:t xml:space="preserve"> contractual and fiduciary obligations and the Plaintiffs reasonable expectations in regards to the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either negligent in running the oil field, after Awad was dismissed, or intentionally reduced the production to minimize the value of Awad's 18% share that was to he sold to the Defendants. It was Awad's expectations that the oil production should not have suffered sudden reductions to become less than half of what Awad had left in a very short time, contrary to the normal oil fields production rates of decline.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breached their employment contracts with Awad not once but three times by terminating Awad as General Manager of Petrozeit on July 20. 2000, as General Manager of EWA on January 07, 2003 and as Deputy General Manager of Exploration and Permanent Board Member of Petrozeit on May 18, 2003.</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had breached contracts by their oppressive conduct to Awad's rights and interests, by excluding him from making decisions concerning their joint businesses, lack of financial disclosures, refusal to be audited, improper charges and deductions from Awad's share of REU profit. The Defendants had illegally withheld </w:t>
      </w:r>
      <w:r>
        <w:rPr>
          <w:rFonts w:ascii="arial" w:eastAsia="arial" w:hAnsi="arial" w:cs="arial"/>
          <w:color w:val="000000"/>
          <w:sz w:val="20"/>
          <w:u w:val="single"/>
          <w:lang w:val="en-US" w:eastAsia="en-US" w:bidi="ar-SA"/>
        </w:rPr>
        <w:t>huge sums</w:t>
      </w:r>
      <w:r>
        <w:rPr>
          <w:rFonts w:ascii="arial" w:eastAsia="arial" w:hAnsi="arial" w:cs="arial"/>
          <w:color w:val="000000"/>
          <w:sz w:val="20"/>
          <w:lang w:val="en-US" w:eastAsia="en-US" w:bidi="ar-SA"/>
        </w:rPr>
        <w:t xml:space="preserve"> of Awad's share of profits, under improper </w:t>
      </w:r>
      <w:r>
        <w:rPr>
          <w:rFonts w:ascii="arial" w:eastAsia="arial" w:hAnsi="arial" w:cs="arial"/>
          <w:color w:val="000000"/>
          <w:sz w:val="20"/>
          <w:u w:val="single"/>
          <w:lang w:val="en-US" w:eastAsia="en-US" w:bidi="ar-SA"/>
        </w:rPr>
        <w:t>and false</w:t>
      </w:r>
      <w:r>
        <w:rPr>
          <w:rFonts w:ascii="arial" w:eastAsia="arial" w:hAnsi="arial" w:cs="arial"/>
          <w:color w:val="000000"/>
          <w:sz w:val="20"/>
          <w:lang w:val="en-US" w:eastAsia="en-US" w:bidi="ar-SA"/>
        </w:rPr>
        <w:t xml:space="preserve"> claims of </w:t>
      </w:r>
      <w:r>
        <w:rPr>
          <w:rFonts w:ascii="arial" w:eastAsia="arial" w:hAnsi="arial" w:cs="arial"/>
          <w:color w:val="000000"/>
          <w:sz w:val="20"/>
          <w:u w:val="single"/>
          <w:lang w:val="en-US" w:eastAsia="en-US" w:bidi="ar-SA"/>
        </w:rPr>
        <w:t>the unrelated EWA</w:t>
      </w:r>
      <w:r>
        <w:rPr>
          <w:rFonts w:ascii="arial" w:eastAsia="arial" w:hAnsi="arial" w:cs="arial"/>
          <w:color w:val="000000"/>
          <w:sz w:val="20"/>
          <w:lang w:val="en-US" w:eastAsia="en-US" w:bidi="ar-SA"/>
        </w:rPr>
        <w:t xml:space="preserve"> expenses.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[Plaintiffs'] interest in the two joint ventures was in-trust with Dover however, after Awad had transferred his Range Rover to Dover's name, to avoid renewing the car license every three months, Dover refused to give its consent that Awad and his Son continue to use their vehicle under Dover's name, as advised by their lawyer's legal opinion, or to submit a deed of assignment for TransPacific who would own the vehicle and enjoy the same duty-free status as Dover.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had breached their contract by </w:t>
      </w:r>
      <w:r>
        <w:rPr>
          <w:rFonts w:ascii="arial" w:eastAsia="arial" w:hAnsi="arial" w:cs="arial"/>
          <w:color w:val="000000"/>
          <w:sz w:val="20"/>
          <w:u w:val="single"/>
          <w:lang w:val="en-US" w:eastAsia="en-US" w:bidi="ar-SA"/>
        </w:rPr>
        <w:t>falsely</w:t>
      </w:r>
      <w:r>
        <w:rPr>
          <w:rFonts w:ascii="arial" w:eastAsia="arial" w:hAnsi="arial" w:cs="arial"/>
          <w:color w:val="000000"/>
          <w:sz w:val="20"/>
          <w:lang w:val="en-US" w:eastAsia="en-US" w:bidi="ar-SA"/>
        </w:rPr>
        <w:t xml:space="preserve"> accusing Awad and his Son, who is a resident of Egypt of stealing Dover's Range Rover by </w:t>
      </w:r>
      <w:r>
        <w:rPr>
          <w:rFonts w:ascii="arial" w:eastAsia="arial" w:hAnsi="arial" w:cs="arial"/>
          <w:color w:val="000000"/>
          <w:sz w:val="20"/>
          <w:u w:val="single"/>
          <w:lang w:val="en-US" w:eastAsia="en-US" w:bidi="ar-SA"/>
        </w:rPr>
        <w:t>complaining to</w:t>
      </w:r>
      <w:r>
        <w:rPr>
          <w:rFonts w:ascii="arial" w:eastAsia="arial" w:hAnsi="arial" w:cs="arial"/>
          <w:color w:val="000000"/>
          <w:sz w:val="20"/>
          <w:lang w:val="en-US" w:eastAsia="en-US" w:bidi="ar-SA"/>
        </w:rPr>
        <w:t xml:space="preserve"> the Egyptian Customs, Police, Prosecutor, the Court and EGPC. Such actions had caused </w:t>
      </w:r>
      <w:r>
        <w:rPr>
          <w:rFonts w:ascii="arial" w:eastAsia="arial" w:hAnsi="arial" w:cs="arial"/>
          <w:color w:val="000000"/>
          <w:sz w:val="20"/>
          <w:u w:val="single"/>
          <w:lang w:val="en-US" w:eastAsia="en-US" w:bidi="ar-SA"/>
        </w:rPr>
        <w:t>Awad</w:t>
      </w:r>
      <w:r>
        <w:rPr>
          <w:rFonts w:ascii="arial" w:eastAsia="arial" w:hAnsi="arial" w:cs="arial"/>
          <w:color w:val="000000"/>
          <w:sz w:val="20"/>
          <w:lang w:val="en-US" w:eastAsia="en-US" w:bidi="ar-SA"/>
        </w:rPr>
        <w:t xml:space="preserve"> and his Son major problems with all authorities, until the Police investigators realized </w:t>
      </w:r>
      <w:r>
        <w:rPr>
          <w:rFonts w:ascii="arial" w:eastAsia="arial" w:hAnsi="arial" w:cs="arial"/>
          <w:color w:val="000000"/>
          <w:sz w:val="20"/>
          <w:u w:val="single"/>
          <w:lang w:val="en-US" w:eastAsia="en-US" w:bidi="ar-SA"/>
        </w:rPr>
        <w:t>in their records</w:t>
      </w:r>
      <w:r>
        <w:rPr>
          <w:rFonts w:ascii="arial" w:eastAsia="arial" w:hAnsi="arial" w:cs="arial"/>
          <w:color w:val="000000"/>
          <w:sz w:val="20"/>
          <w:lang w:val="en-US" w:eastAsia="en-US" w:bidi="ar-SA"/>
        </w:rPr>
        <w:t xml:space="preserve"> that the vehicle was paid for by Awad who temporarily transferred its ownership to Dover's duty-free customs umbrella. Dover was forced to withdraw its accusations of Awad and his Son but kept the vehicle. However, the damage with EGPC was un-repairable. The Plaintiffs claim the US$32,000 value of the vehicle and to compensate Awad for his loss of use, in </w:t>
      </w:r>
      <w:r>
        <w:rPr>
          <w:rFonts w:ascii="arial" w:eastAsia="arial" w:hAnsi="arial" w:cs="arial"/>
          <w:color w:val="000000"/>
          <w:sz w:val="20"/>
          <w:u w:val="single"/>
          <w:lang w:val="en-US" w:eastAsia="en-US" w:bidi="ar-SA"/>
        </w:rPr>
        <w:t>addition to 60% to compensate for the devaluation of the US dollar</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refusal to transfer the Abu Sennan Concession to CIPC or </w:t>
      </w:r>
      <w:r>
        <w:rPr>
          <w:rFonts w:ascii="arial" w:eastAsia="arial" w:hAnsi="arial" w:cs="arial"/>
          <w:color w:val="000000"/>
          <w:sz w:val="20"/>
          <w:u w:val="single"/>
          <w:lang w:val="en-US" w:eastAsia="en-US" w:bidi="ar-SA"/>
        </w:rPr>
        <w:t>Awad and their fraudulent conveyance of 2/3 interest</w:t>
      </w:r>
      <w:r>
        <w:rPr>
          <w:rFonts w:ascii="arial" w:eastAsia="arial" w:hAnsi="arial" w:cs="arial"/>
          <w:color w:val="000000"/>
          <w:sz w:val="20"/>
          <w:lang w:val="en-US" w:eastAsia="en-US" w:bidi="ar-SA"/>
        </w:rPr>
        <w:t xml:space="preserve"> is a major breach of </w:t>
      </w:r>
      <w:r>
        <w:rPr>
          <w:rFonts w:ascii="arial" w:eastAsia="arial" w:hAnsi="arial" w:cs="arial"/>
          <w:color w:val="000000"/>
          <w:sz w:val="20"/>
          <w:u w:val="single"/>
          <w:lang w:val="en-US" w:eastAsia="en-US" w:bidi="ar-SA"/>
        </w:rPr>
        <w:t>the February 2000 contract that requires the transfer of any acquired assets 100% to CIPC or 50% to Awad and requires his written approval on major transactions such as this</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prayer for relief claims: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Libel and Slander with EGPC, Egyptian Police, Egyptian Courts and Salna's e-mails to Stockwatch Bulletin, attacking and defaming the Plaintiffs;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intentional interference in the Plaintiff's business relationship with EGPC and Petrozeit;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financial losses resulted from abusing the July 18. 2003 BC Court Interlocutory Order, in accordance with Salna's undertaking to pay for damages resulting from the order;</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Compensation for </w:t>
      </w:r>
      <w:r>
        <w:rPr>
          <w:rFonts w:ascii="arial" w:eastAsia="arial" w:hAnsi="arial" w:cs="arial"/>
          <w:color w:val="000000"/>
          <w:sz w:val="20"/>
          <w:u w:val="single"/>
          <w:lang w:val="en-US" w:eastAsia="en-US" w:bidi="ar-SA"/>
        </w:rPr>
        <w:t>gross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intentionally reducing the REU oil production;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Compensation for forcing </w:t>
      </w:r>
      <w:r>
        <w:rPr>
          <w:rFonts w:ascii="arial" w:eastAsia="arial" w:hAnsi="arial" w:cs="arial"/>
          <w:color w:val="000000"/>
          <w:sz w:val="20"/>
          <w:u w:val="single"/>
          <w:lang w:val="en-US" w:eastAsia="en-US" w:bidi="ar-SA"/>
        </w:rPr>
        <w:t>Awad</w:t>
      </w:r>
      <w:r>
        <w:rPr>
          <w:rFonts w:ascii="arial" w:eastAsia="arial" w:hAnsi="arial" w:cs="arial"/>
          <w:color w:val="000000"/>
          <w:sz w:val="20"/>
          <w:lang w:val="en-US" w:eastAsia="en-US" w:bidi="ar-SA"/>
        </w:rPr>
        <w:t xml:space="preserve">, as a result of the Interlocutory Order, </w:t>
      </w:r>
      <w:r>
        <w:rPr>
          <w:rFonts w:ascii="arial" w:eastAsia="arial" w:hAnsi="arial" w:cs="arial"/>
          <w:color w:val="000000"/>
          <w:sz w:val="20"/>
          <w:u w:val="single"/>
          <w:lang w:val="en-US" w:eastAsia="en-US" w:bidi="ar-SA"/>
        </w:rPr>
        <w:t>lack of financial and technical disclosure</w:t>
      </w:r>
      <w:r>
        <w:rPr>
          <w:rFonts w:ascii="arial" w:eastAsia="arial" w:hAnsi="arial" w:cs="arial"/>
          <w:color w:val="000000"/>
          <w:sz w:val="20"/>
          <w:lang w:val="en-US" w:eastAsia="en-US" w:bidi="ar-SA"/>
        </w:rPr>
        <w:t xml:space="preserve"> to sell his interest in REU to the Defendants at highly discounted value;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Compensation for breach of </w:t>
      </w:r>
      <w:r>
        <w:rPr>
          <w:rFonts w:ascii="arial" w:eastAsia="arial" w:hAnsi="arial" w:cs="arial"/>
          <w:color w:val="000000"/>
          <w:sz w:val="20"/>
          <w:u w:val="single"/>
          <w:lang w:val="en-US" w:eastAsia="en-US" w:bidi="ar-SA"/>
        </w:rPr>
        <w:t>the February 2000</w:t>
      </w:r>
      <w:r>
        <w:rPr>
          <w:rFonts w:ascii="arial" w:eastAsia="arial" w:hAnsi="arial" w:cs="arial"/>
          <w:color w:val="000000"/>
          <w:sz w:val="20"/>
          <w:lang w:val="en-US" w:eastAsia="en-US" w:bidi="ar-SA"/>
        </w:rPr>
        <w:t xml:space="preserve"> contract;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Contempt of the Interlocutory Court Order and misleading the Court;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US$32,000 value of Awad's Range Rover and damages for loss of use, </w:t>
      </w:r>
      <w:r>
        <w:rPr>
          <w:rFonts w:ascii="arial" w:eastAsia="arial" w:hAnsi="arial" w:cs="arial"/>
          <w:color w:val="000000"/>
          <w:sz w:val="20"/>
          <w:u w:val="single"/>
          <w:lang w:val="en-US" w:eastAsia="en-US" w:bidi="ar-SA"/>
        </w:rPr>
        <w:t>in addition to 60% premium to cover the US dollar devaluation</w:t>
      </w: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Unpaid wages and allowances plus compensation for </w:t>
      </w:r>
      <w:r>
        <w:rPr>
          <w:rFonts w:ascii="arial" w:eastAsia="arial" w:hAnsi="arial" w:cs="arial"/>
          <w:color w:val="000000"/>
          <w:sz w:val="20"/>
          <w:u w:val="single"/>
          <w:lang w:val="en-US" w:eastAsia="en-US" w:bidi="ar-SA"/>
        </w:rPr>
        <w:t>60%</w:t>
      </w:r>
      <w:r>
        <w:rPr>
          <w:rFonts w:ascii="arial" w:eastAsia="arial" w:hAnsi="arial" w:cs="arial"/>
          <w:color w:val="000000"/>
          <w:sz w:val="20"/>
          <w:lang w:val="en-US" w:eastAsia="en-US" w:bidi="ar-SA"/>
        </w:rPr>
        <w:t xml:space="preserve"> loss in value of the US dollar;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wrongful dismissal and loss of income;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decision that Robert and Dexter Salna had defrauded Awad on his entitlements of REU revenues, employment wages and benefits</w:t>
      </w:r>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Compensation for Salna's unlawful use of Awad's Egyptian tax credits</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Transfer the 1/3 interest of Abu Sennan Concession to CIPC, and compensate CIPC for the [Defendants'] fraudulent conveyance of the other 2/3 interest, in the alternative</w:t>
      </w: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Transfers the 1/3 interest of Abu Sennan Concession to Awad and compensate Awad for the [Defendants'] fraudulent conveyance of his other 1/6 interest;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Interlocutory and permanent injunction preventing the Defendants from disposing of any assets in Egypt or Canada and freeze their accounts, including that receives the oil revenues;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for </w:t>
      </w:r>
      <w:r>
        <w:rPr>
          <w:rFonts w:ascii="arial" w:eastAsia="arial" w:hAnsi="arial" w:cs="arial"/>
          <w:color w:val="000000"/>
          <w:sz w:val="20"/>
          <w:u w:val="single"/>
          <w:lang w:val="en-US" w:eastAsia="en-US" w:bidi="ar-SA"/>
        </w:rPr>
        <w:t>the Defendants</w:t>
      </w:r>
      <w:r>
        <w:rPr>
          <w:rFonts w:ascii="arial" w:eastAsia="arial" w:hAnsi="arial" w:cs="arial"/>
          <w:color w:val="000000"/>
          <w:sz w:val="20"/>
          <w:lang w:val="en-US" w:eastAsia="en-US" w:bidi="ar-SA"/>
        </w:rPr>
        <w:t xml:space="preserve"> oppressive conduct of Awad;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Pre-judgment and post-judgment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appropriate.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Dover and Mr. Salna counterclaim for a declaration that Dr. Awad is not entitled to any revenues from an oil well known as REU 12 because he has failed to make his required contributions towards the EWA concession.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4. Dover Investments Limited v. Transpacific Petroleum Corp. (VA S072294)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Dover commenced this action in April 2007 against Transpacific and Dr. Awad for libel, slander, and damages for intentional interference in business and contractual relationships arising out of Dr. Awad's letters dated May 20, 2003 and January 21, 2007 to the EGPC Chairman and his letter dated June 6, 2007 to Tradewinds Oil and Gas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letters of January 21, 2007 and June 6, 2007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21,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Ministry of Petroleum, Fax No. 202 670 7419 His Excellency. Eng. Sameh Fahmy - The Minister of Petroleum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Eng. Fahmy,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EGPC and the Ministry were aware of my involvement and problems with Dover, based on my previous communications and those of Dover's. In a letter to Ibrahim Saleh dated May 20, 200 I notified him in TransPacific Petroleum Corp. (a Canadian Corporation controlled by Awad) owns 18% interest in Ras El Ush Oil Field (REU) and 25% interest in East Wadi Araba Concession (EWA) in-trust with Dover. In accordance with a Joint Venture Agreement dated February 2000. Subsequently, Abu Sennan Concession was awarded to Dover Investments Limited. who acquired the concesion on behalf of Canadian International Petroleum Corp. (CIPC), a US Corporation controlled by Awad, who is also its President). In accordance with our agreements, Abu Sennan must be assigned 100% to CIPC by Dover, who had so far refused to do that and will be compelled by a Court Order to do so.</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2003, I initiated a legal action in the Superior Court of Ontario-Canada against Dover Investments Limited and Robert Salna, Court File No.: 03-CL-5217 to recover over US$20 million withheld of Awad's share of REU oil revenues and requested accounting of REU income and expenses. On August 30, 2006 the Court released its decision, ordering payments and auditing of Dover's affairs. Dover appealed that decision on January 13.</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arranged a farm-out of EWA to Sea Dragon Energy Inc. as 40% and Mogul Energy International, Inc. as 20% TransPacific retained its 25% and Dover Investments is 15% whereby, Sea Dragon and Mogul are committed to drill three wells by July 17, 2007 (2nd period expiry date).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30, 2006 Hany Nassar received Dover's EWA deed of assignment and complete files on TransPacific, Sea Dragon and Mogul, as he requested. I also wrote to EGPC Chairman (Abdel Aleem Taha) on July 31, 2006 requesting his help for a speedy approval to drill three wells before July 17, 2007. However, I never received any response from neither Nassar nor Taha. However, I made my people meet Nassar twice, who asked them to resubmit their files, without TransPacific who will not be approved and refused to [hand over] the previously submitted files.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Nassar's request, Dover is in the process of submitting a different deed of assignment that does not include TransPacific's 25% interest. Nassar has decided that TransPacific will not be approved, as he previously disqualified TransPacific's bid in the 2005 bid-round. In fact, EGPC and Ganoup had disqualified eight bids of TransPacific, CIPC and Mogul in the last four years, despite their full knowledge of my contribution to the oil sector over 40 years, my worldwide experience, my involvement and ownership in REU and EWA since 1999 and my Canadian exploration and producing assets.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 provision in the Concession agreements that the government approval is required, however it can not be withheld without sound reasons, as long as we fulfilled our work obligations. EGPC had no reasons or rights to delay the EWA deed of assignment approval for over 8 months or for Mr. Nassar to advise my partners to submit a deed of assignment that does not recognize TransPacific's interest. Nassar had intentionally acted to harm Awad's interests, unless he is working under directions from the Minister. Our parties are bound by their contractual obligations to each other under the Canadian law. EGPC can not override those obligations.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started legal action in the Superior Court of British Columbia-Canada File No.: S068338 on December 22, 2006. I demanded forcing Dover Investments to transfer its 100% in the Abu Sennan Concession to CIPC, to pay Awad's 70% married expatriate uplift for 32 months and January-May 2003 wages (which were fraudulently charged to EGPC by Dover for cost recovery, a total of US$274,000), breach of contracts, breach of interlocutory Court orders, punitive damages for wrongful dismissal of Awad as General Manager of EWA and as Deputy Exploration Manager and Board Member of Petrozeit, misleading the Court and committing fraud on the joint accounts and Canadian Tax evasion.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hereby notify EGPC and the Ministry of Petroleum that such actions are unacceptable and are illegal. EGPC will be held responsible for damages relating to their unlawful delays in approving the EWA deed of assignment to the partners or disqualifying TransPacific. EGPC and the Ministry should not allow any transaction by Dover Investments on Abu Sennan Concession or Ras El Ush by farming-out or disposition of interest to a third party, until notified by Awad and TransPacific that Court orders were executed, will be enforced by seizing Dover's assets in Egypt or the funds were paid and the litigations are no longer pending.</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TransPacific and Awad did not receive a meaningful response, within reasonable time, I will have no options but to initiate litigations in the Canadian Courts against EGPC to claim damages and punitive damages, if the deed was not approved or Dover was allowed to dispose of its assets.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Truly Yours,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Ghareeb M. Awad"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 E. Scott, III - President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Tradewinds Oil and Gas,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8811 Gaylord, Suite 200 Houston, Texas 77024 USA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Tel.: 713 465 7590 Fax: 713 465 8154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06,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Subject: Notice of Pending Litigation - Abu Sennan Concession, Egypt.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Scott,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came to my attention that the Minister of Petroleum, Sameh Fahmy and Dover Investments Limited had signed the Concession Agreement, in partnership with your company, on June 05,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obligated to let you know that Salna had deceived you and committed fraud by disposing of an interest in the agreement, contrary to the February 2000 joint venture agreement between Awad and Salna whereby, Abu Sennan should have been assigned to CIPC, a company intended to go public that we both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was heard by the Ontario Superior Court and a judgment was released on November 24, 2006. I started an action in British Columbia Supreme Court to deal in part with this issue. Fahmy is aware of our dispute and should have treated the matter responsibly and with more diligence.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Best 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Ghareeb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Awad in his written closing argument advanced several claims that were either not set out in the amended statement of claim, not claims at law, or not supported by evidence necessary to prove the claims. He contends that the following issues must be decided:</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had breached the February 2000 contract, July 10, 2000 and July 20, 2000 Memorandums of agreements by: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their obligations to pay Awad's monthly share of REU profits;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Refusal to re-instate Awad as General Manager, after Affinity failed to finance;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provide Awad with financial, technical and oil production reports;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Unilaterally making major decisions such as hiring staff and drilling wells;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Excluding Awad from being abreast of the operations after his dismissal;</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Charging Awad for financing costs above the US$5,978,000 acquisition costs;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Charging Awad for improper Toronto office expenses on operations in Egypt;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profit distribution out of Salna's personal account rather than Dover's;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claiming Awad's foreign tax credits;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transfer 50% of Abu Sennan Concession to Awad;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Awad is liable to pay for financing expenses, other than his 18% share of the US$5,978,000 costs of acquisition, as per Marathon's closing statement or pay his share of Toronto office expenses whereas, REU is being operated by Petrozeit in Egypt.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Awad was wrongfully dismissed as General Manager of Dover and Petrozeit on July 10, 2000 by Salna and is entitled to compensations;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Awad was wrongfully dismissed as General Manager of EWA on January 07, 2003 by Salna and is entitled to compensations;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Awad was wrongfully dismissed as Deputy Exploration Manager of Petrozeit on May 18, 2003 by Salna and is entitled to compensations;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Dover should be compelled to pay Awad US$359,000 of wages and benefits that it had received from EGPC and refused to pay to Awad, in accordance with Annex "E", Article II of the REU Concession Agreement and the Second Employment Contract.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Dover is entitled to drill REU#1 &amp; 11 or conduct various expensive workovers of other wells, without Awad's required approval or taking an active role in operations;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Dover is entitled to drill REU#12 and keep its oil without Awad's approval or agreeing to Awad's compromise proposal in regards to fixing REU#4 to his account;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Salna is in contempt of Madam Justice Bennett's Interlocutory Order of July 18, 2003 by the following improper actions: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Informing the Ministry, EGPC and Petrozeit about it to harm Awad;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Threatening Awad's son and complaining to EGPC, Police, DA and Court;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Libel and Slander of Awad on two separate issues of Stockwatch Bulletin;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Salna is in contempt of Madam Justice [Sinclair-Prowse's] Interlocutory Order of August 14, 2007 by making the following actions: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Maligning Awad and TransPacific with EGPC, Petrozeit and the Ministry;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the Minister with the Indemnity Letter of November 19, 2007; and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Conspiring with the Minister to fraudulently convey TransPacific's EWA title.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Awad is entitled to his US$32,000 cost of Range Rover and compensations for loss of use and legal costs to defend Dover's court action in Egypt.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Awad is entitled to damages for reduced value of REU buy-out, resulting from abnormal decline of oil production, whether intentionally or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Awad's letter of May 20, 2000 responding to Salna's May 18, 2003 letter to EGPC and Awad' s January 21, 2007 letter to the Minister of Petroleum meets the test for libel and slander or caused Dover or its employees any damages;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should order a Mareva Injunction to prevent Salna's disposition of further assets and to allow Awad recover withheld funds and compensations.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Awad never advanced a claim for a Mareva injunction in the amended statement of claim and has not met the evidentiary burden of proof. His claim for fraud was dismissed during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 The Issues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consider the following issues need to be determined:</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Awad wrongfully dismissed?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Awad entitled to unpaid wages and benefits (the 70 percent "uplift")?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Awad entitled to a 50 percent interest in Abu Sennan?</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Awad entitled to damages for the Range Rover?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Awad entitled to share in REU 12?</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Salna in contempt of the July 18, 2003 order?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Dover and Salna entitled to its claim against Awad for libel and slander and/or interference with contractual relations?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Dover and Salna breached the joint venture agreement by improperly deducting financing costs?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Awad entitled to loss of foreign tax credits?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Dover intentionally or negligently reduce oil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Transpacific and Dr. Awad by their amended statement of claim allege:</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Awad had spent more than a year and over US$250,000 to evaluate the opportunity, travel between Cairo, Houston and Vancouver and negotiated a value of US$12.5 million that Marathon was willing to accept, with an effective date of September 01. 1999 whereby, all revenues received after that date and until receiving the approval of the Egyptian General Petroleum Corporation (EGPC) and closing were to be credited to Awad and his potential associates.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agreed by phone, that the three of us would form a partnership whereby each of Salna and Awad will be entitled to 40% interest and Riva to 20%, provided that Salna will recover first his advanced cost of acquisition before starting the profits distributions to Awad. Riva and himself. The offer to Marathon was made under Dover Investments Limited, an Isle of Mann corporation that Salna claimed he owns and becomes our joint business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SALNA'S MISREPRESENTATIONS AND ETHICS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the acceptance of our offer, Salna failed to provide the US$1,250,000 deposit and had to sell 5.7% of his interest to some of his business associates for US$970,000. Salna also reneged on our 40/40/20 over the phone deal and decided that Dover is his company and refused to sign any agreement to specify each party's interest. Salna complained that he was forced to sell a portion of his 40% interest and has to find financing of the deal. Salna also changed Dover's entity to become a Cayman Island Corporation then, replaced it before closing with the current Ontario Corporation. In summary, Salna had no Dover Investments anywhere, he had no money and once our deal was accepted he cleaned his hands of our original un-written deal and used his muscles to re-negotiate a new one and did not compensate me for my US$250,000 of past expenses.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long and difficult negotiations by Awad and Riva with Salna, a Joint Venture Agreement dated February 2000 was forced by Salna on Awad and Riva that assigned 18% interest to Awad, 6% to Riva and 76% to himself in REU and 50% Awad, 30% Salna and 20% Riva in any future acquisitions and, refused to consider any partnership in Dover. Awad was so unhappy with Salna's deceit and unethical behaviour and did not sign that agreement until April 26. 2000.</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Salna's failure to arrange the financing, Awad referred him to Quest Capital of Vancouver (Quest) who were aware of Awad's Marathon deal, did their due diligence and were willing to finance it. Despite their reservations about Salna's reputation, Quest provided the US$4.7 million required to close the deal after the Egyptian government approval was received on July 24.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cited the foregoing for two purposes: to deal with Dr. Awad's allegation that Dover or Mr. Salna failed to compensate him for $250,000 of his past expenses; and to deal with his continual assertion at trial that he is entitled to 40 percent of the revenues, and that he is not required to pay for any of the financing costs because they were not agreed to in writing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Awad may not be advancing a claim for the $250,000 at trial, but he had never advanced a claim for $250,000, or any other amount for expenses, and he never incurred them with respect to the REU. He testified that $250,000 is a very rough estimate of what his time is worth for approximately 24 months at the rate of $10,000 a month. Not only does Dr. Awad exaggerate his worth, he also exaggerates the 24 months. He was paid all of his expenses by a third party up to early 1999 to evaluate the concession, and then "spent six months here sitting in Vancouver trying to promote the deal with Canoil and with Mr. Salna and Mr.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Awad's claim that he was promised a 40 percent interest refers to a comment made during negotiations, prior to the formation of the agreement in issue. I do not believe that in an initial telephone call with someone he did not know and over a deal which he had no experience or knowledge, Mr. Salna as a reasonable businessman would agree to purchase 25 percent of a multi-million dollar acquisition, and give to Dr. Awad who contributed no money, a 40 percent interest. It defies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action concerns the interpretation of the formal agreement, and any breach of that agreement. Dr. Awad cannot succeed in a claim for 40 percent because the formal agreement supersedes the preliminary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Elk Valley Coal Partnership v. Westshore Terminals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2008 BCCA 154</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77 B.C.L.R. (4th) 53</w:t>
        </w:r>
      </w:hyperlink>
      <w:r>
        <w:rPr>
          <w:rFonts w:ascii="arial" w:eastAsia="arial" w:hAnsi="arial" w:cs="arial"/>
          <w:color w:val="000000"/>
          <w:sz w:val="20"/>
          <w:lang w:val="en-US" w:eastAsia="en-US" w:bidi="ar-SA"/>
        </w:rPr>
        <w:t xml:space="preserve"> at paras. 8 and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the recent case of Group Eight Investments Ltd. v. Taddei, </w:t>
      </w:r>
      <w:hyperlink r:id="rId112" w:history="1">
        <w:r>
          <w:rPr>
            <w:rFonts w:ascii="arial" w:eastAsia="arial" w:hAnsi="arial" w:cs="arial"/>
            <w:i/>
            <w:color w:val="0077CC"/>
            <w:sz w:val="20"/>
            <w:u w:val="single"/>
            <w:shd w:val="clear" w:color="auto" w:fill="FFFFFF"/>
            <w:lang w:val="en-US" w:eastAsia="en-US" w:bidi="ar-SA"/>
          </w:rPr>
          <w:t>2005 BCCA 489</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47 B.C.L.R. (4th) 278</w:t>
        </w:r>
      </w:hyperlink>
      <w:r>
        <w:rPr>
          <w:rFonts w:ascii="arial" w:eastAsia="arial" w:hAnsi="arial" w:cs="arial"/>
          <w:color w:val="000000"/>
          <w:sz w:val="20"/>
          <w:lang w:val="en-US" w:eastAsia="en-US" w:bidi="ar-SA"/>
        </w:rPr>
        <w:t>, this Court adverted to the usual approach to be taken to the construction of contractual documents: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Both the appellants and the respondent presented evidence and argument about conduct of the parties during the negotiation of the contract and after its execution, both before this Court and in the chambers application. </w:t>
      </w:r>
      <w:r>
        <w:rPr>
          <w:rFonts w:ascii="arial" w:eastAsia="arial" w:hAnsi="arial" w:cs="arial"/>
          <w:color w:val="000000"/>
          <w:sz w:val="20"/>
          <w:u w:val="single"/>
          <w:lang w:val="en-US" w:eastAsia="en-US" w:bidi="ar-SA"/>
        </w:rPr>
        <w:t>It is settled law that a court must, in interpreting a contract, determine the intention of the parties from the words of the contract and not interpret the words of the contract based on the intentions of the parties</w:t>
      </w:r>
      <w:r>
        <w:rPr>
          <w:rFonts w:ascii="arial" w:eastAsia="arial" w:hAnsi="arial" w:cs="arial"/>
          <w:color w:val="000000"/>
          <w:sz w:val="20"/>
          <w:lang w:val="en-US" w:eastAsia="en-US" w:bidi="ar-SA"/>
        </w:rPr>
        <w:t>: G.H.L. Fridman, The Law of Contract in Canada, 4th ed. (Scarborough: Carswell, 1999) at 482.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plain and ordinary meaning must be given to words in a contract unless to do so would result in an absurdity: Ex parte Walton. In re Levy (1881), 17 Ch.D. 746 (C.A.). Words must be interpreted in light of the whole of the contract and the intention of the parties expressed therein. In construing contracts, the court assumes that the words in the contract are there for a purpose and "reject an interpretation that would render one of [the contract's] terms ineffective" (National Trust Co. v. Mead </w:t>
      </w:r>
      <w:hyperlink r:id="rId113" w:history="1">
        <w:r>
          <w:rPr>
            <w:rFonts w:ascii="arial" w:eastAsia="arial" w:hAnsi="arial" w:cs="arial"/>
            <w:i/>
            <w:color w:val="0077CC"/>
            <w:sz w:val="20"/>
            <w:u w:val="single"/>
            <w:shd w:val="clear" w:color="auto" w:fill="FFFFFF"/>
            <w:lang w:val="en-US" w:eastAsia="en-US" w:bidi="ar-SA"/>
          </w:rPr>
          <w:t>(1990), 71 D.L.R. (4th) 488</w:t>
        </w:r>
      </w:hyperlink>
      <w:r>
        <w:rPr>
          <w:rFonts w:ascii="arial" w:eastAsia="arial" w:hAnsi="arial" w:cs="arial"/>
          <w:color w:val="000000"/>
          <w:sz w:val="20"/>
          <w:lang w:val="en-US" w:eastAsia="en-US" w:bidi="ar-SA"/>
        </w:rPr>
        <w:t xml:space="preserve"> at 499).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 helpful review of the principles of contract interpretation in the commercial context is found in the decision of Scanlon v. Castlepoint Development Corp. </w:t>
      </w:r>
      <w:hyperlink r:id="rId114" w:history="1">
        <w:r>
          <w:rPr>
            <w:rFonts w:ascii="arial" w:eastAsia="arial" w:hAnsi="arial" w:cs="arial"/>
            <w:i/>
            <w:color w:val="0077CC"/>
            <w:sz w:val="20"/>
            <w:u w:val="single"/>
            <w:shd w:val="clear" w:color="auto" w:fill="FFFFFF"/>
            <w:lang w:val="en-US" w:eastAsia="en-US" w:bidi="ar-SA"/>
          </w:rPr>
          <w:t>(1992), 99 D.L.R. (4th) 153</w:t>
        </w:r>
      </w:hyperlink>
      <w:r>
        <w:rPr>
          <w:rFonts w:ascii="arial" w:eastAsia="arial" w:hAnsi="arial" w:cs="arial"/>
          <w:color w:val="000000"/>
          <w:sz w:val="20"/>
          <w:lang w:val="en-US" w:eastAsia="en-US" w:bidi="ar-SA"/>
        </w:rPr>
        <w:t xml:space="preserve"> (Ont. C.A.); leave to appeal to S.C.C. refused (1993), </w:t>
      </w:r>
      <w:hyperlink r:id="rId115" w:history="1">
        <w:r>
          <w:rPr>
            <w:rFonts w:ascii="arial" w:eastAsia="arial" w:hAnsi="arial" w:cs="arial"/>
            <w:i/>
            <w:color w:val="0077CC"/>
            <w:sz w:val="20"/>
            <w:u w:val="single"/>
            <w:shd w:val="clear" w:color="auto" w:fill="FFFFFF"/>
            <w:lang w:val="en-US" w:eastAsia="en-US" w:bidi="ar-SA"/>
          </w:rPr>
          <w:t>[1993] S.C.C.A. No. 62</w:t>
        </w:r>
      </w:hyperlink>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102 D.L.R. (4th) vii</w:t>
        </w:r>
      </w:hyperlink>
      <w:r>
        <w:rPr>
          <w:rFonts w:ascii="arial" w:eastAsia="arial" w:hAnsi="arial" w:cs="arial"/>
          <w:color w:val="000000"/>
          <w:sz w:val="20"/>
          <w:lang w:val="en-US" w:eastAsia="en-US" w:bidi="ar-SA"/>
        </w:rPr>
        <w:t>. Robins J.A. stated at 179: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agreement with which we are concerned is a negotiated commercial document which should be construed in accordance with sound commercial principles and good business sense. To the extent that it is possible to do so, it should be construed as a whole and effect should be given to all of its provisions. The provisions should be read, not as standing alone, but in light of the agreement as a whole and the other provisions thereof: Hillis Oil &amp; Sales Ltd. v. Wynn's Canada Ltd. </w:t>
      </w:r>
      <w:hyperlink r:id="rId117" w:history="1">
        <w:r>
          <w:rPr>
            <w:rFonts w:ascii="arial" w:eastAsia="arial" w:hAnsi="arial" w:cs="arial"/>
            <w:i/>
            <w:color w:val="0077CC"/>
            <w:sz w:val="20"/>
            <w:u w:val="single"/>
            <w:shd w:val="clear" w:color="auto" w:fill="FFFFFF"/>
            <w:lang w:val="en-US" w:eastAsia="en-US" w:bidi="ar-SA"/>
          </w:rPr>
          <w:t>(1986), 25 D.L.R. (4th) 649</w:t>
        </w:r>
      </w:hyperlink>
      <w:r>
        <w:rPr>
          <w:rFonts w:ascii="arial" w:eastAsia="arial" w:hAnsi="arial" w:cs="arial"/>
          <w:color w:val="000000"/>
          <w:sz w:val="20"/>
          <w:lang w:val="en-US" w:eastAsia="en-US" w:bidi="ar-SA"/>
        </w:rPr>
        <w:t xml:space="preserve"> at p. 655, </w:t>
      </w:r>
      <w:hyperlink r:id="rId117" w:history="1">
        <w:r>
          <w:rPr>
            <w:rFonts w:ascii="arial" w:eastAsia="arial" w:hAnsi="arial" w:cs="arial"/>
            <w:i/>
            <w:color w:val="0077CC"/>
            <w:sz w:val="20"/>
            <w:u w:val="single"/>
            <w:shd w:val="clear" w:color="auto" w:fill="FFFFFF"/>
            <w:lang w:val="en-US" w:eastAsia="en-US" w:bidi="ar-SA"/>
          </w:rPr>
          <w:t>[1986] 1 S.C.R. 57</w:t>
        </w:r>
      </w:hyperlink>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71 N.S.R. (2d) 353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More recently, this Court summarized the principles of contract interpretation in Gilchrist v. Western Star Trucks Inc. </w:t>
      </w:r>
      <w:hyperlink r:id="rId118" w:history="1">
        <w:r>
          <w:rPr>
            <w:rFonts w:ascii="arial" w:eastAsia="arial" w:hAnsi="arial" w:cs="arial"/>
            <w:i/>
            <w:color w:val="0077CC"/>
            <w:sz w:val="20"/>
            <w:u w:val="single"/>
            <w:shd w:val="clear" w:color="auto" w:fill="FFFFFF"/>
            <w:lang w:val="en-US" w:eastAsia="en-US" w:bidi="ar-SA"/>
          </w:rPr>
          <w:t>(2000), 73 B.C.L.R. (3d) 102</w:t>
        </w:r>
      </w:hyperlink>
      <w:r>
        <w:rPr>
          <w:rFonts w:ascii="arial" w:eastAsia="arial" w:hAnsi="arial" w:cs="arial"/>
          <w:color w:val="000000"/>
          <w:sz w:val="20"/>
          <w:lang w:val="en-US" w:eastAsia="en-US" w:bidi="ar-SA"/>
        </w:rPr>
        <w:t>, at paras. 17-18: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goal in interpreting an agreement is to discover, objectively, the parties' intention at the time the contract was made. The most significant tool is the language of the agreement itself. This language must be read in the context of the surrounding circumstances prevalent at the time of contracting. Only when the words, viewed objectively, bear two or more reasonable interpretations, may the court consider other matters such as the post-contracting conduct of the parties: Delisle v. Bulman Group Ltd. </w:t>
      </w:r>
      <w:hyperlink r:id="rId119" w:history="1">
        <w:r>
          <w:rPr>
            <w:rFonts w:ascii="arial" w:eastAsia="arial" w:hAnsi="arial" w:cs="arial"/>
            <w:i/>
            <w:color w:val="0077CC"/>
            <w:sz w:val="20"/>
            <w:u w:val="single"/>
            <w:shd w:val="clear" w:color="auto" w:fill="FFFFFF"/>
            <w:lang w:val="en-US" w:eastAsia="en-US" w:bidi="ar-SA"/>
          </w:rPr>
          <w:t>(1991), 54 B.C.L.R. (2d) 343</w:t>
        </w:r>
      </w:hyperlink>
      <w:r>
        <w:rPr>
          <w:rFonts w:ascii="arial" w:eastAsia="arial" w:hAnsi="arial" w:cs="arial"/>
          <w:color w:val="000000"/>
          <w:sz w:val="20"/>
          <w:lang w:val="en-US" w:eastAsia="en-US" w:bidi="ar-SA"/>
        </w:rPr>
        <w:t xml:space="preserve"> (B.C.S.C.), approved by Chief Justice McEachern in Bramalea Ltd. v. Vancouver School Board No. 39 </w:t>
      </w:r>
      <w:hyperlink r:id="rId120" w:history="1">
        <w:r>
          <w:rPr>
            <w:rFonts w:ascii="arial" w:eastAsia="arial" w:hAnsi="arial" w:cs="arial"/>
            <w:i/>
            <w:color w:val="0077CC"/>
            <w:sz w:val="20"/>
            <w:u w:val="single"/>
            <w:shd w:val="clear" w:color="auto" w:fill="FFFFFF"/>
            <w:lang w:val="en-US" w:eastAsia="en-US" w:bidi="ar-SA"/>
          </w:rPr>
          <w:t>(1992), 65 B.C.L.R. (2d) 334</w:t>
        </w:r>
      </w:hyperlink>
      <w:r>
        <w:rPr>
          <w:rFonts w:ascii="arial" w:eastAsia="arial" w:hAnsi="arial" w:cs="arial"/>
          <w:color w:val="000000"/>
          <w:sz w:val="20"/>
          <w:lang w:val="en-US" w:eastAsia="en-US" w:bidi="ar-SA"/>
        </w:rPr>
        <w:t xml:space="preserve"> (B.C.C.A.); Prenn v. Simmonds, [1971] 3 All E.R. 237 (U.K.H.L.); Eli Lilly and Co. v. Novopharm Ltd. </w:t>
      </w:r>
      <w:hyperlink r:id="rId121" w:history="1">
        <w:r>
          <w:rPr>
            <w:rFonts w:ascii="arial" w:eastAsia="arial" w:hAnsi="arial" w:cs="arial"/>
            <w:i/>
            <w:color w:val="0077CC"/>
            <w:sz w:val="20"/>
            <w:u w:val="single"/>
            <w:shd w:val="clear" w:color="auto" w:fill="FFFFFF"/>
            <w:lang w:val="en-US" w:eastAsia="en-US" w:bidi="ar-SA"/>
          </w:rPr>
          <w:t>(1998), 161 D.L.R. (4th) 1</w:t>
        </w:r>
      </w:hyperlink>
      <w:r>
        <w:rPr>
          <w:rFonts w:ascii="arial" w:eastAsia="arial" w:hAnsi="arial" w:cs="arial"/>
          <w:color w:val="000000"/>
          <w:sz w:val="20"/>
          <w:lang w:val="en-US" w:eastAsia="en-US" w:bidi="ar-SA"/>
        </w:rPr>
        <w:t>, (S.C.C.).</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inquiry, then, is to determine whether there is only one reasonable meaning to the words in the contract, or more than one. In this search one must look to the surrounding circumstances and the whole of the contract. The words of the contract must be looked at in their ordinary and natural sense and cannot be distorted beyond their actual meaning: MacMillan Bloedel Ltd. v. British Columbia Hydro &amp; Power Authority </w:t>
      </w:r>
      <w:hyperlink r:id="rId122" w:history="1">
        <w:r>
          <w:rPr>
            <w:rFonts w:ascii="arial" w:eastAsia="arial" w:hAnsi="arial" w:cs="arial"/>
            <w:i/>
            <w:color w:val="0077CC"/>
            <w:sz w:val="20"/>
            <w:u w:val="single"/>
            <w:shd w:val="clear" w:color="auto" w:fill="FFFFFF"/>
            <w:lang w:val="en-US" w:eastAsia="en-US" w:bidi="ar-SA"/>
          </w:rPr>
          <w:t>(1992), 72 B.C.L.R. (2d) 273</w:t>
        </w:r>
      </w:hyperlink>
      <w:r>
        <w:rPr>
          <w:rFonts w:ascii="arial" w:eastAsia="arial" w:hAnsi="arial" w:cs="arial"/>
          <w:color w:val="000000"/>
          <w:sz w:val="20"/>
          <w:lang w:val="en-US" w:eastAsia="en-US" w:bidi="ar-SA"/>
        </w:rPr>
        <w:t xml:space="preserve"> (B.C.C.A.); Melanesian Mission Trust Board v. Australian Mutual Provident Society, [1997] 1 N.Z.L.R. 391 (New Zealand P.C.).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the case of </w:t>
      </w:r>
      <w:r>
        <w:rPr>
          <w:rFonts w:ascii="arial" w:eastAsia="arial" w:hAnsi="arial" w:cs="arial"/>
          <w:b/>
          <w:i/>
          <w:color w:val="000000"/>
          <w:sz w:val="20"/>
          <w:lang w:val="en-US" w:eastAsia="en-US" w:bidi="ar-SA"/>
        </w:rPr>
        <w:t>Vic Van Isle Construction Ltd. v. Board of Education of School District No. 23 (Central Okanagan)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(1997), 88 B.C.A.C. 161</w:t>
        </w:r>
      </w:hyperlink>
      <w:r>
        <w:rPr>
          <w:rFonts w:ascii="arial" w:eastAsia="arial" w:hAnsi="arial" w:cs="arial"/>
          <w:color w:val="000000"/>
          <w:sz w:val="20"/>
          <w:lang w:val="en-US" w:eastAsia="en-US" w:bidi="ar-SA"/>
        </w:rPr>
        <w:t xml:space="preserve">, both the majority (at para. 32) and minority (at para. 54) judgments referred with approval to the following passage at p. 577 of the judgment of Lord Blackburn in </w:t>
      </w:r>
      <w:r>
        <w:rPr>
          <w:rFonts w:ascii="arial" w:eastAsia="arial" w:hAnsi="arial" w:cs="arial"/>
          <w:b/>
          <w:i/>
          <w:color w:val="000000"/>
          <w:sz w:val="20"/>
          <w:lang w:val="en-US" w:eastAsia="en-US" w:bidi="ar-SA"/>
        </w:rPr>
        <w:t>Inglis v. Buttery</w:t>
      </w:r>
      <w:r>
        <w:rPr>
          <w:rFonts w:ascii="arial" w:eastAsia="arial" w:hAnsi="arial" w:cs="arial"/>
          <w:color w:val="000000"/>
          <w:sz w:val="20"/>
          <w:lang w:val="en-US" w:eastAsia="en-US" w:bidi="ar-SA"/>
        </w:rPr>
        <w:t>, [1878] 3 A.C. 552 (H.L.):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I think it is quite fixed - and no more wholesome or salutary rule relative to written contracts can be devised - that where parties agree to embody, and do actually embody, their contract in a formal written deed, then in determining what the contract really was and really meant, a Court must look to the formal deed and to that deed alone. This is only carrying out the will of the parties. The only meaning of adjusting a formal contract is, that </w:t>
      </w:r>
      <w:r>
        <w:rPr>
          <w:rFonts w:ascii="arial" w:eastAsia="arial" w:hAnsi="arial" w:cs="arial"/>
          <w:color w:val="000000"/>
          <w:sz w:val="20"/>
          <w:u w:val="single"/>
          <w:lang w:val="en-US" w:eastAsia="en-US" w:bidi="ar-SA"/>
        </w:rPr>
        <w:t>the formal contract shall supersede all loose and preliminary negotiations</w:t>
      </w:r>
      <w:r>
        <w:rPr>
          <w:rFonts w:ascii="arial" w:eastAsia="arial" w:hAnsi="arial" w:cs="arial"/>
          <w:color w:val="000000"/>
          <w:sz w:val="20"/>
          <w:lang w:val="en-US" w:eastAsia="en-US" w:bidi="ar-SA"/>
        </w:rPr>
        <w:t xml:space="preserve"> - that there shall be no room for misunderstandings which may often arise, and which do constantly arise, in the course of long, and it may be desultory conversations, or in the course of correspondence or negotiations during which the parties are often widely at issue as to what they will insist on and what they will concede. </w:t>
      </w:r>
      <w:r>
        <w:rPr>
          <w:rFonts w:ascii="arial" w:eastAsia="arial" w:hAnsi="arial" w:cs="arial"/>
          <w:color w:val="000000"/>
          <w:sz w:val="20"/>
          <w:u w:val="single"/>
          <w:lang w:val="en-US" w:eastAsia="en-US" w:bidi="ar-SA"/>
        </w:rPr>
        <w:t>The very purpose of a formal contract is to put an end to the disputes which would inevitably arise if the matter were left upon verbal negotiations or upon mixed communings partly consisting of letters and partly of conversations. The written contract is that which is to be appealed to by both parties, however different it may be from their previous demands or stipulations, whether contained in letters or in verbal conversation</w:t>
      </w:r>
      <w:r>
        <w:rPr>
          <w:rFonts w:ascii="arial" w:eastAsia="arial" w:hAnsi="arial" w:cs="arial"/>
          <w:color w:val="000000"/>
          <w:sz w:val="20"/>
          <w:lang w:val="en-US" w:eastAsia="en-US" w:bidi="ar-SA"/>
        </w:rPr>
        <w:t>. There can be no doubt that this is the general rule, and I think the general rule, strictly and with peculiar appropriateness applies to the present case. The deed which we have to interpret as the contract consists of the memorandum and specifications and of nothing else.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1: Was Awad Wrongfully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Awad claims damages for wrongful dismissal when Mr. Salna is alleged to have breached his employment contract of October 27, 1999 by unilaterally replacing him with Peter Moulds. He was rehired as Deputy Exploration Manager but claims that he was wrongfully dismissed on May 18, 2003. The defence alleges in both instances that Dr. Awad resigned.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Paragraphs 13 and 15 of the amended statement of claim allege:</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Salna decided unilaterally to replace Awad with Peter Moulds as General Manager. Awad was forced to stay home, until re-hired on October 01, 2000 as Deputy Exploration Manager and Board Member of Petrozeit, in order to alleviate for the rapid decline of the field production due to mismanagement of Moulds and his failure to deal with Petrozeit national staff, earn their trust or respect. Salna had breached Awad's employment contract of October 27,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Awad was in Vancouver on annual vacation and field break, Salna forged the date of an undated letter of resignation that was signed by Awad on July 20, 2000 that Salna had claimed to be a requirement by Affinity Merchant Bancorp Inc. (Affinity) to finance the acquisition. ... Awad was wrongfully dismissed by Salna as of May 18, 2003 without cause or notice and before the end of his contract on October 31, 2003 in breach of the February 2000 JVA that requires the </w:t>
      </w:r>
      <w:r>
        <w:rPr>
          <w:rFonts w:ascii="arial" w:eastAsia="arial" w:hAnsi="arial" w:cs="arial"/>
          <w:color w:val="000000"/>
          <w:sz w:val="20"/>
          <w:u w:val="single"/>
          <w:lang w:val="en-US" w:eastAsia="en-US" w:bidi="ar-SA"/>
        </w:rPr>
        <w:t>written</w:t>
      </w:r>
      <w:r>
        <w:rPr>
          <w:rFonts w:ascii="arial" w:eastAsia="arial" w:hAnsi="arial" w:cs="arial"/>
          <w:color w:val="000000"/>
          <w:sz w:val="20"/>
          <w:lang w:val="en-US" w:eastAsia="en-US" w:bidi="ar-SA"/>
        </w:rPr>
        <w:t xml:space="preserve"> approval of the three partners on such decision.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Prior to the anticipated closing, Dexter Salna was in Egypt and learned as much as he could about Marathon's business and met with Steve Olson, deputy finance manager, and Dennis Hardin, deputy production manager. The Marathon managers were "ex pats" at Petrozeit who worked in combination with an Egyptian national in an equivalent position at the EGPC. For example, Mr. Olson worked with the Egyptian finance manager at Petrozeit.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Marathon allowed Dexter Salna and Dr. Awad to have an informational meeting on April 12, 2000 with Petrozeit management and staff. This in itself was unusual as the closing had not taken place. Mr. Salna told Dr. Awad before the meeting that they were being permitted to ask questions of the staff. Mr. Salna as is his custom, took notes during the meeting, and typed them up immediately after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meeting Dr. Awad said a number of things that Mr. Salna accurately described as bizarre. Dr. Awad continuously disparaged and maligned Marathon. He said that Marathon was not operating the oil field properly and was negligent in running the company. He said that when Dover took over, Dover would double salaries and provide 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Awad's comments resulted in a rumour throughout Petrozeit that everyone's salary was going to be doubled.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Needless to say, Mr. Salna was embarrassed and upset by Dr. Awad's conduct at the meeting, and relayed his concerns to his brother Robert.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Angus Boxall, Marathon's General Manager, banned Dr. Awad from any further meetings with Marathon and recommended that he be removed as General Manager and replaced by Peter Moulds.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June 15, 2000 Robert Salna was in Cairo to attend a meeting at the residence of Peter Moulds where they had arranged to meet with Beaumont Chorny and Lewis Sappy of Affinity Merchant Bancorp Inc. ("Affinity") who at that time expressed interest in financing the deal. Dr. Awad was also present. His behaviour was again odd, if not bizarre, for a person who declares himself to be a businessman capable of managing a large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At the beginning of the meeting Dr. Awad seemed cordial and pleasant but he became agitated. He started complaining and told Mr. Chorny and Mr. Sappy that he was disappointed with Mr. Salna's behaviour and that he did not trust him. He said Mr. Salna was dishonourable by reneging on their agreement to give him 40 percent, and that he should have a bigger interest. In front of Mr. Chorny, Dr. Awad threatened to kill Mr. Salna if he did not give him a bigger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Later that day Mr. Chorny, Mr. Sappy, and Dr. Awad verbally agreed that Mr. Chorny would purchase Dr. Awad's interest, and Dr. Awad confirmed that they had a deal. The following day, Dr. Awad laughed to Mr. Salna when he referred to his deal with Mr. Chorny and said, "Ha, ha! I never signed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July 5, 2000 Mr. Chorny sent the following e-mail to Dr. Awad confirming the terms of their verbal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Gary,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 pleasure to have met and spent all that time with you in Egypt during the period of June 15th through June 22nd. In particular we are thankful to you for the opportunity you have provided us wherein we were able to consummate with you a verbal agreement confirmed by your handshake on Wednesday June 21, 2000, the terms of which are: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Outright purchase of your 18% joint venture interest in Dover Investments Limited and its acquisition of the Ras El Ush oil field concession and operation rights.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Our purchase from you is payable as follows: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USD $300,000.00 within 90 days [from] the date of closing of the Dover purchase from Marathon Oil;</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50% of the net cash distribution from the 18% interest, in perpetuity, for the economic life of the Ras El Ush oil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thank you for this wonderful opportunity and trust that this brings to a satisfactory conclusion your ongoing dispute and disagreements with Robert Salna and Dover Investments Limited.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Beaumont Chorny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President, Affinity Merchant Bancorp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Awad's same-day e-mail reply to Mr. Chorny: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Re: What a silly Joke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stop these kinds of silly jokes, I don't find them amusing at all. The fact that you tried to create problems between me and my partner Robert was very low and unprofessional. Are you sure you weren't drunk while writing me this email or just out of your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ever receive any more emails of this sort, I will hold you liable in a court of law for ruining my reputation and trying to destroy my relationship with my partners.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Gary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Following Dr. Awad's strange if not insulting e-mail, Mr. Chorny made it a requirement of any Affinity financing that Dr. Awad not be the General Manager of Petrozeit.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Salna asked Dr. Awad to resign and Dr. Awad agreed to resign as long as he was paid the $70,000 that he would be paid if he had worked as General Manager. Mr. Salna agreed. Dr. Awad never asked for any uplift at that time or an additional $7,000 a month as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following two memorandums of agreement dated July 10, 2000 and July 20, 2000 were prepared by Dr. Awad: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MEMORANDUM OF AGREEMENT</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Dated July 10,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document is a memorandum of agreement between: Mr. Robert Salna (Dover Investments Limited), Dr. Ghareeb Awad, Mr. John Riva and Beaumont Chorny (Affinity Merchant Bancorp. Inc.) concerning the acquisition and management of Marathon's Ras El Ush Oil Lease-Egypt by Dover Investments Limited.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have agreed to continue their operations with regards to the Joint Operating Company (Petrozeit) that handles the Ras El Ush oil field as follows: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Awad is hereby, appointed as a permanent member on the board of Petrozeit, with an office at its premises. His salary of US$10,000 net per month, continues until the end of December 2000, and will be paid to him within five days of the following month. His previous salary from January 01, 2000 until the end of July 2000, will be paid to him within 5 days of receiving the June 2000 oil revenues.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Awad will closely co-operate with Mr. Peter Moulds, who will be appointed as General Manager for Petrozeit, subject to the approval of EGPC, until the end of Affinity Merchant Bancorp Inc.'s loan term.</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 Joint Venture Partners may appoint a new General Manager to run the Ras El Ush operations during the loan term subject to the approval of Affinity Merchant Bancorp. Inc.</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Robert Salna and Dr. Awad will be the permanent members on Petrozeit's production lease, the other interim members shall be Mr. Peter Moulds and Mr. Beaumont Chorny.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Agreed Upon: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Robert Salna-President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 Dover Investments Limited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Ghareeb Awad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 Riva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Beaumont Chorny, President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 Affinity Merchant Bancorp. Inc.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MEMORANDUM OF AGREEMENT</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Dated July 20, 2000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Subject: Commitments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Dover Investment Limited and the undersigned officer of its financier are hereby confirming the following:</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Dover and its financier acknowledge the attached Joint Venture Agreement dated February 2000 concerning the acquisition of Marthon's Ras El Ush Oil Production in Egypt by Dover on behalf of the partnership and that, Dr. Awad's 18% interest and Mr. Riva's 6% interest are held in-trust for their independent accounts.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requirement of financing, Dr. Awaad has submitted his resignation as General Manager of Petrozeit as per his Employment contract dated October 27, 1999 and effective from Jan. 01, 2000 till Dec. 31, 2000 for a net monthly salary of US$10,000.</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Dr. Awad's resignation, Dover and its Financier(s) are committed to pay his contracted salary in the sum of US$70,000 as per the above noted agreement till July 31, 2000 within five days from receiving the June 2000 oil sales income from BP Amoco, and will be paid US$10,000 per month in the first five days of the following month for the period from August 01 till December 31, 2000.</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Dover and its Financier(s) will provide Dr. Awad and Mr. Riva with the Statement of Closing, Loan Documents, Monthly Bank Statement, Status of Loan Payments, Daily and Monthly Production Reports and Statements of Income and Expenses as well as any correspondence with EGPC or Petrozeit. Failing to do that will represent a major breach of their JVA and this Memorandum of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Acknowledged and Agreed Upon: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Robert Salna (Per: Dover)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Ghareeb Awad</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20/7/2000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 Riva</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20/07/2000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Awad testified that he provided his resignation letter for the sole purpose of facilitating the Affinity financing. After the Affinity financing fell through, his resignation was void, and Mr. Salna was fraudulent to rely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Dr. Awad is not telling the truth. I find that he knew by July 12, 2000 before he signed his resignation that Affinity was not prepared to lend any money. I find that Dr. Awad resigned from the position of Deputy Manager and negotiated the terms of his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affidavit sworn November 13, 2003 in his Ontario action, Dr. Awad deposed the following:</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Salna brought a Mr. Beaumont [Chorny] into the picture as a potential financier through a company [Chorny] ran called Affinity Merchant Bancorp Inc. ("Affinity"). I spent two or three days in Egypt showing [Chorny] around the Oil Field and Petrozeit offices and explaining the technical and financial aspects of the opportunity to him. This was, in fact, the first time I had contact with Salna in person rather than by telephone or correspondence.</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during these discussions, Mr. [Chorny] expressed an interest in acquiring my stake in the Oil Field Joint Venture but I informed him that I was not willing to negotiate a sale of my interest at that time.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he returned to Toronto, Salna telephoned me and told me that [Chorny] was interested in financing the acquisition but did not want me to serve as General Manager on behalf of the Oil Field Joint Venture. Salna told me that as a condition of the financing [Chorny] would require that I serve as a consultant to the project although I would be able to serve as a director of Petrozeit, provided I execute an undated letter of resignation as a director and officer of Petrozeit. Salna told me that I was to be replaced as General Manager by Moulds.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and do not know whether Salna was communicating what actually were [Chorny's] terms or whether Salna was using [Chorny] as an excuse to exclude me from day to day management of the Oil Field for his own purposes. Nevertheless, because I was desperate to see the acquisition close, I decided to agree to this last-minute change in our arrangements. On July 10, 2000, a Memorandum of Agreement was executed by myself, Riva and Salna on behalf of Dover Investments which provided for me to act as a director of Petrozeit and a consultant to assist Moulds (the "Affinity Memorandum"). ...</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a day or two after we executed the Affinity Memorandum, Salna advised me that Affinity would not be providing the acquisition financing after all.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Negotiation of a New Memorandum</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After the Affinity financing fell through, Salna told me that he was still going to insist that I nevertheless act on my resignation as General Manager of the Oil Field in order that he could be confident of obtaining other financing with a free hand. By this time the personal relations between us were so strained that I was willing to accept his position</w:t>
      </w:r>
      <w:r>
        <w:rPr>
          <w:rFonts w:ascii="arial" w:eastAsia="arial" w:hAnsi="arial" w:cs="arial"/>
          <w:color w:val="000000"/>
          <w:sz w:val="20"/>
          <w:lang w:val="en-US" w:eastAsia="en-US" w:bidi="ar-SA"/>
        </w:rPr>
        <w: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20 2000, a new Memorandum of Agreement was executed by myself and Riva and by Salna on behalf of Dover Investments (the "New Memorandum") which I understood was to replace the Affinity Memorandum. A copy of the New Memorandum is now shown to me and is marked as Exhibit "F" to this my Affidavit. On the same date I faxed Salna an undated letter of resignation as a director and officer of Petrozeit.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Awad's claim that he was wrongfully dismissed is wrongfully characterized. He had a fixed term contract dated October 27, 1999 and was paid what he would have been paid under the contract had he worked. He is entitled to no further payment or damages for breach of the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Peter Moulds is an exploration geologist. His background is impressive: for close to 40 years he has worked in different countries for major English, American, and French oil and gas exploration companies. He has technical and management experience. He has worked for British Petroleum in Abu Dhabi and the North Sea, for a company that serviced and repaired oil wells, and for Amaco as a Sr. Staff Geologist responsible for oil exploration in the Philippines and Southeast Asia. In 1980 he joined Total, the French oil company, and spent 16 years in the Philippines and eight years in Indonesia where he was chief geologist. He was the new ventures manager for all of Russia and the former Soviet Union from 1992 to 1995, travelling and evaluating new prospects, negotiating with Russian oil companies and the government. He was a member of the Board of Petroleum Advisory Forum in Moscow. After working at Total's head office in Paris in 1996, he left and joined Seagull and worked for that company until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Not surprisingly, Mr. Moulds disagrees with Dr. Awad's letter of May 20, 2003. He was not fired from Seagull for bad conduct. He was never involved in espionage. He has security clearance from the Egyptian government so that he can be resident in Egypt.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From the moment Dover took over from Marathon in July 2000 Dr. Awad began his almost constant barrage of e-mails accusing Mr. Moulds of being incompetent, making wrong decisions, and generally criticising all and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Moulds testified that as his relationship with Mr. Salna was new at the time, he spent more time defending himself and responding to Dr. Awad's half-truths, insults, distortions, and accusations, than he was he working on the job he was hired to do. At the same time, Dr. Awad kept asking him for the use of an office inside Petrozeit's offices, his own secretary, and the use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Awad's contention that Dover was so concerned about the dramatic drop in production, they begged him to come back to save the operation is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Moulds proposed to Mr. Salna that instead of having Dr. Awad throwing rocks at the greenhouse, they bring him into the greenhouse and use his energy in a positive and effective manner. Mr. Salna also recognized that Dr. Awad was very disappointed: he had lost face, he wanted to be the big cheese, and he was nothing. Bringing him in as Deputy Exploration General Manager was, as Mr. Salna said, an effort to keep peace within the little Dover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By letter dated September 27, 2000 Mr. Salna wrote to the Chairman of Petrozeit enclosing the application documents for Dr. Awad's work permit for the position of Deputy Exploration General Manager. His gross monthly compensation was $14,140, including $4,140 for Egyptian taxes, and "subject to the benefits allowance as described in the concession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Awad insisted that he be Deputy Exploration Manager for both the REU and later the EWA.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events leading up to what Dover contends was Dr. Awad's resignation arose with the drilling of the offshore well known as EWA 2X.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Awad did not follow the customary hierarchy for offshore drilling operations. The General Manager normally stays in the head office in Cairo to co-ordinate and supervise the operations. The Operations General Manager or drilling manager also works in head office. Two expert consultants retained to be the drilling superintendents work on the offshore oil rig along with approximately 100 others on the rig. Dr. Awad chose to be on the rig for 35 days and took the place of the drilling superintendents.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Awad maintains that he was on the oil rig because that was his job: he claims that it was his money that was being spent, and he has to look after his money. However, Dr. Awad caused friction on the rig, and the two drilling consultants quit. Dr. Awad has no drilling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drilling program for EWA 2X, is contained in a large document, signed by Dr. Awad, as Deputy Exploration Manager and approved by the EGPC. The drilling program must be followed. The program took into account the inherent dangers of drilling in limestone and required drilling with mud in order to prevent a gas or hydrocarbon blow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Awad refused to drill with mud and insisted on drilling with seawater, despite everyone else's pleas to the contrary. His insistence on drilling with seawater caused such concern that Ahmed Farid Moaz, EGPC's Vice-Chair for Production, became directly involved. Mr. Moaz was responsible for supervising all operating and exploration companies with respect to drilling completion and production. He has 35 years of experience in oil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Moaz testified that he had Dr. Awad come to his office and told him that he was expected to follow the drilling program and use drilling mud, and that if he chose to continue drilling with sea water, EWA 2X would not be cost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Awad denies a meeting with Mr. Moaz. I do not believe him. I found Dr. Moaz to be a credible witness and he had no reason not to tell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Awad returned to the rig, refused to follow the drilling program, and drilled with seawater instead of mud. He said that he did not want to spend the money for mud because it would be money out of his pocket. Dr. Awad refused to use mud even when Mr. Salna offered to pay for the mud out of his pocket and flew to Egypt to try to get him to change his mind. The well was lost because Dr. Awad drilled with seawater.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Awad claims that Mr. Salna could not make any decision regarding drilling. Dr. Awad claims that he is the only person authorized to make any decision. He also contends (wrongly) that the drilling program is only a guide that he can choose not to follow. He admitted that he never read the drilling program, although he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a result of Dr. Awad's actions, the EGPC refused to approve cost recovery for the $2,700,000 incurred by Dover for drilling EWA 2X. In an effort to save himself a few thousand dollars, Dr. Awad has cost Dover millions of dollars. The EGPC has required Dover to drill EWA 3X to replace 2X which failed to meet EGPC requirements. Dr. Awad has refused to pay for EWA 3X.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Moulds was present when there was a telephone conference call in his office between Dr. Awad and Mr. Salna who was understandably angry and critical of Dr. Awad. Mr. Moulds heard Dr. Awad offer to step down as General Manager, and Mr. Salna accept his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If Dr. Awad did not verbally resign, he did so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Awad wrote an e-mail dated April 3, 2003 to Robert and Dexter Salna, Mr. Moulds, and Dale Amerine: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Sent: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3, 2003 6:53 PM</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Subject: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 Our Damn Operation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Robert,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leaving any loose ends for Peter or Dale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the one who is making cheap shots, if I want to remove the two of them it [won't] take me any effort, I am taking [a lot] of shit from all directions, now this is the time for everyone to shut-up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not willing to help anymore, let us see how your hand-picked guys will run the operation. I will be a very passive partner from now on and I will not sell any interest and be a continued pain in all asses, if you feel so. I will not go to Egypt for the two REU wells.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Very god damn warm regards, Gary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response to Mr. Salna's request asking Dr. Awad to delegate Dale Amerine in his place when they would both be away, Dr. Awad replied on April 10,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Sent: Subject: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Thursday, April 10, 2003 11:12 AM Fwd: Delegation to Dale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Robert,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your decision, it is obvious that we are not perforating #4 or [looking] for a rig to drill the 2 REU wells therefore, I will not be needed for probably another 4 months. I consider myself done with our daily operations out of the Cairo office and my signature is no longer required to even delegate to someone else.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 Gary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April 14, 2003 Dr. Awad sent the following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Sent: Subject: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"garib awad" &lt;garib_awad@hotmail.com&gt; April 14, 2003 10:39 PM Re: My Role @ Petrozeit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Robert,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Effective the 1st of May, 2003 I am no longer part of Dover's Petrozeit staff, Dale is already a board member so [are] you and Peter, unless you want to appoint Dale to the position of Deputy Exploration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role will be a passive partner, if you are not planning on paying me the regular salary beyond May 01, 2003 it will be your choice but, I'll not be involved in any technical consultation or supervision and will not express any opinion.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When Mr. Salna later learned that Dr. Awad had failed to follow Mr. Moaz's directions (he did not know at the time), on May 20, 2003 he sent an e-mail to Dr. Awad criticising him for wanting to be paid revenues for EWA and for what occurred with respect to EWA 2X. Mr. Salna also wrote that he was accepting Dr. Awad's resignation from the Petrozeit Board "as it was provided by you to me when Beau Chorney was involved and replacing you with my brother Dexter".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same day, on May 20, 2003 Dr. Awad wrote his letter to the EGPC with statements he knew were not true. Dr. Awad boldly testified that as far as he was concerned Mr. Salna was not capable of running the operation, he did not deserve to run the operation, he is not an honest man, he fooled around with the accounts, he smuggled funds, he embezzled funds, and in writing the May 20, 2003 letter he was "going to get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From the many e-mails that Dr. Awad wrote and his evidence and demeanour at trial, I find that Dr. Awad regards himself very highly, and puts down, denigrates, and insults almost everyone else. He takes slight easily, and is quick to anger. He refers to the Egyptians who work at the EGPC as idiots. He repeatedly insulted Mr. Salna. He repeatedly questioned the competence of everyone, even those who were much more experienced than he was. He said that no Egyptian businessman is capable of running an oil field (which is surprising, considering that for most of his business life, Dr. Awad was an Egyptian citizen). He described Dexter Salna as having no business experience and Mr. Moulds as barely competent to sweep the floor. Like many of the descriptions Dr. Awad uses for people, his descriptions of Mr. Salna and Mr. Moulds are totally inappropriate and offensive. His e-mails are vitriolic. He exaggerates. He takes credit for anything positive that develops; he blames everyone else for anything negative that occurs. He does not tell the truth, even when his statement is made under oath. He contradicts himself on important points. He jumps to the most amazing and outlandish conclusions on the flimsiest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At trial he testified that the first time he ever spoke to Dave Coatney was during Canoil's attempted acquisition. In an affidavit filed in the Ontario court proceedings, he swore that he entered into discussions with Mr. Coatney before he went to Marathon's data room in Houston which is before he came to Vancouver. He was confronted with the conflicting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swear that affidavit, sir?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was that content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 way,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 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in a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doesn't matter. That whole - that's what - the chronology here was not that important. .... That affidavit was made to life the stay of Mr. (sic) Spence's decision. It was not meant to decide on any detailed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this one wasn't meant to have the proper details?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Ontario proceedings, when cross-examined on his affidavits, Dr. Awad admitted that he lied:</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say: I already helped Dover Petroleum by paying $296,510 --</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yes.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as well as buying almost 300,000 shares --</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that cost me over $400,000.</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that true, sir?</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 was exaggerating.</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Oh, I see. So that was a lie when you wrote that you bought almost 300,000 shares of Dover Petroleum?</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it is a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Awad agrees that he lied, but that "it was no big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An example of his insults is an e-mail he wrote on August 6, 2004 to Mr. Salna: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Robert P. Salna,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you have said in this e-mail is absolute garbage, you don't understand anything about oil and gas exploration and production to realize how much work I did in the EWA and REU and how much data I used in my evaluation. Peter Moulds had poisoned your tiny brains with his lies, his ignorance and [incompetence].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you need someone to explain to you how to read a document, it seems that you can speak good street English but you need a crash [course] in reading English documents. I will show you how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just wait and see.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Pending the anticipated [judgment] and accounting, you better hold your horses because I will take you to as many courts as I can until I get what I am lawfully entitled to. Keep stealing and fooling yourself but at the end, you lose.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not supposed to answer to your e-mails because you are not a person with the minimum required intelligence to understand any subject or reply properly to any correspondence but, I am replying to you for the last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Best Regards, Gary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An example of Dr. Awad's logic: he insists that Mr. Moulds is a spy and involved in espionage because many times he travelled to Hurghada which is close to a naval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Moulds (whose evidence I prefer to Dr. Awad's) says he travels to Hurghada to go scuba diving. He has been scuba diving for 25 years, and Hurghada is a major resort town and has some of the best diving in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There are two statements that Dr. Awad made at trial that are true: he said that he does not do business the way North Americans do business; and, he said that he does business the way he thinks it should be done, whether people like it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conclude that Dr. Awad was at no time wrongfully dismissed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2: Is Awad Entitled to Unpaid Wages and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Awad alleges that he is entitled to a 70 percent "uplift" in addition to the $10,000 a month salary for a total of $17,000 each month in accordance with Article II of the EWA and REU concession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Awad swore an affidavit in the Ontario proceedings that Mr. Salna had agreed to pay him the 70 percent uplift as part of his employment agreement. In the case at bar, Dr. Awad agrees that when he entered into the employment contract he said nothing about a 70 percent uplift and none was promised. He claims however that the uplift is "automatic" pursuant to Article II of the concession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Article II provides that the Contractor (in this case Dover) shall pay costs and expenses, including: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ARTICLE II</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COSTS, EXPENSES AND EXPENDITURES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expatriate employees permanently assigned to Egypt: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allowances applicable to salaries and wages;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established plans;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travel and relocation costs of such expatriate employees and their families to and from the employee's country or point of origin at the time of employment, at the time of separation, or as a result of transfer from one location to another and for vacation costs under this sub-paragraph (b) (2) shall be deemed to be equal to seventy (70) percent except for employees whose families have not been transferred to A.R.E., in which case the percentage shall be fifty seven (57) percent of salaries and wages paid for such expatriate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percentage outlined above shall be deemed to reflect CONTRACTOR's actual costs as of the Effective Date with regard to the following benefits, allowances and costs: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Housing and Utilities Allowance.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Commodities and Services Allowance.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Rental Allowance.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Vacation Transportation Allowance.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Vacation Travel Expense Allowance.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Vacation Excess Baggage Allowance.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 allowances (Children of Expatriate Employees).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Hypothetical U.S. Tax Offset (which results in a reduction of the chargeable percentage).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Storage of Personal Effects.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Housing Refurbishment Expense.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Management Service Fees.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Recreation Allowance.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Retirement Plan.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Group Life Insurance.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Group Medical Insurance.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Sickness and Disability.</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Vacation Plans Paid (excluding Allowable Vacation Travel Expenses).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Savings Plan.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 Assistance.</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Military Service Allowance.</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F.I.C.A.</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Workman's Compensation.</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Federal and State Unemployment Insurance.</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Personnel Transfer Expense.</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Costs, Allowances and Benefits of a like nature as established in CONTRACTOR's International Policies.</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National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Dale Amerine is a certified public accountant who has more than 25 years experience dealing with the finances of international gas and oil companies. He has worked in Egypt for 13 years and during that time has dealt with concession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Amerine testified that none of the international companies he has worked with paid the 70 percent uplift to its employees. It is up to each company as employer to determine the extent of any fringe benefits and allowances paid to its employees. In Dr. Awad's case, his benefits included housing, utilities, dental, health, and medical expenses. He submitted claims for various benefit items and was paid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deemed 70 percent is paid by the EGPC to the contractor once an employment contract is approved. Because the 70 percent deemed amounts recovered by Dover from the EGPC are greater than the amounts Dover pays out for benefits, the amount of money available for distribution to the joint venture partners is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Timothy Armsby is a partner in the international law firm Trowers &amp; Hamlins, and works in their Cairo office. He regularly negotiates and provides legal advice on concession agreements for international oil and gas companies, and for State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Armsby testified that the deeming provision of Article II is for the purpose of cost recovery. The amount that a contractor can recover from the EGPC for amounts paid out for fringe benefits is fixed at 70 percent. The actual benefit amounts paid to employees are provided for by the terms of each individual employment contract and may be more or less than 70 percent. The EGPC does not review the benefits any employee receives, and there is no obligation either under the concession agreement or Egyptian law that the 70 percent received by a contractor from the EGPC must be paid to any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Awad admits that he claimed and received payment for fringe benefits, including such things as eye glasses, travel, medical, and dental. However, he wants to pay back the amounts he received by way of benefits and be paid the 70 percent uplift.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find that Dr. Awad has not proved that he is entitled to a 70 percent uplift as a term of his employment contract or as a term of the concession agreement. The claim is ill-conceived 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3: Is Awad Entitled to a 50 Percent Interest in Abu Sennan?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June 2005 Dover and two other companies were the successful bidders on the Abu Sennan concession. Each company has a one-third interest in the concession.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Awad claims that pursuant to the terms of the February Agreement, Dover must convey 100 percent (even though Dover does not own 100 percent) of anything it acquires, anywhere in the world to CIPC; failing which, Dover and Mr. Salna must immediately transfer 50 percent of Abu Sennan, or whatever else Dover acquires, to Dr. Awad personally as in the "EWA precedent". Dr. Awad claims that the February Agreement was a compromise and because Mr. Salna ended up with 76 percent, he is entitled to be compensated by the transfer to him of any future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Whatever the parties did in respect of EWA does not set a "precedent" for interpreting the February Agreement. Not only are the parties to the REU not the same as the parties to the EWA, the Court in interpreting the agreement must look at the words of the agreement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Awad, Mr. Salna, and Mr. Riva acquired CIPC, a Delaware corporation that was the result of a merger between Healthwise Beverages, Inc. and another company. Delaware laws would not allow "Ltd.", so what was to be CIPL became CIPC.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Riva's interest was acquired by Dover so that both Dr. Awad and Mr. Salna each had approximately 7.8 million shares. Dr. Awad was the president, and he and Mr. Salna were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After the events of May 2003, on June 7, 2003, Dr. Awad, without Mr. Salna's knowledge or consent, or a resolution, directed the register and transfer agent of CIPC to issue 31,400,000 shares to himself. The shares represented approximately 60 percent of the authorized capital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September 6, 2003 Dr. Awad chaired a purported meeting of CIPC shareholders and used the new shares he issued to himself to (a) remove Robert Salna as a director; (b) "roll back" the issued shares 5 for 1; (c) issue to himself an additional 7,500,000 shares; (d) issue stock options to himself to purchase an additional 500,000 shares; and (e) adopt new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Awad claims that he did this because Mr. Salna refused to pay him 50 percent of what he paid to acquire his shares in CIPC, and as long as Mr. Salna refused, he could issue the shares to himself because CIPC is a private company and not subject to any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Steven Jenkins, an attorney from Delaware, gave the following expert evidence: since May 2002 CIPC's charter has been void for non-payment of corporate franchise taxes totalling $465,000. It is therefore a criminal offence for CIPC to do business. The shares that Dr. Awad issued to himself were issued pursuant to a resolution made by the previous board of Heathwise Beverages, Inc., and not pursuant to a valid resolution. The actions taken by Dr. Awad, including issuing the shares to himself, were invalid, the September 2003 resolutions were invalid, and under Delaware law, a breach of the fiduciary duties Dr. Awad owes to the corporation and its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Before Dover submitted its bid on the Abu Sennan concession, Mr. Salna sought to confirm in writing Dr. Awad's position on the February Agreement. He instructed his Ontario lawyer, Harold Maltz, to write to Blake, Cassels &amp; Graydon LLP, solicitors for Dr. Awad in the Ontario litigation, to determine Dr. Awad's position if the parties to the February Agreement bid on other concessions. The reply came back in an e-mail dated September 27, 2004 from Joel Richler, a partner in the firm, and an e-mail dated November 12, 2004 from David Gruber.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Richler wrote in his e-mail of September 27,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confirm that Dr. Awad's position continues to be that the REU Joint Venture Agreement does not require the parties to acquire properties jointly or on behalf of CIPC.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Gruber wrote to Mr. Maltz in his e-mail of November 12,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already made plain Dr. Awad's position that there are no ongoing obligations under the REU Joint Venture Agreement to bid jointly for further oil and gas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Based on that assurance, Dover bid for a one-third interest in the Abu Sennan concession in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Dr. Awad claims that he had fired his lawyers by September 2004 for their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they wrote the e-mails without his knowledge. Again, Dr. Awad was not telling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David Gruber is a partner at Blake, Cassels. He testified that when he wrote his e-mail, he was an associate at the firm and working with Mr. Richler. He testified that he invariably received instructions by fax or e-mail from Dr. Awad before he took any step. The firm continued to act for Dr. Awad until early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conclude that Dover and Mr. Salna did not breach the February Agreement by not conveying an interest in the Abu Sennan concession to Dr. Awad. He is not entitled to a 50 percent interest or any other interest in the concession.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4: Is Awad Entitled to Damages for the Range 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Awad seeks $32,000 (USD) for the value of a Range Rover, plus a similar amount for loss of use, and in addition, a "50% premium to cover the US dollar devaluation".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Under the concession agreements, contractors operating the concession may purchase vehicles duty free, and ex-patriates working for the contractors are allowed to purchase a vehicle and place the vehicle under the applicable duty-free customs umbrella.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2000 Dr. Awad purchased a Range Rover for $32,000 (USD) and had it placed under the REU tax umbrella. The Range Rover was in his name but primarily used by Dr. Awad's son. As Dr. Awad testified, it was his son's vehicle. Dr. Awad has the use of a company vehicle and he had his own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Awad renewed the Range Rover licence every three months, and the license was coming up for renewal when he planned to be away from Egypt on vacation. He asked Dover to transfer the Range Rover to the EWA tax umbrella and Dover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Dale Amerine testified that when the license to the Range Rover expired in July 2003 and needed to be renewed, it was learned that Dr. Awad, without Dover's consent or knowledge, had transferred ownership of the vehicle to Dover.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Because Dover was potentially legally liable for the Range Rover, it sent e-mails to Dr. Awad, asking him to ask his son to bring the vehicle to Dover. That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There were a series of e-mail correspondence between Dr. Awad and Dover providing various options on how to deal with the Range Rover but no agreement could be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Amerine sought legal advice from Samir Hamza, a member of the international law firm Baker &amp; McKenzie. On August 14, 2003 Mr. Amerine received the following legal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Amerine,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refer to your facsimile message of August 13, 2003 regarding the above subject and to the questions you have posed requesting my legal opinion on same. The response to your questions is as follows: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Dr. Awad and his son would be liable for any accident or damage sustained by third parties caused by their use of the vehicle. Because the vehicle is registered in the name of Dover, Dover would be jointly and severally liable with the person causing the accident or injury.</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discussed with you over the phone yesterday, from a legal standpoint Dr. Awad should not continue to use the car after the transfer of its title to the name of Dover (unless Dover consents to such 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Dover consents to such use, it must receive an indemnity letter from Dr. Awad to protect and hold harmless Dover against any claims resulting from the use of the car.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further indicated to you, I do not recommend the indemnity letter route, since it sheds doubt on the role of Dover and may have the Egyptian Customs Authority charge Dover with evasion of customs duty and covering for Dr. Awad who is no longer an employee of Dover. Hence, the exemption umbrella does not apply to such car.</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Dover should officially - through a court bailiff - notify Dr. Awad to transfer the title of the vehicle into his name and pay customs duties or otherwise Dover will request the competent Authorities to seize and re-export the car out of Egypt.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Dr. Awad does not transfer the title to his name and pay the customs duties on the car, Dover should officially request EGPC that Dover will re-export the car out of Egypt and obtain a seizure order from the competent judge to seize the car and re-export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Best 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Samir M. Hamza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August 18, 2003 Robert Salna wrote an e-mail to Dr. Awad that briefly summarizes the legal opinion and set out three options: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must be re-exported;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registration must be transferred back to Dr. Awad in which case he would be liable for applicable customs duties; or</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could discuss the possibility of Dover purchasing the vehicle at the current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None of the options were acceptable to Dr.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September 2003 Dover was notified that it was in customs violation on account of the Range 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Dover hired a customs consultant and subsequently advised Dr. Awad that it had no choice but to initiate legal proceedings to have the vehicle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Egyptian police notified Dr. Awad's son to come to the police station. He did not respond. The matter was turned over to the Public Prosecutor, and in November 2003 the Range Rover was seized from Dr. Awad's son and returned to Dover. Dr. Awad's son was required to appear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Dover has not used the Range Rover except to drive it so that its license can be renewed, and has it washed and maintained regularly. Otherwise, since November 2003, the Range Rover has sat in Dover's compound.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Dover has offered to ship the vehicle to Dr. Awad in Vancouver, in which case he would not have to pay duty, but he would have to pay shipping costs of approximately $7,500. He would also have to have to make some modifications to the vehicle in order to drive it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If Dr. Awad wants to drive the vehicle in Egypt, it would not have duty free status, so duties would be assessed. In February 2004, the duties were approximately $31,300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Awad testified that the Range Rover issue is "meaningless and a waste of time", but "it's a matter of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Range Rover issue was solely caused by Dr. Awad. He has no claim under contract or in equity for what 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At trial Mr. Salna suggested that Dover could purchase the vehicle at fair market value but there is no evidence of that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vehicle was purchased for $32,000 (USD). The vehicle is now nine years old and presumably has fairly low mileage because it has been driven minimally for the last six years. To ship the nine-year-old vehicle to Canada for $7,500 makes little practical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conclude that Dr. Awad has until August 15, 2009 to provide satisfactory evidence to Dover that he has paid all of the necessary taxes, duties, and/or penalties on the vehicle and the vehicle will be transferred to him. Failing that, Dover can keep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5: Is Awad Entitled to Share in REU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Dr. Awad's e-mail of April 14, 2003 giving notice that as of May 1, 2003 he would no longer be part of Dover's Petrozeit staff, he also stated: "If you are making any decisions concerning our interests in Egypt, you will ask my approval or [disapproval] without any technical commitment on my side then we decide if it will be your sole risk or I join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Awad selected the location for the drilling of REU 1 and REU 11 exploratory wells. The joint venture partners agreed, the EGPC approved the budget, and a drilling rig was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Just two days before drilling was scheduled to begin, Dr. Awad sent an e-mail on June 25, 2003 informing Robert Salna that he would only co-operate if he was re-instated as Deputy Exploration Manager and Deputy Operations Manager, paid his salary from January to August 2003, and a list of other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June 28, 2003 Dr. Awad sent an e-mail listing other demands including how the drilling should take place, what deductions for drilling should be made out of revenue and in what month, what drilling tools should be used, how the book and account entries should be made, because "no single decision should be made without our discussion". He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absolutely against the drilling of REU-12 and since we have the rig that will only cost $15,000 for moving between locations, we can re-inter #4 and do the following (which is not subject to changes or discussions).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[disagree] with my plan for REU-4, I am willing to carry all the costs of my plan for #4 and take all of its oil (not EGPC nor Petrozeit can stop me from doing what I believe) and Dover can drill REU-12 and take all of its oil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REU 1 and REU 11 turned out to be dry wells. Dr. Awad refused to participate in the cost of the wells. He sent a series of e-mails making accusations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saying his instructions were not followed, he was not informed, and that he was not sent the daily technical reports from the well drilling. Like many of Dr. Awad's allegations, they were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Awad claims that he is not required to participate in the cost of drilling REU 1 and REU 11 wells because they were "sole risk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Awad contends that if the parties cannot agree in writing, the party who assumes the operation has to pay the full costs of the operation. That is, once he made his written demands in June 2003, and Mr. Salna or Dover did not agree with his demands, then REU 1 and REU 11 became Dover's sole risk, and Dover is responsible for all of the cost of the drilling operations. Dr. Awad said that is how business works: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I'm sorry, if I understand you, you're saying sole risk means if the well is successful, you share but if the well is unsuccessful, that's Dover's own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the way it goes.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you don't need to share?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the way it goes. That's the way business goes. And I was going to tell you the difference between EWA and REU.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just want to - so you're saying there's something called sole risk operations, which you're saying the REU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Every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Every joint venture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Subject to the same term. The only variation from one agreement to another, if there's a penalty or there's no penalty.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Just so I understand your evidence, you're saying that the February 2000 REU joint venture agreement is subject to a condition called sole risk operations? And that is if Dover was successful in drilling wells and the wells produce oil, you get to share in it, but if the well turns out to be unsuccessful, you don't have to share in any losses?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That's the way it goes.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July 3, 2003 Dr. Awad e-mailed Mr. Salna again confirming that he "will not participate in REU 12"; meaning that he will not participate in the cost of drilling that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REU 12 has turned out to be a successful well. Dr. Awad claims that he is entitled to the revenues from REU 12, </w:t>
      </w:r>
      <w:r>
        <w:rPr>
          <w:rFonts w:ascii="arial" w:eastAsia="arial" w:hAnsi="arial" w:cs="arial"/>
          <w:i/>
          <w:color w:val="000000"/>
          <w:sz w:val="20"/>
          <w:lang w:val="en-US" w:eastAsia="en-US" w:bidi="ar-SA"/>
        </w:rPr>
        <w:t>but</w:t>
      </w:r>
      <w:r>
        <w:rPr>
          <w:rFonts w:ascii="arial" w:eastAsia="arial" w:hAnsi="arial" w:cs="arial"/>
          <w:color w:val="000000"/>
          <w:sz w:val="20"/>
          <w:lang w:val="en-US" w:eastAsia="en-US" w:bidi="ar-SA"/>
        </w:rPr>
        <w:t xml:space="preserve"> that he does not have to pay for his share of the costs of drilling the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Awad testified that he did not know that REU 12 was to be a Nubia well, and had he known, he would have agreed to participate. He testified that he did not know that REU 12 was to be a Nubia well until he received an expert report in August 2008, and that Mr. Salna tricked him into believing that it was to be a Matulla well. Dr. Awad did not tell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correspondence and daily production reports Dr. Awad sent and received show otherwise: he had express knowledge from the daily reports that REU 12 was to be a Nubia well. He first said he never received any daily production reports after he was fired in May 2003. He then changed the dates. He finally was forced to admit that he received the reports daily until August 31, 2004. Even as early as June 28, 2003 Dr. Awad knew that REU 12 was to be a Nubia well. In his e-mail of June 28, 2003 to Mr. Salna, Dr. Awad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Simply, you decide to run the operation your own way, if you can't bear the heat, don't go near the kitchen! It is your team and your responsibility for any cost overruns above $300,000 for dry hole and $500,000 completed and yes Petrozeit operations team are nothing but idiots, enjoy your team.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produce the Nubia oil from #4 my own way and no need for REU-12, if your experts can produce it only by drilling REU-12, it will be your choice, I am not paying a penny in REU-12 (it will cost $2 million and brings disastrous results), you pay all the costs and pray to all Gods (just in case, to be sure that one of them is real) to produce that Nubia oil. Your team will waste $2 MM and will never reach the Nubia reservoir target at optimum point or overcome the problems. If your team believes the $874,000 budget for a completed REU-12, I can't call them anything but stupid idiots and fools.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 Gary Awad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Awad set the rules on sole risk wells. He told and allowed Dover to go sole risk on REU 12. He refuses to pay or contribute towards the cost of REU 1, REU 11, or REU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find that in these circumstances, Dr. Awad is not entitled to any of the revenues from REU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6: Was Salna in Contempt of the July 18, 2003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Awad alleges that Robert Salna was in contempt of the order of July 18, 2003 by:</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Informing the Ministry, EGPC and Petrozeit about the order;</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Threatening his son and complaining to the EGPC, the police, the District Attorney, and the court in respect of the Range Rover;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Libelling and slandering him in two issue of Stockwatch.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Awad claims that as a result of the foregoing, he has been blacklisted by the Minister and the EGPC, his bids have gone unopened, and the Minister has refused to approve the EWA deed of assignment which Dr. Awad submitted in May 2006. Consequently, he has lost millions of dollars and his reputation has been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court order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parties are enjoined from communicating with the board of directors, officers or employees of Gebel El Zeit Petroleum Company or the Egyptian General Petroleum Corporation respecting the personality and competence of each other generally and Dover Investments Limited, Robert Salna, Peter Moulds, Dale Amerine or any other of the directors, officers or employees of Dover Investments Ltd. and each party is enjoined from otherwise maligning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At the time the order was issued Dr. Awad was represented by counsel and the order was made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Salna showed a copy of the order to the EGPC, the Minister of Petroleum, and Petrozeit. Doing so is not a breach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have already dealt with the issue of the Range Rover and Dr. Awad's son. Dr. Awad's son is not a party to these proceedings, and is not included in the terms of the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Awad relies on an October 30, 2006 internet Stockwatch article where Mr. Salna is quoted as stating in an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dealings with Mr. Awad, he has openly admitted to lying and falsifying his legal affidavits and this is documented in court records and I can assure that many of the items ... are neither true nor based on fact and could and likely will be very damaging to all the parties involved including my company Dover Investments Limited and even Awad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a further Stockwatch article, Mr. Salna is quoted as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read the Stockwatch Article and would like to assure you that the allegations made therein by Mr Awad have absolutely no factual basis to support them and are fraudulent and slanderous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Awad never cross-examined Mr. Salna on the articles, and I am unable to find that Mr. Salna made the statements attributed to him. Even if he did, the order of July 18, 2003 does not extend to Stockwatch.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accept Mr. Gold's argument that even if Mr. Salna made the comments (I do not find that he did), truth is a defence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7: The Claim against Awad for Libel and Slander and/or Interference with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argument, Dover and Mr. Salna claim that the letters of May 23, 2003 and January 21, 2007 written by Dr. Awad were libellous, interfered with contractual relations, and caused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To say that Robert Salna is a real estate salesman was meant to demean him and Dover. Mr. Salna is a successful businessman who has started a number of successful public companies that have allowed him to accumulate a large real estate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To say that Dover has no technical staff is false. Peter Moulds is well qualified and experienced for the position he holds.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the Ontario proceedings, Dr. Awad testified that Mr. Moaz told him negative things about Mr. Moulds. At trial in this court he denied giving that evidence (although it was transcribed and in writing, and Dr. Awad even spelled out the name Moaz) and claimed the court reporter made a mistake, and suggested that when you have money, you can get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Moaz denies ever hearing anything negative about Mr. Moulds, and denies making a negative statement about Mr. Moulds to Dr. Awad. While Dr. Awad says that he is famous and everyone in Egypt knows him, Mr. Moaz says that he had never heard of Dr. Awad until they met in his office in 2003 over the drilling of EWA 2X.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letter of January 21, 2007 has caused not just damages for Mr. Salna and Dover, but out-of-pocket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Awad distorts the Ontario court decision to suggest that the court ordered Dover and Mr. Salna to pay him more than $20 million, and that all of Dover's affairs were to be audited.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He also distorts the proceedings in this court. There is no substance to the statement that Dover committed fraud on the joint accounts or evaded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 a result of the letter of May 20, 2003 Mr. Salna had to travel to Egypt in order to deal with the consequences of the letter. He also attended to other matters, but estimates that out of the one week he was in Egypt, he spent three days dealing with the issues raised by the letter. He would not have gone to Egypt but for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proportionate share of the week's expenses for transportation, accommodation, and taxes total $2,166.05.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As a result of the letter of January 21, 2007 Dover was required to agree to indemnify the Minister of Petroleum and the EGPC under an indemnity agreement made November 19, 2007 for all claims made by Dr. Awad with respect to the EWA. The letter also resulted in Mr. Salna having to make three trips to Egypt between March 2007 and November 2007, and a trip to Calgary on June 10, 2008. While in Egypt he dealt with other business, but he would not have travelled to Egypt but for Dr. Awad's letter. He estimates about two-thirds of his time in Egypt, and one-half of his time in Calgary, dealt with issues raised by the letter of January 21, 2007. Mr. Gold, counsel for Dover was also required to attend Calgary on June 10, 2008 to deal with the issues raised by the letter of January 21, 2007. All of Mr. Gold's expenses for having to attend in Calgary and two-thirds of Mr. Salna's accommodation, and related expenses are claimed,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1987"/>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Transportation</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$6,626.67</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Accommodation</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$5,415.99</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2405"/>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Meals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$191.28</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fees</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$7,592.40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$19,826.34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expenses therefore total $21,992.39.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May 2008 Transpacific and Dr. Awad commenced legal proceedings in this court (action no. S083864 Vancouver Registry) against the Minister of Petroleum. The Court struck the proceedings against the Minister, and ordered Dr. Awad to pay the Minister's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Dover is required to indemnify the Minister of Petroleum's costs and expenses. As of the date of this trial, those costs and expenses were unknown, and Dr. Awad had not paid costs as ordered. Given Dr. Awad's history of not paying court costs when ordered, I doubt that 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Dover and Mr. Salna seek general damages and punitive damages. They rely on </w:t>
      </w:r>
      <w:r>
        <w:rPr>
          <w:rFonts w:ascii="arial" w:eastAsia="arial" w:hAnsi="arial" w:cs="arial"/>
          <w:i/>
          <w:color w:val="000000"/>
          <w:sz w:val="20"/>
          <w:lang w:val="en-US" w:eastAsia="en-US" w:bidi="ar-SA"/>
        </w:rPr>
        <w:t>WeGo Kayaking Ltd. v. Sewid</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2007 BCSC 49</w:t>
        </w:r>
      </w:hyperlink>
      <w:r>
        <w:rPr>
          <w:rFonts w:ascii="arial" w:eastAsia="arial" w:hAnsi="arial" w:cs="arial"/>
          <w:color w:val="000000"/>
          <w:sz w:val="20"/>
          <w:lang w:val="en-US" w:eastAsia="en-US" w:bidi="ar-SA"/>
        </w:rPr>
        <w:t>, where the Court found that the defendant, by publishing the "Bad Kayak Companies" list, intended to punish the plaintiffs for not continuing to do business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Justice Macaulay set out the applicable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The tort of defamation presents a contest between two deeply-held values of Canadian society: freedom of expression and the individual's right to his or her good name. The Supreme Court of Canada recognized this tension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In affirming the importance of the former, the Court noted, "without this freedom to express ideas and to criticize the operation of institutions and the conduct of individual members of government agencies, democratic forms of government would wither and die" (para. 101). However, the Court pointed out that this freedom has never been absolute (para. 102).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Regarding the individual's right to protection of his reputation, the Court stated, at paras. 107-108: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[107] The other value to be balanced in a defamation action is the protection of the reputation of the individual. Although much has very properly been said and written about the importance of freedom of expression, little has been written of the importance of reputation. Yet, to most people, their good reputation is to be cherished above all. A good reputation is closely related to the innate worthiness and dignity of the individual. It is an attribute that must, just as much as freedom of expression, be protected by society's laws. In order to undertake the balancing required by this case, something must be said about the value of reputation.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[108] Democracy has always recognized and cherished the fundamental importance of an individual. That importance must, in turn, be based upon the good repute of a person. It is that good repute which enhances an individual's sense of worth and value. False allegations can so very quickly and completely destroy a good reputation. A reputation tarnished by libel can seldom regain its former lustre. A democratic society, therefore, has an interest in ensuring that its members can enjoy and protect their good reputation so long as it is merited.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principles inform the law of defamation.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To make out a claim for defamation, the plaintiffs must prove, on a balance of probabilities, that the defendant published or caused to be published comments about them that were defamatory: see </w:t>
      </w:r>
      <w:r>
        <w:rPr>
          <w:rFonts w:ascii="arial" w:eastAsia="arial" w:hAnsi="arial" w:cs="arial"/>
          <w:i/>
          <w:color w:val="000000"/>
          <w:sz w:val="20"/>
          <w:lang w:val="en-US" w:eastAsia="en-US" w:bidi="ar-SA"/>
        </w:rPr>
        <w:t>Home Equity Development v. Crow</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2004 BCSC 124</w:t>
        </w:r>
      </w:hyperlink>
      <w:r>
        <w:rPr>
          <w:rFonts w:ascii="arial" w:eastAsia="arial" w:hAnsi="arial" w:cs="arial"/>
          <w:color w:val="000000"/>
          <w:sz w:val="20"/>
          <w:lang w:val="en-US" w:eastAsia="en-US" w:bidi="ar-SA"/>
        </w:rPr>
        <w:t>, at para. 86. There is no question here that the impugned statements concern the plaintiffs. The two questions for determination are whether the statements were defamatory, and whether Mr. Sewid published them or caused them to be published. If defamation is proven, the onus then shifts to the defendant to prove a valid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Statements are defamatory where they have the tendency to lower the reputation of the plaintiff in the estimation of other members of society: see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2d ed. (Toronto: Carswell, 1999) at 4-20. Here, Wego and Northern Lights say that the impugned statements were defamatory based on the "natural and ordinary meaning" of the words. The test for "natural and ordinary meaning" looks to the meaning that a reasonable person, with an ordinary person's general knowledge, would give to the statement within the statement's context. See </w:t>
      </w:r>
      <w:r>
        <w:rPr>
          <w:rFonts w:ascii="arial" w:eastAsia="arial" w:hAnsi="arial" w:cs="arial"/>
          <w:i/>
          <w:color w:val="000000"/>
          <w:sz w:val="20"/>
          <w:lang w:val="en-US" w:eastAsia="en-US" w:bidi="ar-SA"/>
        </w:rPr>
        <w:t>Hodgson v. Canadian Newspapers</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(1998), 39 O.R. (3d) 235</w:t>
        </w:r>
      </w:hyperlink>
      <w:r>
        <w:rPr>
          <w:rFonts w:ascii="arial" w:eastAsia="arial" w:hAnsi="arial" w:cs="arial"/>
          <w:color w:val="000000"/>
          <w:sz w:val="20"/>
          <w:lang w:val="en-US" w:eastAsia="en-US" w:bidi="ar-SA"/>
        </w:rPr>
        <w:t xml:space="preserve"> (Gen. Div.), at 253, rev'd on other grounds </w:t>
      </w:r>
      <w:hyperlink r:id="rId128" w:history="1">
        <w:r>
          <w:rPr>
            <w:rFonts w:ascii="arial" w:eastAsia="arial" w:hAnsi="arial" w:cs="arial"/>
            <w:i/>
            <w:color w:val="0077CC"/>
            <w:sz w:val="20"/>
            <w:u w:val="single"/>
            <w:shd w:val="clear" w:color="auto" w:fill="FFFFFF"/>
            <w:lang w:val="en-US" w:eastAsia="en-US" w:bidi="ar-SA"/>
          </w:rPr>
          <w:t>(2000), 49 O.R. (3d) 161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 find all of the impugned statements to be defamatory on the "natural and ordinary meaning" test. All would likely injure the business reputations of both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Once libel is proved, harm to the plaintiff's reputation is presumed. The plaintiff need not prove general damages. See </w:t>
      </w:r>
      <w:r>
        <w:rPr>
          <w:rFonts w:ascii="arial" w:eastAsia="arial" w:hAnsi="arial" w:cs="arial"/>
          <w:i/>
          <w:color w:val="000000"/>
          <w:sz w:val="20"/>
          <w:lang w:val="en-US" w:eastAsia="en-US" w:bidi="ar-SA"/>
        </w:rPr>
        <w:t>Home Equity Development</w:t>
      </w:r>
      <w:r>
        <w:rPr>
          <w:rFonts w:ascii="arial" w:eastAsia="arial" w:hAnsi="arial" w:cs="arial"/>
          <w:color w:val="000000"/>
          <w:sz w:val="20"/>
          <w:lang w:val="en-US" w:eastAsia="en-US" w:bidi="ar-SA"/>
        </w:rPr>
        <w:t xml:space="preserve">, at para. 155. The appropriate amount of general damages depends on the precise circumstances of the case. The court usually considers factors such as the nature and circumstances of the publication of the libel; the nature and position of the victim of the libel; the possible effects of the libel statement upon the life of the plaintiff; and the actions and motivations of the defendants. As each libel case is unique, there is little to be gained from a detailed comparison of libel awards. 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at para. 187.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General damages are intended to provide comfort for personal distress and to vindicate one's reputation, including one's business reputation: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at 25-16.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In this case, both plaintiffs are corporations rather than human beings. Corporations are incapable of suffering personal distress and may not receive general damages under that particular head. The plaintiffs may only receive damages for injury to their business reputations.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Proof of general economic loss may demonstrate injury to a business's reputation. In </w:t>
      </w:r>
      <w:r>
        <w:rPr>
          <w:rFonts w:ascii="arial" w:eastAsia="arial" w:hAnsi="arial" w:cs="arial"/>
          <w:i/>
          <w:color w:val="000000"/>
          <w:sz w:val="20"/>
          <w:lang w:val="en-US" w:eastAsia="en-US" w:bidi="ar-SA"/>
        </w:rPr>
        <w:t>Walker v. CFTO Ltd.</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(1987), 37 D.L.R. (4th) 224</w:t>
        </w:r>
      </w:hyperlink>
      <w:r>
        <w:rPr>
          <w:rFonts w:ascii="arial" w:eastAsia="arial" w:hAnsi="arial" w:cs="arial"/>
          <w:color w:val="000000"/>
          <w:sz w:val="20"/>
          <w:lang w:val="en-US" w:eastAsia="en-US" w:bidi="ar-SA"/>
        </w:rPr>
        <w:t xml:space="preserve"> (Ont. C.A.), the leading case on corporate libel damages, the Ontario Court of Appeal held that corporations generally should not receive large awards for loss of reputation, unless economic loss is also shown. The court relied, in part, on </w:t>
      </w:r>
      <w:r>
        <w:rPr>
          <w:rFonts w:ascii="arial" w:eastAsia="arial" w:hAnsi="arial" w:cs="arial"/>
          <w:i/>
          <w:color w:val="000000"/>
          <w:sz w:val="20"/>
          <w:lang w:val="en-US" w:eastAsia="en-US" w:bidi="ar-SA"/>
        </w:rPr>
        <w:t>Lewis v. Daily Telegraph Ltd.</w:t>
      </w:r>
      <w:r>
        <w:rPr>
          <w:rFonts w:ascii="arial" w:eastAsia="arial" w:hAnsi="arial" w:cs="arial"/>
          <w:color w:val="000000"/>
          <w:sz w:val="20"/>
          <w:lang w:val="en-US" w:eastAsia="en-US" w:bidi="ar-SA"/>
        </w:rPr>
        <w:t>, [1963] 2 All E.R. 151 (H.L.), at 156: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company cannot be injured in its feelings, it can only be injured in its pocket. Its reputation can be injured by a libel, but that injury must sound in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the court went on to say that such injury could include goodwill, as well as loss of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In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(1998), 61 B.C.L.R. (3d) 1</w:t>
        </w:r>
      </w:hyperlink>
      <w:r>
        <w:rPr>
          <w:rFonts w:ascii="arial" w:eastAsia="arial" w:hAnsi="arial" w:cs="arial"/>
          <w:color w:val="000000"/>
          <w:sz w:val="20"/>
          <w:lang w:val="en-US" w:eastAsia="en-US" w:bidi="ar-SA"/>
        </w:rPr>
        <w:t xml:space="preserve"> (C.A.), at para. 107, the British Columbia Court of Appeal included within general damages "social damage and possible economic damage which may result but which cannot be expressly proven." Southin J.A. went on to assert that this aspect was "particularly important, in my opinion, in defamation in the mass media." In my opinion, the potential audience reach creates a parallel between multiple internet publications and publications in the mass media.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The Court of Appeal applied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Pressler v. Lethbridge</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(2000), 86 B.C.L.R. (3d) 257</w:t>
        </w:r>
      </w:hyperlink>
      <w:r>
        <w:rPr>
          <w:rFonts w:ascii="arial" w:eastAsia="arial" w:hAnsi="arial" w:cs="arial"/>
          <w:color w:val="000000"/>
          <w:sz w:val="20"/>
          <w:lang w:val="en-US" w:eastAsia="en-US" w:bidi="ar-SA"/>
        </w:rPr>
        <w:t xml:space="preserve">, to uphold a defamation award of $50,000 for damage to a pharmacy career. See </w:t>
      </w:r>
      <w:r>
        <w:rPr>
          <w:rFonts w:ascii="arial" w:eastAsia="arial" w:hAnsi="arial" w:cs="arial"/>
          <w:i/>
          <w:color w:val="000000"/>
          <w:sz w:val="20"/>
          <w:lang w:val="en-US" w:eastAsia="en-US" w:bidi="ar-SA"/>
        </w:rPr>
        <w:t>Pressler</w:t>
      </w:r>
      <w:r>
        <w:rPr>
          <w:rFonts w:ascii="arial" w:eastAsia="arial" w:hAnsi="arial" w:cs="arial"/>
          <w:color w:val="000000"/>
          <w:sz w:val="20"/>
          <w:lang w:val="en-US" w:eastAsia="en-US" w:bidi="ar-SA"/>
        </w:rPr>
        <w:t>, at paras. 93-94.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I observe that general economic loss may also be an independent head of general damages, along with injury to the plaintiff's reputation and injury to the plaintiff's feelings: </w:t>
      </w:r>
      <w:r>
        <w:rPr>
          <w:rFonts w:ascii="arial" w:eastAsia="arial" w:hAnsi="arial" w:cs="arial"/>
          <w:i/>
          <w:color w:val="000000"/>
          <w:sz w:val="20"/>
          <w:lang w:val="en-US" w:eastAsia="en-US" w:bidi="ar-SA"/>
        </w:rPr>
        <w:t>Hubert v. DeCamillis</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(1963), 41 D.L.R. (2d) 495</w:t>
        </w:r>
      </w:hyperlink>
      <w:r>
        <w:rPr>
          <w:rFonts w:ascii="arial" w:eastAsia="arial" w:hAnsi="arial" w:cs="arial"/>
          <w:color w:val="000000"/>
          <w:sz w:val="20"/>
          <w:lang w:val="en-US" w:eastAsia="en-US" w:bidi="ar-SA"/>
        </w:rPr>
        <w:t xml:space="preserve"> (B.C.S.C.), at 510-11. This is important when a plaintiff establishes economic loss but without sufficient precision to support a claim for special damages. A claim for special damages, on the other hand, requires more specific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A corporate plaintiff may also claim special damages for specific economic loss that was caused by the defamation. Special damages, unlike general damages, are not presumed. The plaintiff must allege and prove special damages at trial. Such losses must be the "natural and proximate result" of the defamatory publication, and capable of monetary measurement. Such losses must also be established with "reasonable certainty" and must be more than mere "speculation and surmise" (</w:t>
      </w:r>
      <w:r>
        <w:rPr>
          <w:rFonts w:ascii="arial" w:eastAsia="arial" w:hAnsi="arial" w:cs="arial"/>
          <w:i/>
          <w:color w:val="000000"/>
          <w:sz w:val="20"/>
          <w:lang w:val="en-US" w:eastAsia="en-US" w:bidi="ar-SA"/>
        </w:rPr>
        <w:t>Law of Defamation in Canada</w:t>
      </w:r>
      <w:r>
        <w:rPr>
          <w:rFonts w:ascii="arial" w:eastAsia="arial" w:hAnsi="arial" w:cs="arial"/>
          <w:color w:val="000000"/>
          <w:sz w:val="20"/>
          <w:lang w:val="en-US" w:eastAsia="en-US" w:bidi="ar-SA"/>
        </w:rPr>
        <w:t xml:space="preserve"> at 25-24, 25-156).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[94] Special damages are exceptional in defamation cases because it is usually difficult to ascertain the extent of the damage to one's reputation. See </w:t>
      </w:r>
      <w:r>
        <w:rPr>
          <w:rFonts w:ascii="arial" w:eastAsia="arial" w:hAnsi="arial" w:cs="arial"/>
          <w:i/>
          <w:color w:val="000000"/>
          <w:sz w:val="20"/>
          <w:lang w:val="en-US" w:eastAsia="en-US" w:bidi="ar-SA"/>
        </w:rPr>
        <w:t>Hodgson v. Canadian Newspapers Company Ltd.</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(2000), 49 O.R. (3d) 161</w:t>
        </w:r>
      </w:hyperlink>
      <w:r>
        <w:rPr>
          <w:rFonts w:ascii="arial" w:eastAsia="arial" w:hAnsi="arial" w:cs="arial"/>
          <w:color w:val="000000"/>
          <w:sz w:val="20"/>
          <w:lang w:val="en-US" w:eastAsia="en-US" w:bidi="ar-SA"/>
        </w:rPr>
        <w:t xml:space="preserve"> (C.A.), at paras. 67-69.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 then dealt with aggravated and punitive damages. He declined to award aggravated damages on the basis that companies cannot suffer mental distress or hurt feelings, and the principals of the plaintiff companies were not parties to the proceedings. He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Punitive damages, on the other hand, are available to a corporate plaintiff. Punitive damages are awarded against a defendant in exceptional cases for "malicious, oppressive and high-handed" misconduct that "offends the court's sense of decency". 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196. Unlike compensatory damages, punitive damages are to punish the defendant rather than to compensate the plaintiff: see </w:t>
      </w:r>
      <w:r>
        <w:rPr>
          <w:rFonts w:ascii="arial" w:eastAsia="arial" w:hAnsi="arial" w:cs="arial"/>
          <w:i/>
          <w:color w:val="000000"/>
          <w:sz w:val="20"/>
          <w:lang w:val="en-US" w:eastAsia="en-US" w:bidi="ar-SA"/>
        </w:rPr>
        <w:t>Whiten v. Pilot Insurance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at para.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 The test for punitive damages is whether the defendant's conduct "represents a marked departure from the ordinary standards of decent behaviour"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36). Punitive damages should only be awarded where the compensatory damages are insufficient to achieve the objectives of punishment and deterrence: 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196. Punitive damages should be assessed in an amount reasonably proportionate to such factors as the harm caused, the degree of misconduct, the relative vulnerability of the plaintiff, and any advantage or profit gained by the defendant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Awad has no defence other than claiming the letter of May 23, 2003 was in response to the fraudulent letter sent by Mr. Salna to the EGPC stating that he had resigned. Dr. Awad says the letter of January 21, 2007, "was a complaint of delaying the approval of the deed of assignment and a simple proper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If Dr. Awad is alleging that the statements complained of were true, he has not made that out. There is little doubt that the statements were defamatory and Dr. Awad has admitted that in sending the letter of May 23, 2003 he was out to get Mr. Salna.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 also find Dr. Awad liable for interfering with contractual relations. He interfered with Dover's business, he used unlawful means, he intended to cause injury or damages, and damages resulted: see </w:t>
      </w:r>
      <w:r>
        <w:rPr>
          <w:rFonts w:ascii="arial" w:eastAsia="arial" w:hAnsi="arial" w:cs="arial"/>
          <w:i/>
          <w:color w:val="000000"/>
          <w:sz w:val="20"/>
          <w:lang w:val="en-US" w:eastAsia="en-US" w:bidi="ar-SA"/>
        </w:rPr>
        <w:t>Verchere v. Greenpeace Canada</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2004 BCCA 242</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29 B.C.L.R. (4th) 75</w:t>
        </w:r>
      </w:hyperlink>
      <w:r>
        <w:rPr>
          <w:rFonts w:ascii="arial" w:eastAsia="arial" w:hAnsi="arial" w:cs="arial"/>
          <w:color w:val="000000"/>
          <w:sz w:val="20"/>
          <w:lang w:val="en-US" w:eastAsia="en-US" w:bidi="ar-SA"/>
        </w:rPr>
        <w:t>, leave to appeal ref'd. (</w:t>
      </w:r>
      <w:r>
        <w:rPr>
          <w:rFonts w:ascii="arial" w:eastAsia="arial" w:hAnsi="arial" w:cs="arial"/>
          <w:i/>
          <w:color w:val="000000"/>
          <w:sz w:val="20"/>
          <w:lang w:val="en-US" w:eastAsia="en-US" w:bidi="ar-SA"/>
        </w:rPr>
        <w:t>sub nom. Verchere et al. v. Greenpeace Canada et al.</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[2004] S.C.C.A. No. 332</w:t>
        </w:r>
      </w:hyperlink>
      <w:r>
        <w:rPr>
          <w:rFonts w:ascii="arial" w:eastAsia="arial" w:hAnsi="arial" w:cs="arial"/>
          <w:color w:val="000000"/>
          <w:sz w:val="20"/>
          <w:lang w:val="en-US" w:eastAsia="en-US" w:bidi="ar-SA"/>
        </w:rPr>
        <w:t xml:space="preserve">, 216 B.C.A.C. 318 (note) (S.C.C.) at paras. 33-36; </w:t>
      </w:r>
      <w:r>
        <w:rPr>
          <w:rFonts w:ascii="arial" w:eastAsia="arial" w:hAnsi="arial" w:cs="arial"/>
          <w:i/>
          <w:color w:val="000000"/>
          <w:sz w:val="20"/>
          <w:lang w:val="en-US" w:eastAsia="en-US" w:bidi="ar-SA"/>
        </w:rPr>
        <w:t>Whistler Cable Television Ltd. v. Ipec Canada Inc.</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75 B.C.L.R. (2d) 48</w:t>
        </w:r>
      </w:hyperlink>
      <w:r>
        <w:rPr>
          <w:rFonts w:ascii="arial" w:eastAsia="arial" w:hAnsi="arial" w:cs="arial"/>
          <w:color w:val="000000"/>
          <w:sz w:val="20"/>
          <w:lang w:val="en-US" w:eastAsia="en-US" w:bidi="ar-SA"/>
        </w:rPr>
        <w:t xml:space="preserve"> at paras. 10-12 (S.C.). Damages can be assessed the same way as for other torts, and punitive or aggravating damages may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Dover and Mr. Salna have made no submissions with respect to the damages they seek for libel, interference with contractual relations, or punitive damages, and I invite them. It is clear that in the meantime, Dover and Mr. Salna are entitled to damages equivalent to their out-of-pocket expenses, totalling $21,992.39.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8: Has Dover and Salna Breached the Joint Venture Agreement by Improperly Deducting Financing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Awad testified that Murray Sinclair agreed to provide financing for Canoil and advance $7 million based on the data he provided showing the strength of the reserves and production. That was false. Dr. Awad alleges that "despite their reservations about Salna's reputation, Quest provided the $4.7 million (USD) required to close the deal after the Egyptian government approval was received on July 24, 2000". Dr. Awad claims that he spoke to someone at Quest -- he did not know who -- but Quest told him they did not like Mr. Salna's ethics. That too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Murray Sinclair is co-chairman of Quest, a publicly-traded merchant bank. He testified that he had about three meetings with Dr. Awad and some other men who sought financing for Canoil so it could acquire an Egyptian oil field. Quest was interested in collateral for the loan and asked them to provide an engineering report on the reserves, a title opinion, and a legal opinion establishing that Quest could perfect its security and recover on the assets in Egypt. None of the opinions or reports was provided. None of the due diligence requirements were met and Quest never made a firm commitment to advance any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Salna met Quest's due diligence requirements which were onerous and costly because he is a private individual and not a publicly-traded company, and because Quest did not reach an adequate comfort level on the proposed security over assets and projected cash flow in Egypt.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Awad maintained at trial that Quest's requirement for additional security means that Mr. Salna must be a crook.)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By March 31, 2000 Quest had decided not to advance any funds. Dr. Awad still insisted he had no money to contribute, and neither he nor Mr. Riva advanced as much as $1.00. Mr. Salna alone raised all of the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Salna canvassed five or six potential lenders in Canada, the Bahamas, and the United States. All required cash up front ranging from $25,000 to $100,000 before they would enter into discussions. Despite representations to the contrary, none of the lenders, including Affinity (after receiving fees totalling almost $162,000), was willing to advance any funds, except Quest. At nearly the last moment, Quest agreed to finance the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Quest advanced $7.5 million (USD) in exchange for a $2 million cash bonus, and required Mr. Salna to mortgage and pay for the cost of mortgaging 65 separate parcels of his real estate as collateral, pledge numerous stock certificates, extend all of his credit cards, and required not only that his mother, but his mother-in-law, mortgage their homes so that the necessary funds could be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Raising the financing was almost an endeavour unto itself: an office in Richmond Hill staffed with two secretaries assisted with the flow of paperwork, including the application forms, the appraisals for the 65 properties and other collateral, and the mortgages in favour of Affinity. When Affinity decided not to finance the acquisition, there were hundreds of additional documents and additional fees, including legal fees, for discharging all of the mortgages in favour of Affinity, and re-registering the mortgages and other security in favour of 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However, Dr. Awad was kept appraised throughout of all of the effort and work at raising the financing, and even sent an e-mail congratulating the Richmond Hill staff for the wonderful job they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closing did not take place in January 2000 as originally contemplated, and by June 2000 Mr. Salna was still trying to arrange financing. Marathon granted at least three extensions, and in exchange, increased the purchase price. On one occasion they decreased the purchase price to $12.5 million, but made Mr. Salna responsible for a $1.1 million cost recovery (which had initially been a $2.2 million cost recovery), and on another occasion, increased the purchase price by $820,000 for the cost of spare parts and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closing took place only after Mr. Salna, with the assistance of the Canadian Embassy, arranged a meeting with Samey Fameh, the Egyptian Minister of Petroleum and asked for his assistance. The closing took place 48 hours later on July 24, 2000 when the EGPC finally approved the deed of assignment of Marathon's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There were errors in Marathon's accounting, but on the closing it was pay now, argue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Lawyers and experts were retained, and Dover eventually settled out of court. Marathon made three payments to Dover totalling $838,679 (USD). All of the joint venture partners, including Dr. Awad, received their proportionate share of the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Awad demanded that Dover make available to him in Vancouver for the trial, five volumes of expense documents and revenue statements, invoices, and documents, relating to the financing of the REU. There are more than 1300 entries. The documents were assembled from offices in Cairo and Toronto and were made available to him at Mr. Gold's office, and were brought to court. Dr. Awad never reviewed them before trial, or referred to them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At trial Dr. Awad referred to only a few one-page documents that he had in his possession. One document sets out the estimated cash required by Dover on the closing on or before July 7, 2000. After setting out the base price of $12,500,000 (USD) and various credits and debts, the document sets out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10"/>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Required Cash Consideration</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$6,014,036.74</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1568"/>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 in Escrow Account</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Subtract:</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$1,286,786.36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Estimated Additional Cash</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 from Buyer at Closing</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or before July 7, 2000</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$4,727,250.38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Awad contends that the acquisition costs are $5,977.250.38 (by adding back in the $1,250,000 in escrow, but excluding the $36,786 accrued interest) or roughly $6 million, and claims that under the February Agreement, he is only required to pay 18 percent of the roughly $6 million, but nothing for financing the acquisition because they were never approved by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GHAREEB AWAD: ... All what I'm saying that the joint venture agreement of February 2000 does not allow him to deduct anything beyond acquisition costs. The acquisition costs are almost six million dollars. I am - should - I should pay 18 percent of the almost six million dollars' acquisition costs, period. I'm not responsible for his running around the world looking for financing. I'm not responsible for any kinds of deals that he makes.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Awad referred to a document reflecting the gross sale of crude oil with adjustments as of August 1, 2001 and showing a total of $19,834,324 under the column headed "Actual". Another document reflects the gross sale of crude oil with adjustments, and shows as of August 1, 2001 under the column headed "Cumulative Profits Pre-Financing", a figure of $13,768,562.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Awad claims a document showing the total calculated profit distribution shows that Mr. Salna took $9,290,754 in profit before he received a penny.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Dexter Salna explained to the Court how to read the documents on which Dr. Awad relies. They do not, as Dr. Awad contends, show that Mr. Salna was embezzling funds or cheating Dr. Awad out of what is his proportionate share of the net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Dexter Salna separated the financing and operating costs. Included in the financing costs were salaries, legal fees, interest, appraisals, funding application fees, wire transfer fees, office supplies, bonuses and application fees paid to financiers, consultant reports, and a proportionate share of rent and overhead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Robert Salna travelled to Egypt to assist in the due diligence for a potential financier. He also travelled to the Bahamas, the United States, and Vancouver in an effort to find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Salna lives in Ontario, the head office of Dover is in Ontario, and all of the work relating to financing the acquisition was done from Ontario, accounting for the partnership was done in Ontario, and the monies handled through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It is reasonable for a Canadian company doing business in a foreign country to have head office expenses. It would be unreasonable as Dr. Awad suggests, to limit costs to only those incurred in Egypt.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Dexter Salna provides a detailed listing of Dover's expenses as of July 24, 2000, and the financing costs after that date. All expenses prior to closing were charged to financing, and all expenses, other than those directly related to financing after the closing, were allocated to operation costs. There was a $1 million working capital fund created to cover the 60 day lag period between the time the oil is produced and the time the oil revenue is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Awad takes no issue with any individual item claimed as part of the financing costs. His primary argument is that he is not required to pay for any of the financing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February Agreement is clear. Dover is entitled to recover "all of its advanced funds, including the operating costs as well as all costs of financing to close the deal" before there is a distribution of net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Awad's claim under this heading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9: Is Awad Entitled to Loss of Foreign Tax Credits?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Awad claims that because Mr. Salna made the REU revenue distributions from his personal account, he lost his entitlement to foreign tax credits. However, he has not declared any income from the REU on his Canadian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On September 28, 2007 Canada Revenue Agency sent a letter to Dr. Awad stating that its records showed that in 2001, 2002, and 2003 he received payments totalling $2,642,580.84 (USD), or the equivalent of $4,030,455.48 (CAD) and asking him to explain why the amounts were not reported on his personal tax returns for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Awad admits that he received the PricewaterhouseCoppers audited concession financial statements. He argues that as an Egyptian he was not required to pay income tax in Canada, yet at the same time, while in Egypt, he claimed that he was an ex-patriate. He also argues that he had insufficient information to file his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Rayn Friedman is a chartered accountant and partner with KPMG LLP in Toronto. He practices in the area of corporate domestic and international taxation, and gave the following opinion:</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Awad would have had sufficient information based upon the information in the PricewaterhouseCoopers audited concession financial statements and the amounts that he actually received to file an income tax return in Canada for the taxation years ended December 31, 2001 through December 31, 2004.</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Dr. Awad was paid directly from the account of Robert Salna or any other party would not have precluded him from claiming foreign tax credits. The actual physical source of those monies should not preclude him from claiming foreign tax credits. The manner in which Robert Salna treated those payments in respect to his own tax returns would also have no influence on Dr. Awad's right to foreign tax credits, if in fact he is legally entitled to such credits.</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party claimed a greater amount of foreign tax credits than that party was entitled, it would not affect Dr. Awad's receiving the benefit of the foreign tax credits to which he would be legally entitled and it should not prevent the Canada Revenue Agency from making such a determination.</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by which these matters are determined by the Canada Revenue Agency would generally be as follows; Dr. Awad would file his income tax returns for all years in which he is a resident of Canada for tax purposes and report his worldwide income. He may make a claim on those tax returns for foreign tax credits for foreign taxes paid on income earned outside of Canada, subject to the rules and limitations of the Income Tax Act. The Canada Revenue Agency would assess his entitlement and either allow or disallow the credit for the foreign taxes paid against Canadian taxes otherwise payable. In the event that the Canada Revenue Agency determines that any party has claimed more foreign tax credits than they ought to have claimed, the Canada Revenue Agency would, in all likelihood, reassess that party. However Dr. Awad would not lose his entitlement by virtue of other individuals claiming excess foreign tax credits. The Income Tax Act provides for procedures to appeal decisions of the Canada Revenue Agency including appeals to the Tax Court of Canada, Federal Court of Appeal and potentially the Supreme Court of Canada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Awad's claim that he lost his foreign tax credits or that there was a breach of the joint venture agreement because his profit was distributed from Mr. Salna's personal account instead of Dover's corporate account,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10: Did Dover Intentionally or Negligently Reduce Oil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Dr. Awad's claim that Dover intentionally or negligently reduced oil production so as to reduce his share of revenue is solely based on his two hand-drawn graphs showing what he says reflects the production decline before and after his termination, and his assertion that an oil field should only decline five percent per year. He claims that after his alleged termination there was a 66.2 percent decline in production and that it was deliberate on Dover's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prefer Mr. Mould's evidence that all oil fields decline differently and irregularly. The saw tooth production curve is the constant technical challenge. Oil fields do not decline in the smooth curve that Dr. Awad claims. There is a numerical mathematical model of the REU prepared by Marathon showing how the field will decline, and at the time that Marathon wanted to sell its interest in the REU the reservoir was smaller and oil prices were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also accept Mr. Mould's evidence that it is impossible given the joint structure of Petrozeit for Dover to intentionally reduce production. That would not be allowed by the EGPC.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Awad's claim that Dover somehow intentionally or negligently reduced oil production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claims of Ghareeb Awad and Transpacific Petroleum Corp. are dismissed and the claims of Dover Investments Limited and Robert Salna are allowed. Mr. Salna is entitled to an additional 0.353 percent from Dr. Awad's share as reflected in the February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am willing to have submissions on the damages resulting from Dr. Awad's libellous correspondence and interference with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Dover concedes that it has withheld revenues from Dr. Awad since January 2004. I do not know the extent of those revenues. However, Dover has paid Dr. Awad's share of expenses for the EWA which is currently being litigated in Alberta, and has taken an assignment of Dover Petroleum's interest in the EWA. The claim against Dr. Awad in the Alberta litigation is for $708,315 representing his share of the cash calls which he has refused to pay. Under the EWA joint venture agreement, a failure to make a cash call provides for a 500 percent penalty. His potential liability is therefore greater than any REU revenue that is owed to him. I am told by counsel that Dr. Awad has been unsuccessful in the Ontario courts and in Alberta to have funds that are otherwise owed to him, paid out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therefore anticipate there will be further matters needing consideration as a result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Dover Investments Limited and Robert Salna are entitled to make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Voegtlin v. Paprotka, [2013] B.C.J. No. 1936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23-27, 30, May 1-4, 7-11 and August 7-9,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42276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Marilee A. Voegtlin, Yuet-Ngor Loke, 525675 Alberta Ltd., Anna Cobbledick, Arlene G. McDonald, Erdon Investments Inc., G.J.S.J. Investments Inc., 555636 Alberta Ltd., Kelterra Investments Ltd., Kristen Frischbutter, Martin E. Hurrell, Thomas F. Moslow, Vince Yip, Bruce J. Nicol, Thracian Horse Ltd., Debbie Hanson, Jeannine Chanel Champagne Saliken, John G. Owen, WRW Enterprises Ltd., Robert Lederman, Jan Przysowa, Danny Debolt, James G. McLachlan, Erika Field, Victor Gosyatnikov, Donald Butcher, David Bruneau, Mari Narayan and Roshni Narayan Plaintiffs, and Dean Paprotka, Bob Embury, 1186342 Alberta Ltd., Skyevue Development Corporation, Skyevue Operations Corp., and Strategic West Vencap Corporation, Defendants, and Gowling Lafleur Henderson LLP and Jeffrey W. Bright, Third Parties, and Citrine Investments Services Ltd., Arlene (Rene) Burke and Bob Embury,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0" w:name="Keywords_7"/>
      <w:bookmarkEnd w:id="50"/>
      <w:r>
        <w:rPr>
          <w:rFonts w:ascii="arial" w:eastAsia="arial" w:hAnsi="arial" w:cs="arial"/>
          <w:b/>
          <w:color w:val="000000"/>
          <w:sz w:val="20"/>
          <w:lang w:val="en-US" w:eastAsia="en-US" w:bidi="ar-SA"/>
        </w:rPr>
        <w:t>Corporations, partnerships and associations law — Limited partnerships — Action by investors for discharge of mortgage, return of monies and damages for breach of fiduciary duty dismissed — Investors invested in commercial property through purchase of units in limited partnership — Limited partnership agreement did not disclose $2 million finder's fee paid to related party, which was secured by mortgage, as part of $8.5 million purchase price for property — Investors got what they bargained for — $8.5 million purchase price did not exceed value of property — Related party owed no fiduciary duty to investors and finder's fee was disclosed — Related party entitled to register mortgage to protect interest.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Mortgages — Priorities — Action by investors for discharge of mortgage, return of monies and damages for breach of fiduciary duty dismissed — Investors invested in commercial property through purchase of units in limited partnership — Limited partnership agreement did not disclose $2 million finder's fee paid to related party, which was secured by mortgage, as part of $8.5 million purchase price for property — Investors got what they bargained for — $8.5 million purchase price did not exceed value of property — Related party owed no fiduciary duty to investors and finder's fee was disclosed — Related party entitled to register mortgage to protect interest.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Fiduciary duty — Action by investors for discharge of mortgage, return of monies and damages for breach of fiduciary duty dismissed — Investors invested in commercial property through purchase of units in limited partnership — Limited partnership agreement did not disclose $2 million finder's fee paid to related party, which was secured by mortgage, as part of $8.5 million purchase price for property — Investors got what they bargained for — $8.5 million purchase price did not exceed value of property — Related party owed no fiduciary duty to investors and finder's fee was disclosed — Related party entitled to register mortgage to protect interest.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1" w:name="Case Summary_5"/>
            <w:bookmarkEnd w:id="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investors for an order discharging a mortgage, for the return of monies and for damages for breach of fiduciary duty. In May 2007, the defendant 1186342 Alberta Ltd ("118") had the right to purchase a commercial property. At that time, the property was occupied by a motel and parking lot. In early 2008, the defendant Paprotka, who controlled 118, and the third party Embury agreed to finance the acquisition and development of the property through a limited partnership. They intended to acquire the property, rezone it and redevelop it, through constructing residential condominium towers. They formed the limited partnership and the general partner for that purpose. They agreed that 118 would assign its interest in the purchase agreement to a subsidiary of the limited partnership for $2 million plus GST and that the partnership would then purchase the property for $6.5 million, for a total price of $8.5 million. The plaintiffs each made an investment in the property through the purchase of limited partnership units. Most of the plaintiffs individually subscribed to a Subscription Agreement in early 2008, binding themselves to a Limited Partnership Agreement ("LPA"). The Term Sheet, which summarized the terms and conditions of the LPA, described Paprotka's $2 million profit as a finder's fee payment to a related party, which was part of the costs of acquiring the property and reflected the equity in the property. No reference was made to the finder's fee in either the Subscription Agreement or the LPA. The Term Sheet also stated that the general partner would be authorized to mortgage the property of the partnership. The Term Sheet further explained that the investment was speculative and high-risk. On the date of closing for the purchase of the property the limited partnership had not raised sufficient funds. Bridge financing was obtained and a first mortgage of $2.8 million was granted to the bridge financing lender. As there were no funds available to pay Paprokta his $2 million fee, a second mortgage, in the amount of $2.1 million, was placed on title. The investment had not gone as planned. The motel still occupied the property, the property had not been rezoned and there was no progress made towards any redevelopment. The plaintiffs commenced a claim seeking an order for the discharge of the mortgage in favour of 118. They also sought the return of monies paid to Paprotka as well as damages for breach of fiduciary duty on the part of Paprotka, in respect of the position of the 118 mortgage on title having prevented the limited partnership from refinancing other mortgage debt. The plaintiffs alleged that the structure of the investment vehicle and the character of the investment differed considerably from what they had been led to believe and from what they reasonably expected. They alleged that Paprotka breached his fiduciary duty as the $2 million he claimed was owed to 118 in exchange for assigning its interest in the property was a secret profit which was not disclosed and that he never disclosed his intention to register a mortgage that secured his interest in priority to the interests of the limited partners.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2" w:name="Holdings of Court_4"/>
            <w:bookmarkEnd w:id="5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got what they bargained for. There was nothing untoward in the purchase of the property having completed at a price of $8.5 million given that it was based on a reasonable appraisal of the property which valued the property at $8.25 million. No fiduciary duty was owned by Paprotka to the plaintiffs when the $8.5 million figure was negotiated, nor what the Term Sheet was being drafted, nor when the limited partnership units were being sold as promoters of investments did not owe a fiduciary duty to investors. Furthermore, the $2 million finder's fee was disclosed in the Term Sheet. Paprotka was entitled to register the mortgage to protect his interest. Registering the mortgage did not defeat the plaintiff's expectation of receiving distributions as the plaintiffs' only entitlement was to receive a share of net income. The registration of the mortgage was not an illegitimate interference with the plaintiffs' security as the plaintiffs had not right to have their investment secured in priority to the payment of the partnership's liabilities.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3" w:name="Legislation Cited_6"/>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Partnership Act, </w:t>
      </w:r>
      <w:hyperlink r:id="rId144" w:history="1">
        <w:r>
          <w:rPr>
            <w:rFonts w:ascii="arial" w:eastAsia="arial" w:hAnsi="arial" w:cs="arial"/>
            <w:i/>
            <w:color w:val="0077CC"/>
            <w:sz w:val="20"/>
            <w:u w:val="single"/>
            <w:shd w:val="clear" w:color="auto" w:fill="FFFFFF"/>
            <w:lang w:val="en-US" w:eastAsia="en-US" w:bidi="ar-SA"/>
          </w:rPr>
          <w:t>RSA 2000, c P-3, s. 62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4" w:name="Counsel_7"/>
      <w:bookmarkEnd w:id="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Hogg, Q.C., S.T. MacIsaac Q.C. and E.D. Gagné.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Dean Paprotka, 1186342 Alberta Ltd., Skyevue Development Corporation and Skyevue Operations Corp.: M.M. Kirwin.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Gowling Lafleur Henderson LLP and Jeffrey W. Bright: C.A.B. Ferris and L. Duke.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Citrine Investments Services Ltd. and Arlene Burke: S.T. MacIsaac, Q.C. and E.D. Gagné.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7"/>
      <w:bookmarkEnd w:id="55"/>
      <w:r>
        <w:pict>
          <v:line id="_x0000_s1067"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A. SAUNDERS J."/>
            <w:bookmarkEnd w:id="56"/>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investments made by each of the plaintiffs in commercial property located in downtown Kelowna, through their purchase of units in a limited partnership. Most of the plaintiffs individually subscribed to a Subscription Agreement in early 2008, binding themselves to a Limited Partnership Agreement (the "LPA"). At that time, the subject property was occupied by a motel and a parking lot. The limited partnership intended to acquire the property; rezone it; and redevelop it, through constructing residential condominium towers.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limited partnership went by the name of Skyevue Development Limited Partnership ("SDLP"). The general partner, the defendant Skyevue Development Corporation ("SDC"), was controlled by the project developer, the defendant Dean Paprotka, and the promoter, the defendant and third party Bob Embury ("Embury"), through corporations owned by them. Another company owned by Embury, the defendant Strategic West VenCap Corporation ("Strategic West"), served as initial limited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May 2007, prior to the incorporation of SDC, a company owned by Paprotka - the defendant 1186342 Alberta Ltd. ("118") - had acquired the right to purchase the property (structured as an acquisition of shares of the company that held title - referred to herein as the "Share Purchase Agreement"), at a price of $6.5 million. The closing date was subsequently extended to April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early 2008, Paprotka and Embury agreed to finance the acquisition and development of the property through a limited partnership, and formed SDC and SDLP for that purpose. They agreed that 118 would assign its interest in the purchase agreement to a subsidiary of the SDLP, the defendant Skyevue Operations Corp. ("SOC"), purportedly for $2 million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Embury was responsible for raising funds from investors through the sale of limited partnership units. To that end, Strategic West retained the third party Citrine Investment Services Ltd. ("Citrine") to market the project to prospective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Most of the plaintiffs purchased their limited partnership units in SDLP through dealing with the third party Arlene Burke ("Burke"), the principal of Citrine. Some of the plaintiffs dealt with another Citrine sales agent, or directly with Strategic West. None of the plaintiffs had direct dealings with Paprotka or 118, at the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Kelterra Investments Ltd. ("Kelterra") is a company incorporated by Burke, for the purpose of enabling investors to participate in real estate projects under "family and friends" exemptions from prospectus requirements in securities legislation. Through having Kelterra participate in SDLP, and having investors buy shares in Kelterra, Burke was able to attract investors who were only able to purchase smaller unit shares than the minimum investment required of a limited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Embury resigned from involvement in the project in February 2009. He is now an undischarged bankrupt, and Strategic West has been struck from the Registry of Companies in Alberta. Those parties have not defended the action, and Embury did not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Paprotka resigned from involvement in the project in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third party Jeffrey Bright ("Bright"), a lawyer then in practice with the third party Gowling Lafleur Henderson LLP ("Gowlings"), was retained to advise Strategic West on the structure of the transaction. Paprotka and 118 have also alleged a solicitor-client relationship with Bright and Gowlings. The third-party claim for contribution and indemnity brought by Paprotka against Bright and Gowlings has been severed from the main action. Bright and Gowlings defended the main action, as did Paprotka, SDC and SOC.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investment has not gone according to plan. The motel still occupies the property, the property has not been rezoned, and there has been no progress made towards any redevelopment. The property is encumbered by two sizeable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first mortgage charge was placed on title to secure a loan made by Reliant Capital Limited ("Reliant") in the amount of $2.8 million. It became necessary for SOC to borrow that money from Reliant in April 2008 to acquire the property for the limited partnership, because Embury was only able to raise approximately $4.5 million before the April 30, 2008 closing date. The plaintiffs do not take issue with the priority of that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mortgage charge, in favour of 118 and in the amount of $2.1 million (the "118 Mortgage"), was placed on title at the direction of Paprotka on May 29, 2008 to secure payment of the $2 million plus GST purportedly owed to 118 by SOC as consideration for the assignment of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also a third mortgage, which was placed on title by SOC in favour of SDC, also on May 29, 2008, to secure repayment of funds advanced by SDLP.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118 Mortgage is the focus of the present action; the plaintiffs seek an order for its discharge. They also seek the return of monies paid to Paprotka by SDC. And, they seek damages for breach of fiduciary duty on the part of Paprotka, in respect of the position of the 118 mortgage on title having prevented the limited partnership from refinancing other mortgage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say that the structure of the investment vehicle, and the character of the investment, differed considerably from what they had been led to believe and from what they reasonably expected. Some of the elements of a claim in negligent misrepresentation were pleaded, but that cause of action was not pursued at trial. Instead, those misrepresentations are said to form the factual matrix underlying a claim that fiduciary duties were owed to the investors by Paprotka, and were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say that there were two key breaches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First, they say that the property was worth no more than the $6.5 million paid by SOC to the vendors under the Share Purchase Transaction. The $2 million which Paprotka claimed to be owed to 118 in exchange for assigning its interest in the Share Purchase Agreement was, they say, a secret profit, which was not disclosed to the plaintiffs in any meaningful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Second, they say that Paprotka's registering of the 118 Mortgage was for the exclusive benefit of 118, and was of no benefit to the partnership. Paprotka had never disclosed to the investors his intention to register a mortgage that secured his purported interest in priority to the interests of the limited partners, and had no right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following facts have been established through the testimony of the witnesses, through the voluminous documents filed in evidence, and through an extensive 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subject property is comprised of five lots of land. There are four contiguous lots on Abbott Street, then occupied by a Travelodge motel. Those four lots are separated by a laneway from the fifth lot, facing onto Leon Avenue, which was used as a parking lot. That laneway was owned by the City of Kelowna. The lots were owned by 540546 BC Ltd., a company owned by a family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or about late 2006, Paprotka learned that the property might be available for purchase. He and some associates in an unrelated joint venture development undertook some investigation of what building densities could be achieved. At that time, the City of Kelowna was considering a comprehensive rezoning of the downtown that would allow for greater densities than were currently available. Paprotka's associates did some preliminary architectural studies, and had some discussions with the City's planning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mid-December 2006, Paprotka submitted to the Vendors an offer to purchase the five lots for $6.5 million. Negotiations then ensued, both as to price and as to whether the transaction would be structured as a sale of shares, or a sale of land. The Vendors indicated that there were other interested potential buyers. Eventually, Paprotka and the Vendors settled on sale of the shares of 540546 BC Ltd. to 118 for $6.5 million, with a closing date of October 30, 2007 (the "Share Purchase Transaction"). A Share Purchase Agreement was signed on May 16, 2007. It provided for an immediate deposit of $10,000, and a further deposit of $490,000 upon completion of the purchaser's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Paprotka then set out to find sources of financing. There were discussions with a number of parties, some as potential investors and others as potential purchasers on a re-sale. Paprotka was looking to sell a majority interest in development of the property for up to $14 million, while maintaining a minority interest. One party provided a signed letter of intent in June 2007, under which a two-thirds interest in development of the property would be acquired for $12 million. Another party submitted a proposed form of letter of intent in August 2007, under which the property would be acquired for a price of up to $12 million, and not less than $9 million. Nothing came of these discussions, and in October 2008 Paprotka was able to obtain from the Vendors an extension of the closing date, to April 30, 2008, at a cost of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January 2008, Paprotka was put in touch with Embury, and the broad terms of an agreement fell into place relatively quickly, within the space of a few weeks. It was agreed that companies owned by Paprotka and Embury would form a joint venture. The property would be acquired by the joint venture for $8.5 million, a price which Paprotka had determined, through discussions with his associates, reflected its actual value. Financing would be raised through selling units in a limited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Strategic West engaged the services of Citrine to market the project. Citrine was, at the time, working with Strategic West on two other projects, a development in Kelowna known as Skyreach, and a development in Cache Creek known as Golden Vine. By the end of January 2008 Citrine and Strategic West began to seek potential investors in SDLP through advertising. Some specifics of their marketing activities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way of a letter agreement signed by Embury and Paprotka, with an effective date of February 15, 2008, Strategic West and 118 set out "Commitment Terms" under which Strategic West would proceed to raise funds from limited partners. Strategic West committed to raising $4 million by February 28, an additional $3 million by April 15, and an additional $2 million by May 30; in all, Strategic West would be obligated to make its best efforts to raising a total of at least $9 million by May 30, 2008. Of those monies, $6.5 million plus closing costs would be applied on April 30, 2008 to purchase of the shares of the company that owned the property, and a further $2 million would be paid to 118 in consideration for bringing the project to Strategic West.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Payne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part of his due diligence, before committing to the project Embury retained Mr. Ernest Payne of Grover, Elliott &amp; Co. Ltd. to appraise the property. Payne's appraisal report, dated February 5, 2008, gave an estimated value of $8.25 million as of January 28, 2008. This appraisal report was not admitted into evidence as an expert report for the proof of the opinions stated therein, nor for the proof of the truth or accuracy of factual statements set out therein. The document itself is, however, in evidence, and its contents therefore serve to provide context to any decisions made by Paprotka and Embury premised on an understanding of the property's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Payne was asked by Embury to base his appraisal on the assumption that the five lots could be assembled as one contiguous parcel (i.e. that the laneway separating the four Abbott Street lots from the Leon Avenue parking lot could be purchased from the City). The rationale for this assumption was stated by Payne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municipal planning department has confirmed that their current recommendation to the municipal council is to allow owners and developers to purchase municipally owned land within the downtown redevelopment area ... at market value to facilitate assembly and development of lands within the area under newly proposed comprehensive development zoning currently contemplated for this downtown area. Further, the municipal planning department has informed us that their recommendation to council is that sales of municipal land within this area will be allowed only if proposed development is consistent with the newly contemplated land use controls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there is a reasonable future possibility to acquire the rear lane lands at fair market value in order to assemble and develop the subject lands as one under anticipated updated land use controls, it appears to be reasonable to assume that the lands are assembled as one. Given that the laneway would be acquired at fair market value at the time, the incorporation of these municipal lands would not add, nor subtract net value to the subject parcel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for the purposes of this appraisal, we have assumed that the subject lands are assembled and available for development as a single contiguous land package and ignored the value of the separating lane, which would be required in order to accomplish this contiguous assembly. If, in the future the municipality does not approve the proposed zoning changes, or the municipal position regarding the acquisition of municipal lands changes materially from the current position, then the possibility of assembly could be reduced or eliminated, or the cost to assemble the subject lands could increase significantly above market value, thus invalidating this assumption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Payne also assumed that current market pricing was based on the assumption that rezoning would proceed: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market participants are aware of the municipal initiatives in the area and the potential zoning changes, therefore recent sales rates reflect the anticipation of these potential changes. Should the municipality not proceed with the proposed zoning changes, or should the changes vary significantly from the currently stated plans, the market value of the property could vary significantly from this estimate. This appraisal assumes that market participants continue to perceive a reasonable and imminent probability of rezoning of properties in the area to allow for high-rise development yielding densities in the order of at least a 5.0 FSR [floor space ratio]. If the municipality changes their plans considerably or eliminates the probability of improved zoning regulations, the market values estimates contained herein would change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Payne considered the "highest and best use" of the property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holding purposes pending rezoning approval and subsequent re-development, pursuant to the applicable land use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Payne arrived at his valuation through following the Direct Comparison Approach, comparing the subject property to the sales or listing prices of ten comparable "Index" properties. "Index 10", a single lot in the same block of Abbott Street, was deemed to be the most comparable. It had sold for $2 million in August 2007, equivalent to $277.78 per square foot of land and $55.56 per square foot of estimated buildable area. For direct comparison purposes, those values would be have to downgraded somewhat to reflect the superior holding income, proportionally, of Index 10; but such downgrading would be offset to a certain extent by a time adjustment, reflecting increases in value since Index 10 had sold, and reflecting the increased density afforded if the subject lots were assembled contiguously. Payne therefore felt the subject property would be valued at or near Index 10's rate of $278/sq. 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concluded that at a rate of $275, the combined 30,000 sq. ft. of the subject five lots, at a floor space ratio ("FSR") of 5.0, and if assembled contiguously, would have a value of $8.25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check on this figure, Payne also considered the prices per buildable square foot of the Index properties, in particular one, Index 4, that was closely comparable. Its buildable rate was $57.80. Payne believed that the buildable rate of the subject property would be in the range of $50 to $60 per square foot. The mid-point of that range, $55, would also yield a value of $8.25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Embury's request, Payne subsequently prepared an addendum letter, dated February 14, 2008, which set out market values based on two alternative assumptions: that rezoning would allow FSR's of either 6.0, or 7.0. Payne noted that with increases in density, there is typically a decrease in the buildable rate per square foot. On that basis, he stated that an FSR of 6.0 or 7.0 would lead, respectively, to a buildable rate of $50 or $45 per square foot, yielding alternative values of either $9 million or $9.45 million.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Structure of the Property Acquisition and the 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By mid-February 2008, the structure of the property acquisition had been more or less finalized. It would proceed in seven steps:</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limited partnership - SDLP, consisting of a general partner, SDC, owned beneficially by Embury and Paprotka, and the limited partners - would lend $8.5 million to a wholly-owned subsidiary corporation, SPC;</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SPC would lend $8.5 million to its wholly-owned subsidiary, SOC;</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118 would assign the Share Purchase Agreement to SOC, in return for which,</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SOC would pay 118 the sum of $2 million plus GST;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SOC would pay $6.5 million to the Vendors for the shares of 540546;</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SOC and 540546 would amalgamate;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SOC would sell the land, buildings and parking lot to SPC, retaining the Travelodge franchise agreement, and would then rent the property from SPC and continue to run the Travelodge until redevelopment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Accordingly, on February 19, 2008, SDC was incorporated, with Paprotka and Embury serving as directors; and, SDC as general partner, and Strategic West as initial limited partner, formed SDLP under the Alberta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RSA 2000, c P-3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meeting was held at Gowlings' offices in Calgary on that same date, February 19, 2008, to review the structure of the limited partnership. In attendance were Bright and one of his colleagues from Gowlings; Embury, with a colleague from Strategic West; and Burke, with a colleague from Citrine. One of the purposes of the meeting was to ensure that the sales agents properly understood the nature of the investment, so that it could be accurately described to potential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Burke had been provided in advance of the February 19 meeting with copies of the three documents that were to be used in selling units to investors: the Subscription Agreement, the Limited Partnership Agreement, and a document entitled "Term Sheet". She testified that she did not read any of the documents prior to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Bright reviewed each of the documents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Partnership Documents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Term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Term Sheet, on the letterhead of Strategic West, began with a disclaimer, warning that it was not a legally binding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term sheet is a summary of the terms and conditions contained in the Limited Partnership Agreement and the Subscription Agreement. </w:t>
      </w:r>
      <w:r>
        <w:rPr>
          <w:rFonts w:ascii="arial" w:eastAsia="arial" w:hAnsi="arial" w:cs="arial"/>
          <w:color w:val="000000"/>
          <w:sz w:val="20"/>
          <w:u w:val="single"/>
          <w:lang w:val="en-US" w:eastAsia="en-US" w:bidi="ar-SA"/>
        </w:rPr>
        <w:t>The terms herein are not legally binding</w:t>
      </w:r>
      <w:r>
        <w:rPr>
          <w:rFonts w:ascii="arial" w:eastAsia="arial" w:hAnsi="arial" w:cs="arial"/>
          <w:color w:val="000000"/>
          <w:sz w:val="20"/>
          <w:lang w:val="en-US" w:eastAsia="en-US" w:bidi="ar-SA"/>
        </w:rPr>
        <w:t xml:space="preserve"> and are designed to provide general information only with respect to the terms and conditions contained in the formal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then disclosed the main features of the investment [with underlining added for emphasis]: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Overview</w:t>
      </w:r>
      <w:r>
        <w:rPr>
          <w:rFonts w:ascii="arial" w:eastAsia="arial" w:hAnsi="arial" w:cs="arial"/>
          <w:color w:val="000000"/>
          <w:sz w:val="20"/>
          <w:lang w:val="en-US" w:eastAsia="en-US" w:bidi="ar-SA"/>
        </w:rPr>
        <w:t>: General Partner seeks Limited Partners to form a limited partnership to purchase land and build a mixed use commercial and residential highrise tower in Kelowna near the waterfront, opposite a city park.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Offering</w:t>
      </w:r>
      <w:r>
        <w:rPr>
          <w:rFonts w:ascii="arial" w:eastAsia="arial" w:hAnsi="arial" w:cs="arial"/>
          <w:color w:val="000000"/>
          <w:sz w:val="20"/>
          <w:lang w:val="en-US" w:eastAsia="en-US" w:bidi="ar-SA"/>
        </w:rPr>
        <w:t>: Limited Partnership Units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 The limited partnership will be in effect through the construction of the tower, estimated at 36 months.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Investors requirement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Must be an accredited investor</w:t>
      </w:r>
      <w:r>
        <w:rPr>
          <w:rFonts w:ascii="arial" w:eastAsia="arial" w:hAnsi="arial" w:cs="arial"/>
          <w:color w:val="000000"/>
          <w:sz w:val="20"/>
          <w:lang w:val="en-US" w:eastAsia="en-US" w:bidi="ar-SA"/>
        </w:rPr>
        <w:t xml:space="preserve"> to participate.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w:t>
      </w:r>
      <w:r>
        <w:rPr>
          <w:rFonts w:ascii="arial" w:eastAsia="arial" w:hAnsi="arial" w:cs="arial"/>
          <w:color w:val="000000"/>
          <w:sz w:val="20"/>
          <w:lang w:val="en-US" w:eastAsia="en-US" w:bidi="ar-SA"/>
        </w:rPr>
        <w:t>: The position is an ownership equity position through a limited partnership. Investors purchase partnership units that give the investor beneficial ownership of the property (land) in proportion to their investment via a wholly owned subsidiary corporation of the partnership.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ROI</w:t>
      </w:r>
      <w:r>
        <w:rPr>
          <w:rFonts w:ascii="arial" w:eastAsia="arial" w:hAnsi="arial" w:cs="arial"/>
          <w:color w:val="000000"/>
          <w:sz w:val="20"/>
          <w:lang w:val="en-US" w:eastAsia="en-US" w:bidi="ar-SA"/>
        </w:rPr>
        <w:t xml:space="preserve">: Limited Partners </w:t>
      </w:r>
      <w:r>
        <w:rPr>
          <w:rFonts w:ascii="arial" w:eastAsia="arial" w:hAnsi="arial" w:cs="arial"/>
          <w:color w:val="000000"/>
          <w:sz w:val="20"/>
          <w:u w:val="single"/>
          <w:lang w:val="en-US" w:eastAsia="en-US" w:bidi="ar-SA"/>
        </w:rPr>
        <w:t>share in the net income of the partnership</w:t>
      </w:r>
      <w:r>
        <w:rPr>
          <w:rFonts w:ascii="arial" w:eastAsia="arial" w:hAnsi="arial" w:cs="arial"/>
          <w:color w:val="000000"/>
          <w:sz w:val="20"/>
          <w:lang w:val="en-US" w:eastAsia="en-US" w:bidi="ar-SA"/>
        </w:rPr>
        <w:t xml:space="preserve">, with </w:t>
      </w:r>
      <w:r>
        <w:rPr>
          <w:rFonts w:ascii="arial" w:eastAsia="arial" w:hAnsi="arial" w:cs="arial"/>
          <w:color w:val="000000"/>
          <w:sz w:val="20"/>
          <w:u w:val="single"/>
          <w:lang w:val="en-US" w:eastAsia="en-US" w:bidi="ar-SA"/>
        </w:rPr>
        <w:t>maximum returns per annum</w:t>
      </w:r>
      <w:r>
        <w:rPr>
          <w:rFonts w:ascii="arial" w:eastAsia="arial" w:hAnsi="arial" w:cs="arial"/>
          <w:color w:val="000000"/>
          <w:sz w:val="20"/>
          <w:lang w:val="en-US" w:eastAsia="en-US" w:bidi="ar-SA"/>
        </w:rPr>
        <w:t xml:space="preserve"> of either 15%, 16%, 18% or 20%, depending on the class of units owned.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Investor Payments</w:t>
      </w:r>
      <w:r>
        <w:rPr>
          <w:rFonts w:ascii="arial" w:eastAsia="arial" w:hAnsi="arial" w:cs="arial"/>
          <w:color w:val="000000"/>
          <w:sz w:val="20"/>
          <w:lang w:val="en-US" w:eastAsia="en-US" w:bidi="ar-SA"/>
        </w:rPr>
        <w:t>: Quarterly distributions of partnership net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Use of Investor Funds</w:t>
      </w:r>
      <w:r>
        <w:rPr>
          <w:rFonts w:ascii="arial" w:eastAsia="arial" w:hAnsi="arial" w:cs="arial"/>
          <w:color w:val="000000"/>
          <w:sz w:val="20"/>
          <w:lang w:val="en-US" w:eastAsia="en-US" w:bidi="ar-SA"/>
        </w:rPr>
        <w:t xml:space="preserve">: Limited Partners' capital investment will be used </w:t>
      </w:r>
      <w:r>
        <w:rPr>
          <w:rFonts w:ascii="arial" w:eastAsia="arial" w:hAnsi="arial" w:cs="arial"/>
          <w:color w:val="000000"/>
          <w:sz w:val="20"/>
          <w:u w:val="single"/>
          <w:lang w:val="en-US" w:eastAsia="en-US" w:bidi="ar-SA"/>
        </w:rPr>
        <w:t>at the discretion of the General Partner acting in the best interests of the partnership</w:t>
      </w:r>
      <w:r>
        <w:rPr>
          <w:rFonts w:ascii="arial" w:eastAsia="arial" w:hAnsi="arial" w:cs="arial"/>
          <w:color w:val="000000"/>
          <w:sz w:val="20"/>
          <w:lang w:val="en-US" w:eastAsia="en-US" w:bidi="ar-SA"/>
        </w:rPr>
        <w:t>, according to law and pursuant to the terms of the partnership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Phase 1 - Purchase: Acquisition and assembly of the land and related business.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Phase 2 - Development: Working capital to increase the land value through applications, rezoning and the design of a unique unprecedented mixed use high-rise building.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Investor funds are used to purchase the property, increase the value of the property through rezoning and applications, pay for all development of the project and ensure all investors receive value for their investment. In some cases investor funds may be used to buy out investors who wish to leave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Offering Size</w:t>
            </w:r>
            <w:r>
              <w:rPr>
                <w:rFonts w:ascii="arial" w:eastAsia="arial" w:hAnsi="arial" w:cs="arial"/>
                <w:color w:val="000000"/>
                <w:sz w:val="18"/>
                <w:lang w:val="en-US" w:eastAsia="en-US" w:bidi="ar-SA"/>
              </w:rPr>
              <w:t>:</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$12,000.000 (CAD)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Phase 1: $8,500,000 (CAD), Phase 2: $3,500,000 (CAD)</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Minimum Investment $100,000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Paprotka's planned $2 million profit on the acquisition of the property - which he was to obtain through assigning to the limited partnership, SDLP, 118's right to purchase the property - was described in the Term Sheet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Related Party</w:t>
      </w:r>
      <w:r>
        <w:rPr>
          <w:rFonts w:ascii="arial" w:eastAsia="arial" w:hAnsi="arial" w:cs="arial"/>
          <w:color w:val="000000"/>
          <w:sz w:val="20"/>
          <w:lang w:val="en-US" w:eastAsia="en-US" w:bidi="ar-SA"/>
        </w:rPr>
        <w:t xml:space="preserve">: Part of the acquisition cost of the property involves a </w:t>
      </w:r>
      <w:r>
        <w:rPr>
          <w:rFonts w:ascii="arial" w:eastAsia="arial" w:hAnsi="arial" w:cs="arial"/>
          <w:color w:val="000000"/>
          <w:sz w:val="20"/>
          <w:u w:val="single"/>
          <w:lang w:val="en-US" w:eastAsia="en-US" w:bidi="ar-SA"/>
        </w:rPr>
        <w:t>significant finder's fee payment</w:t>
      </w:r>
      <w:r>
        <w:rPr>
          <w:rFonts w:ascii="arial" w:eastAsia="arial" w:hAnsi="arial" w:cs="arial"/>
          <w:color w:val="000000"/>
          <w:sz w:val="20"/>
          <w:lang w:val="en-US" w:eastAsia="en-US" w:bidi="ar-SA"/>
        </w:rPr>
        <w:t xml:space="preserve"> to a party which is now a related party pursuant to its involvement in the partnership as a co-owner of the General Partner. This payment </w:t>
      </w:r>
      <w:r>
        <w:rPr>
          <w:rFonts w:ascii="arial" w:eastAsia="arial" w:hAnsi="arial" w:cs="arial"/>
          <w:color w:val="000000"/>
          <w:sz w:val="20"/>
          <w:u w:val="single"/>
          <w:lang w:val="en-US" w:eastAsia="en-US" w:bidi="ar-SA"/>
        </w:rPr>
        <w:t>reflects the equity present</w:t>
      </w:r>
      <w:r>
        <w:rPr>
          <w:rFonts w:ascii="arial" w:eastAsia="arial" w:hAnsi="arial" w:cs="arial"/>
          <w:color w:val="000000"/>
          <w:sz w:val="20"/>
          <w:lang w:val="en-US" w:eastAsia="en-US" w:bidi="ar-SA"/>
        </w:rPr>
        <w:t xml:space="preserve"> in the land as of date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decision to characterize Paprotka's profit as a finder's fee had been made on the basis of advice from Paprotka's accountants. No reference was made to this profit in either the Subscription Agreement or the LPA. Draft copies of the Subscription Agreement and the LPA had been exchanged amongst Paprotka, Embury and Bright during the first two weeks of February, and on the evening of February 17 Embury wrote an email to Bright - cc'd to Paprotka - providing his comments on the latest draft. Embury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need to disclose Deans spread of 2M (land price vs total price paid) and it does not appear to be in the sub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that night Bright replied, enclosing a draft of the Term Sheet. With respect to the finder's fee,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to be in the term sheet I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that February 17 draft of the Term Sheet, the "Related Party" paragraph did not include the final sentence indicating that the finder's fee reflected the equity in the land. That sentence was added in a revised draft Bright prepared on February 18, and was included in the Term Sheet reviewed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No one recalls the finder's fee having been discussed at the February 19 meeting, in any detail. As noted above, Burke testified that she did not read any of the documents prior to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Term Sheet also stated that the general partner would be authorized to mortgage the property to the partnership: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Susidiary</w:t>
      </w:r>
      <w:r>
        <w:rPr>
          <w:rFonts w:ascii="arial" w:eastAsia="arial" w:hAnsi="arial" w:cs="arial"/>
          <w:color w:val="000000"/>
          <w:sz w:val="20"/>
          <w:lang w:val="en-US" w:eastAsia="en-US" w:bidi="ar-SA"/>
        </w:rPr>
        <w:t>: The property will be acquired through a wholly owned subsidiary of the partnership. This subsidiary may grant a mortgage on the property to the partnership to protect the investment, which mortgage may be subordinated to construction or bank financing, or removed if necessary, at the sole discretion of the General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no obligation to place such a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Term Sheet concluded with a warning: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Offering is suitable only to those investors who are </w:t>
      </w:r>
      <w:r>
        <w:rPr>
          <w:rFonts w:ascii="arial" w:eastAsia="arial" w:hAnsi="arial" w:cs="arial"/>
          <w:color w:val="000000"/>
          <w:sz w:val="20"/>
          <w:u w:val="single"/>
          <w:lang w:val="en-US" w:eastAsia="en-US" w:bidi="ar-SA"/>
        </w:rPr>
        <w:t>willing to rely solely on the management of the Partnership and the General Partner and to risk a total loss of their entire investment</w:t>
      </w:r>
      <w:r>
        <w:rPr>
          <w:rFonts w:ascii="arial" w:eastAsia="arial" w:hAnsi="arial" w:cs="arial"/>
          <w:color w:val="000000"/>
          <w:sz w:val="20"/>
          <w:lang w:val="en-US" w:eastAsia="en-US" w:bidi="ar-SA"/>
        </w:rPr>
        <w:t xml:space="preserve">. The Partnership does not currently have any assets, the investment in the units </w:t>
      </w:r>
      <w:r>
        <w:rPr>
          <w:rFonts w:ascii="arial" w:eastAsia="arial" w:hAnsi="arial" w:cs="arial"/>
          <w:color w:val="000000"/>
          <w:sz w:val="20"/>
          <w:u w:val="single"/>
          <w:lang w:val="en-US" w:eastAsia="en-US" w:bidi="ar-SA"/>
        </w:rPr>
        <w:t>is speculative and involves a high degree of risk</w:t>
      </w:r>
      <w:r>
        <w:rPr>
          <w:rFonts w:ascii="arial" w:eastAsia="arial" w:hAnsi="arial" w:cs="arial"/>
          <w:color w:val="000000"/>
          <w:sz w:val="20"/>
          <w:lang w:val="en-US" w:eastAsia="en-US" w:bidi="ar-SA"/>
        </w:rPr>
        <w:t xml:space="preserve"> and there are certain risks inherent in any real estate based investment. </w:t>
      </w:r>
      <w:r>
        <w:rPr>
          <w:rFonts w:ascii="arial" w:eastAsia="arial" w:hAnsi="arial" w:cs="arial"/>
          <w:color w:val="000000"/>
          <w:sz w:val="20"/>
          <w:u w:val="single"/>
          <w:lang w:val="en-US" w:eastAsia="en-US" w:bidi="ar-SA"/>
        </w:rPr>
        <w:t>This is a risk investment - there are no guarantees that the investment amounts will be repaid, or that the investment will yield any return.</w:t>
      </w:r>
      <w:r>
        <w:rPr>
          <w:rFonts w:ascii="arial" w:eastAsia="arial" w:hAnsi="arial" w:cs="arial"/>
          <w:color w:val="000000"/>
          <w:sz w:val="20"/>
          <w:lang w:val="en-US" w:eastAsia="en-US" w:bidi="ar-SA"/>
        </w:rPr>
        <w:t xml:space="preserve"> The reward for accepting these potential risks is the potential for the rate of return described.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Subscription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Each plaintiff was to sign a Subscription Agreement, agreeing to subscribe to Class A limited partnership units in SDLP. The Subscription Agreement defined the "Offering"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issuance and sale by the Partnership of up to an aggregate of 1,200 Class A, B, C, D and 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will be observed that the sale of 1,200 units at $10,000 each would raise $12 million, which was the total size of the Offering as described in the Term Sheet. The Subscription Agreement specifically provided, however, that the General Partner might adjust the size of the Offering in its sole discretion, without further notice to the subscriber.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was no requirement that the investor funds be held in escrow until the entire $8.5 million necessary for Phase 1 - "acquisition and assembly of the land and related business" - had been raised, nor that the funds be returned if $8.5 million could not be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Subscription Agreement also set out a number of detailed representations and warranties made by the subscriber to the limited partnership, SDLP, and to the general partner, SDC, including that apart from the Term Sheet, the Limited Partnership Agreement, and certain financial documents, the subscriber was not relying on verbal or written representations; that the subscriber had such knowledge, or had received independent advice, in financial, business and legal affairs as to be capable of evaluating the merits and risks of the investment, and was able to bear the risk of loss of the entire investment; and that the subscriber was purchasing the units pursuant to an exemption from the governing prospectus requirement.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Limited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LPA included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Business: The business and purposes of the Partnership shall be to own, operate, develop, sell, subdivide or lease portions of the development comprising the Property in a manner intended to maximize returns and value of the Units and to conduct such other activities as may be necessary or incidental to the foregoing all on the terms and conditions set forth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Borrowing from Outside Sources: After contributed sums have been accounted for and the General Partner determines that the Partnership requires added capital to finance development of the Property, the General Partner shall exercise its best efforts to borrow from outside sources, from time to time, all sums of money required for such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Management of the Partnership: The General Partner shall, subject to this Agreement, and in a reasonable and prudent manner, acting in the best interests of the Partnership, have exclusive authority to manage, control, administer and operate the business and affairs of the Partnership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Authority of the General Partner: In addition to the powers and authorities possessed by the General Partner pursuant to the Partnership Act, the General Partner is hereby granted the right, power and authority to do or to cause to be done on behalf of the Partnership all things which, in its sole judgment, are necessary, proper or desirable to carry on the business and purposes of the Partnership referred to in Section 2.2, including without limitation: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borrow money in accordance with Section 3.9 and as security therefore to mortgage all or any part of the Property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Duty of Care: The General Partner shall manage and operate the Partnership and the assets and undertaking thereof in a manner which would be considered reasonable and prudent in the management of like undertakings 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Transactions Involving Affiliates: The validity of any transaction, agreement or payment involving the Partnership and any Affiliate otherwise permitted by the terms of this shall not be affected by reason of the relationship between the General Partner and such Affiliate or the approval of the said transaction agreement or payment by directors of the General Partner all or some of whom are officers or directors of or are otherwise interested in or related to such Affiliate.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Safekeeping of Assets: The General Partner shall have a fiduciary responsibility for the safekeeping and use of all funds and assets of the Partnership, whether or not in its immediate possession or control, and the General Partner shall not employ or permit another to employ such funds or assets in any manner except for the exclusive benefit of the Partnership.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Restrictions on the General Partner: The General Partner shall not: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paid for providing to the Partnership any services in addition to those required of it under the terms of this Agreement unless the charges of the General Partner to the Partnership for such additional services are less than or equal to the best available competitive rates for services of a comparable quality for such services from persons who are in the business of providing such services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6.10 Employment of Affiliates: Affiliate(s) may be employed by or retained by the Partnership to provide goods or services to the Partnership.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6.11 Conflict of Interest: The Limited Partners acknowledge that the General Partner's associates, affiliates and their respective directors and officers may be and are permitted to be engaged in and continue in other businesses in which the Partnership will not have an interest and which may be competitive with the activities of the Partnership and, without limitation, the General Partner's associates, affiliates and their respective directors and officers may be and are permitted to act as a partner, shareholder, director, officer, joint venturer, advisor or in any other capacity or role whatsoever of, with or to other entities, including limited partnerships, which may be engaged in all or some of the aspects of the business of the Partnership and may be in competition with the Partnership.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6.12 Consent to Conflict: Subject to the General Partner's express obligations hereunder, the Limited Partners agree that the activities and facts as set forth in Section 6.11, shall not constitute a conflict of interest or breach of fiduciary duty to the Partnership or the Limited Partners, the Limited Partners hereby consent to such activities and the Limited Partners waive, relinquish and renounce any right to participate in, and any other claim whatsoever with respect to, any such activities.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February 19 meeting lasted between one and one-and-a-half hours. There are some conflicts in the evidence between Bright and Burke as to what was discussed. On the whole, I prefer the evidence of Bright. Burke's recall of events was demonstrated through cross-examination to be poor, and she contradicted herself on numerous points. The impression I was left with was that she left the February 19 meeting without a clear understanding of the limited partnership, and that she was in over her head. In particular, I accept Bright's testimony that he emphasized to the meeting's participants that this was not an interest-bearing investment with a guaranteed or fixed rate of return, and that there was the potential for the limited partners to earn income, but it should not be described to them as interest. There could potentially be no net income earned, and therefore no return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also accept Bright's evidence that the Term Sheet was discussed, though not the finder's fee specifically. Burke did not ask any questions about the finder's fee. She knew that $8.5 million was to be raised for acquisition of the property, and she knew from her conversations with Embury that the property was being sold for $6.5 million, but she did not "put two and two together" and realize that the finder's fee was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All of those who attended the February 19 meeting were emailed copies of the documents afterwards by Bright, whose covering email stated that the documents were being provided for their use. It was clearly intended that the Term Sheet would be used in describing the project to prospective limited partnership investors.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Sale of Limited Partnership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Paprotka had no prior experience with limited partnerships. It appears that the idea of raising financing for this project through the sale of limited partnerships had been raised sometime after Paprotka and Embury had initiated their discussions, and originated either with Bright, who was initially retained to advise Strategic West, or with accountants at PriceWaterhouse Coopers, who advised Paprotka on the tax planning implications of the venture. Citrine's previous experience with Embury had consisted of promoting deals in which investor loans were secured with mortgages, although Burke testified that she had had some prior exposure to limited partnerships.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Most of the plaintiff investors - either the individual plaintiffs or their spouses, or the individuals behind sole-shareholder corporate plaintiffs - testified at trial. There were some broad points of commonality in their evidence as to how they became involved in the project. As no claim of misrepresentation is being made, no findings need be made as to their reliance on statements made by Citrine or Strategic West in the marketing of the limited partnership units. However, a brief overview of some of the points of commonality in their evidence is germane to an understanding of the "factual matrix" which, according to the plaintiffs, underlies their claim of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noted above, Citrine and Strategic West had begun to seek potential investors through advertising the project by the end of January 2008, prior to the structure of the limited partnership having been finalized. Many of the plaintiffs learned of the project through attending a marketing seminar at which Burke made a presentation. Others were attracted through advertising, and obtained further information through telephone calls to Strategic West. Some learned through word of mouth. Some investors were mailed copies of promotional materials and documents for their review and signature. Others met with Burke, or another sales representative of Citrine, in their own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Before the end of January 2008, both Strategic West and Citrine had prepared promotional material (brochures describing the project, or sheets setting out "financial highlights") in which it was stated that the investors would enjoy a "fixed rate of return", and would have security in the form of a "first mortgage position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an email dated January 31, 2008, addressed to Burke and to a Ms. Moeller, one of Strategic West's sales staff, Embury sought to clarify the mortgage security. The Subject of the email was "Clarity of the raise and security". Embury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$8.5M pays for the land and associated costs, but we will have to raise another (projected) $4 million after this (with 6 to 8 months) to take the property through rezone and applications making the total LP participation projected at 12M. So the initial raise is 8.5 with 4 to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security is through the LP and is described in this manner. "[T]hrough the LP's ownership (units) each of the investors is an owner of the land. The ownership (investor) will have an interest in that mortgage by virtue of being an owner of the 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reality, the LP owns the property and if something were to happen and the project goes south, the "owners" would act to sell the land or develop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she came to learn more of the terms of the deal, Burke updated her "financial highlights" sheet, including deleting the reference to a first position mortgage, and replacing it with a provision that the security would be "LP ownership of the property". On the evening of February 19, following the meeting at Gowlings, she sent an email to prospects she had met at a tradeshow earlier that month, providing highlights of the deal. In that email, she described the security being offered as "ownership on the property by the Limited Partnership". Burke acknowledged in her testimony that she understood the structure of the deal had changed since she and Embury had had their first discussions. However, she did nothing to draw those changes to the attention of any prospective investors who might have been relying on the statements made in the earlier versions of her marketing material. Even though she understood that the security being offered was ownership, and not a loan, based on the conversations she had had with Embury in January she continued to believe that the investors would have "ownership equity with a mortgage". She conceded that the partnership documents contained no requirement for any such mortgage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Burke agreed that Bright had said, during the February 19 meeting, that the sales agents were not to refer to the limited partners' right to receive distributions of net income as "interest". They were instead to use the phrase "distribution income". Notwithstanding Bright's clear instruction, her email to prospects sent that evening referred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per annum fixed return </w:t>
      </w:r>
      <w:r>
        <w:rPr>
          <w:rFonts w:ascii="arial" w:eastAsia="arial" w:hAnsi="arial" w:cs="arial"/>
          <w:b/>
          <w:i/>
          <w:color w:val="000000"/>
          <w:sz w:val="20"/>
          <w:u w:val="single"/>
          <w:lang w:val="en-US" w:eastAsia="en-US" w:bidi="ar-SA"/>
        </w:rPr>
        <w:t>offered in this first closing only</w:t>
      </w:r>
      <w:r>
        <w:rPr>
          <w:rFonts w:ascii="arial" w:eastAsia="arial" w:hAnsi="arial" w:cs="arial"/>
          <w:color w:val="000000"/>
          <w:sz w:val="20"/>
          <w:lang w:val="en-US" w:eastAsia="en-US" w:bidi="ar-SA"/>
        </w:rPr>
        <w:t>, interest paid quarterly.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 other marketing materials continued to refer to a fixed rate of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documentary evidence of Burke having told one investor in March that the investors' funds would be held in escrow "until ALL the money is raised". Burke testified that she had been told by Embury that the funds would be held in escrow until the entire $8.5 million was raised. There was, however, as noted above, no provision to that effect in the LPA or the Subscription Agreement. Given my concerns with Burke's level of comprehension of the deal's structure, I do not accept her uncorroborated evidence on this point. Even if Embury had described that as a feature of the investment in his initial discussions with Burke, she ought to have understood that the final structure of the investment made no such provision. And even if there had been such discussions between Embury and Burke, there is no evidence that Paprotka was ever party to them, and no evidence that Paprotka was ever aware of any such representation having been made to potential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Each of the plaintiff investors subscribed to and was issued units in SDLP. The following table sets forth in chronological order the name of each plaintiff investor who subscribed for Class "A" Units or Class "B" Units; the date on which each subscription agreement was signed, or the date on which funds were transferred; the amount invested; and a running aggregate total of all of the investments as of the dates of each subscription. Most plaintiffs purchased only the required minimum investment of 10 Class A units, at a total cost of $100,000. (Why it was that a few investors were permitted to purchase less than the minimum number was not explained.)</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432.06pt;height:423.81pt">
            <v:imagedata r:id="rId146" o:title=""/>
          </v:shape>
        </w:pict>
      </w:r>
      <w:r>
        <w:rPr>
          <w:rFonts w:ascii="arial" w:eastAsia="arial" w:hAnsi="arial" w:cs="arial"/>
          <w:sz w:val="20"/>
          <w:lang w:val="en-US" w:eastAsia="en-US" w:bidi="ar-SA"/>
        </w:rPr>
        <w:t xml:space="preserve">  </w:t>
      </w:r>
      <w:r>
        <w:pict>
          <v:shape id="_x0000_i1069" type="#_x0000_t75" style="width:399.81pt;height:586.58pt">
            <v:imagedata r:id="rId147" o:title=""/>
          </v:shape>
        </w:pict>
      </w:r>
      <w:r>
        <w:pict>
          <v:shape id="_x0000_i1070" type="#_x0000_t75" style="width:432.06pt;height:381.8pt">
            <v:imagedata r:id="rId148"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About two-thirds of the plaintiffs purchased their units through Citrine, one-third through Strategic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Almost none of the plaintiffs were properly accredited as sophisticated investors. They all initialled the Accredited Investor Certificate attached to the Subscription Agreement, warranting that they fell within one of accredited classes allowing for sale without a prospectus, but few of them who claimed to do so actually met the financial asset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Most of the plaintiffs admitted that they did not review the LPA and the Subscription Agreement in any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All of the plaintiffs testified that they were attracted to the investment by the high rate of return offered. Most of the plaintiffs believed they would receive fixed or guaranteed quarterly payments. None of them questioned how a Travelodge could generate annual returns of 18% on $8 million. Burke did not discuss this with her investors; she acknowledged that she had no idea how such a return could be generated. A minority of the plaintiffs understood that 18% to 20% per annum was the maximum return they could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Some of the plaintiffs were attracted by the option of a buy-out after a full year of participation. No one, including Burke, seems to have turned their mind to the question of how they could be bought out if the partnership did not have sufficient means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Most of the plaintiffs who purchased their units through Citrine were not given a copy of the Term Sheet. Although Burke acknowledged that the Term Sheet contained important information that was not disclosed in the LPA and the Subscription Agreement, she testified that she did not pay any attention to it because it was not legally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Shown, in cross-examination, a copy of a Strategic West brochure for the project which indicated that investors would receive "Quarterly Distribution of Net Income", and that readers should "</w:t>
      </w:r>
      <w:r>
        <w:rPr>
          <w:rFonts w:ascii="arial" w:eastAsia="arial" w:hAnsi="arial" w:cs="arial"/>
          <w:i/>
          <w:color w:val="000000"/>
          <w:sz w:val="20"/>
          <w:lang w:val="en-US" w:eastAsia="en-US" w:bidi="ar-SA"/>
        </w:rPr>
        <w:t>Please refer to the term sheet for further information</w:t>
      </w:r>
      <w:r>
        <w:rPr>
          <w:rFonts w:ascii="arial" w:eastAsia="arial" w:hAnsi="arial" w:cs="arial"/>
          <w:color w:val="000000"/>
          <w:sz w:val="20"/>
          <w:lang w:val="en-US" w:eastAsia="en-US" w:bidi="ar-SA"/>
        </w:rPr>
        <w:t>", Burke said that she had no idea that was how the project was being marketed.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Those plaintiffs who were given a copy of the Term Sheet agreed that they understood a finder's fee was to be paid, and that they asked no questions concerning it. Most agreed with the concept of a finder's fee, but voiced objection in this case as to the reasonableness of the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Closing the Share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closing of the Share Purchase Transaction was finalized on May 1, 2008. It proceeded much as planned, with three major changes, two of which are relevant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two significant changes were in respect of funding the purchase. Paprotka and Embury, as directors of SPC, signed resolutions effective April 30, authorizing SPC to borrow $8.5 million from SDLP, and to provide SDLP with security in the form of a mortgage over the property securing a fixed charge, and a general security agreement over the assets of SPC. On the same date, SDLP as lender and SPC as borrower entered into a loan agreement, under which SDLP would lend $8.5 million, secured by the aforementioned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However, as can be seen from the table set out above, SDLP had not raised sufficient funds by April 30, 2008 to fund the loan. In anticipation of this shortfall, Embury had agreed with Paprotka that Strategic West would be responsible for obtaining bridge financing, allowing the closing to proceed as scheduled. Embury continued to reassure Paprotka that the necessary capital would be secured from investors, and that financing was only a short-term measure. Accordingly, 540546 (which later became SOC by amalgamation) borrowed $2.8 million from Reliant, and granted a mortgage to secure repayment, at an interest rate of 12% per annum with a maturity date of May 1, 2009. These mortgage loan funds were transferred into Gowlings' trust account, and, at least in part, were used to fund the share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second consequence of the shortfall in investor participation was that there were no funds available to pay the $2 million (plus GST) finder's fee. SOC and 118 signed an assignment agreement, dated April 30, in which 118's interest in the Share Purchase Agreement was assigned. In fact, as will be discussed below, to different assignments were executed. Recognizing that no funds would be immediately available, Paprotka had instructed Bright that a mortgage securing 118's entitlement to the finder's fee would have to be prepared. The circumstances surrounding the conception, preparation and execution of that mortgage are discussed in the next section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Prior to the April 30, 2008 closing, Bright, Embury and Paprotka had exchanged drafts of the closing documents. Among these were two different forms of the assignment of 118's interest. One of these forms stated that the consideration for the assignment was "payment of the sum of $10.00, the receipt and sufficiency of which is hereby acknowledged"; in the other form, the figure used was $2,000,000. The plaintiffs attempted to make much of this discrepancy in their argument. I therefore review what transpired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evening of April 29, Bright emailed revised documents to Paprotka for his signature, cc'd to Embury. There were a number of matters dealt with in the back-and-forth that then took place, and the following description is only with respect to what transpired regarding the assignment: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5:32 pm, Paprotka emailed Bright, noting that the assignment and the corporate resolution authorizing both stated that the consideration was $10.00, and that instead it should be stated as $2 million plus GST.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8:29 pm, Bright replied: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is there any reason why we might not want to let the vendor know the amount? (we could destroy the $10 one post close)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Paprotka wrote back at 8:53 pm: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vendor does not need to know ... do you have to show him the resolutions and the assignment ag ... if you do then why not prepare the post closing resolutions and assignment for signing at the same time we sign the pre-closing resolution and assignment.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9:36 pm, Bright replied: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they need to see the assignment agreement - the resolutions don't mention the amount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9:44 pm, Paprotka instructed Bright: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Then do the pre and post closing assignments/resolutions for signing now.</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minute later, at 9:45 pm, Bright wrote back: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attached the revised docs for you to sign, with the assignment listing $2M - you could sign it or the $10 one - I think at this stage you probably have comfort that we can amend that after closing if you don't want the vendor to know the amount.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1:15 am on April 30, Paprotka forward the signed $2 million assignment, confirming that the Vendor was not to see it. He asked if it was necessary to sign the $2 million assignment.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8:46 am on April 30, Bright advised that the Vendor would have to see an assignment.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Paprotka forwarded a signed pre-closing assignment (the $10 assignment), at 9:44 am, confirming that it would be replaced by the post-closing assignment he had emailed the previous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$10.00 assignment was used in closing with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third difference between the original conception of the closing, and its final form, was that the seventh step of SOC selling the land to SPC did not take place. Instead, to avoid payment of property transfer tax, SOC continued to hold title to the property in trust for SPC.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Registration of the 118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Although no claim is being made in misrepresentation, the plaintiffs say that the circumstances under which 118 obtained its mortgage over the property are germane to an understanding of how Paprotka breached his fiduciary obligation. I will therefore set those circumstances out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Paprotka had been aware from the early stages of his dealings with Embury that Embury intended to attract investors to project through indicating that there was security provided by way of a first mortgage. In an email to Embury dated January 15, 2008, Paprotka acknowledged that upon Embury fulfilling his obligation to raise $8.5 million from investors, the investors would be granted a first mortgage, which would in due course be postponed to construction financing, at an interest rate to be agreed upon by Paprotka and Embury. There was a further exchange of emails between them on January 30, concerning Embury's deadlines for raising funds ($6.5 million plus closing costs by April 30, and $12 million by August 30); Paprotka expressed his preference not to go down the road of borrowing money to make up any shortfall, if possible, as it could complicate the security position to be offered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Paprotka again confirmed the investors' security interest in an email sent to Embury and Bright on February 17, two days before the meeting held at Gowlings' offices at which Burke was in attendance. Paprotka wrote: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LP's must be passive investors with no guarantee of repayment of original capital and/or unit yields ... my understanding is their security will be by way of a first charge on the lands subject to any financing we require to assist in purchasing the lands and/or redeveloping any part of same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Paprotka wrote to Embury on March 3, 2008, suggesting the framework for a "hard deal" between them. He noted that $2.8 million was being held in trust unconditionally, which was to be applied towards purchase of the property. Strategic West would be responsible for obtaining the balance of the funds necessary to close; if they were unable to raise the requisite funds, the property could be offered as security, with Strategic West being responsible for obtaining and servicing the mortgage loan. Paprotka specified that 118 was to be granted security for $2 million, "</w:t>
      </w:r>
      <w:r>
        <w:rPr>
          <w:rFonts w:ascii="arial" w:eastAsia="arial" w:hAnsi="arial" w:cs="arial"/>
          <w:i/>
          <w:color w:val="000000"/>
          <w:sz w:val="20"/>
          <w:lang w:val="en-US" w:eastAsia="en-US" w:bidi="ar-SA"/>
        </w:rPr>
        <w:t>behind</w:t>
      </w:r>
      <w:r>
        <w:rPr>
          <w:rFonts w:ascii="arial" w:eastAsia="arial" w:hAnsi="arial" w:cs="arial"/>
          <w:color w:val="000000"/>
          <w:sz w:val="20"/>
          <w:lang w:val="en-US" w:eastAsia="en-US" w:bidi="ar-SA"/>
        </w:rPr>
        <w:t xml:space="preserve"> the investors principal and interest payments and any bank financing that is used to assist in acquiring the property"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Embury and Paprotka then entered into a formal "Confirmation Agreement", in the form of a letter dated March 6, 2008. They agreed that the Commitment Terms of February 15, 2008 were legally binding. The Confirmation Agreement stated: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1186342 Alberta Ltd. will be granted security against the property for $2M, ranking behind the limited partners and any bank financing that is used to assist in acquiring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Paprotka referred to this clause of the Confirmation Agreement in an email he sent to Bright on the morning of April 27, 2008, which set out a few preliminary comments regarding the closing agenda. Paprotka wrote: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about the Mortgage to be registered against the lands and GSA in favor Deanco subject to Reliant Capital and the LP in the amount of 2M pursuant to our letter agreement dated March 6/08?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one of Paprotka's covering emails to Bright sent on the evening of April 29, 2008, transmitting the signed closing documents, he made several queries, including the following (referring to 118 as "Deanco"):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Corp resolution regarding 2M mortgage granted in favor of Deanco as per our agreement ... mortgage also need to be signed and registered concurrently with the transfer docs and other securities as per our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Beyond asserting that the mortgage was to be registered "concurrently", Paprotka said nothing else at that time about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early May, following the closing, Embury and Paprotka had discussions regarding the timing of payment to Citrine and Strategic West's sales staff of commissions owed to them, and of payment to 118 of its $2 million. Paprotka sent a proposal to Embury on May 12 in which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Gowlings was to have registered the 2M owing to Deanco as a second mortgage only behind Reliant. Deanco to receive 10% simple interest per year on outstanding monies owed from monies raised by SW. [A]n amending agreement will have to be registered at land titles to reflect the interest and the term. [W]e can put a 6mth term on payment of the balance of the monies owing to Deanco. Gowlings has to be told about this to ensure mortgage registered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Embury's reply of the same date did not take exception to this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This is the first reference in the documents to the 118 Mortgage being registered in second place, immediately behind the Reliant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Notwithstanding Paprotka's assertion of what Gowlings was to have done, there is no evidence that Gowlings had previously been given any specific instructions as to the ordering of the mortgage priorities. Furthermore, the terms of 118's mortgage had not yet been agreed upon between Embury and Paprotka, prior to closing, so no registration would have been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two of them discussed matters again the morning of May 13, and Paprotka summarized their conversation in an email sent to Embury that afternoon. He confirmed that going forward, 118 would be paid 70% of all monies raised by Strategic West and its affiliates, until it had been paid $2 million plus GST (the "Sum").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Deanco is to be paid 10% simple interest per annum on any of the Sum that it has not received, which monies are to be secured by way of a second mortgage, subject only to the mortgage granted in favour of Reliant Capital, on Skyevue Property Corp's lands in Kelowna, BC upon which the Travelodge Kelowna is operating and ranking ahead of all the limited partners and the general partner of Skyevue Limited partnership and all related, associated and affiliated companies. This interest is to accrue and it along with the outstanding principal sum is to be paid to Deanco on or before November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following day, May 14, 2008, Paprotka instructed Gowlings to register the 118 Mortgage, to be a second financial charge, subject only to Reliant's first registered mortgage, and in priority to all of the limited partners and the general partner of SDLP.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Accordingly, Gowlings prepared a corporate resolution authorizing SOC to grant a $2 million mortgage to 118 (the "118 Mortgage"), as security for SPC's indebtedness to 118, and a direction from SPC to SOC authorizing the grant. The documents were executed, and the 118 Mortgage was registered on May 29,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SOC then granted a mortgage to SDC in the amount of $8.5 million, in respect of the loan agreement of April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of June 16, 2008, the titles to each of the five lots showed a first mortgage and related security registered in favour of Reliant, as of May 1, 2008; a second mortgage registered in favour of 118, as of May 29, 2008; and a third mortgage registered in favour of SDC, as of May 29,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Post-Closing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 detailed account of the events which transpired following the closing, and the registration of the mortgages, is not germane to the plaintiffs' cause of action. The relevant points may be summarized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May 22, 2008, SDC paid 118 $233,000 towards the $2.1 million owed. At the same time, $233,000 was paid to Strategic West, to go towards commissions owed to its sales staff and to Citrine.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Many of the investors had been provided with a schedule specifying the dates on which quarterly income payments would be made. The first payment date was to have been June 4, 2008, but with a mortgage payment having to be made to Reliant there was no net income available for distribution when that date arrived. Several of the plaintiffs then corresponded with Strategic West or Citrine as to their concerns, but they were reassured that efforts to secure further capital were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With the exception of $70,000 invested by Mr. Gosyatnikov in July 2008, no further monies were raised from sale of partnership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July 31, 2008 SDC paid 118 a further $100,000, the GST component of the debt, reducing the total indebtedness to $1,767,000.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With the real estate investment market beginning to undergo considerable upheaval in the summer of 2008, SOC retained an appraiser, Mr. Hoffmann, to re-value the subject properties for the purpose of potential refinancing. His report, which is discussed in further detail below, gave a value of $7.05 million, effective September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October 2008, Citrine submitted to Strategic West two invoices for payment of commissions earned through sale of the limited partnership units. The total amount billed was $311,772.00. Burke testified that Citrine was paid $25,000 towards one of the two invoices. No other payment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the fall of 2008, Burke sent a letter to the RCMP detailing her concerns with improper accounting and her suspicions of criminal conduct in respect of the Skyevue, Skyreach and Golden Vine projects. In that letter, Burke asserted: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all projects, individual investors were told there would be quarterly payments and the money would be set aside in escrow to guarantee those payments. Money was never put into escrow for any of the projects. Within the last few months, quarterly payment for all 3 projects have ceased with the Skyevue project never even making the first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record in the documents of anyone ever having advised Burke that there would be an escrow fund constituted to guarantee the quarterly payments to investors in Skyeue. As noted, Embury did not testify, so Burke's assertion is not corroborated from any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January 2009 Paprotka investigated refinancing. He succeeded in obtaining a term sheet from the Business Development Bank of Canada ("BDC"), offering funding of $3.5 million, which would go to pay out the Reliant Mortgage and reduce the indebtedness to 118 by $700,000. The offered interest rate was 6%, half the rate being charged by Reliant. Paprotka was unable to follow through on this refinancing because of a Certificate of Pending Litigation filed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Effective February 11th, 2009, Embury resigned as a director of SOC, SPC, and SDC, and Paprotka was appointed as the President and Secretary of SDC.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City of Kelowna did not proceed with rezoning of the property. The necessary by-law amendments passed through three readings of the City council and there was then a delay while the amendments were referred to the Ministry of Transportation for approval. Before a final vote could be taken, a municipal election was held and new members came onto the council. The amendments were then defeated.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of October 28, 2009, SDC resigned as the general partner of SDLP, and Paprotka resigned as sole director and officer of both SOC and SPC. 1449855 Alberta Ltd., a company whose sole director and President is Burke, was appointed as the new general partner; Burke was appointed as president and sole director of SOC and SPC, and has been managing the property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partnership has not pursued any refinancing. Burke was aware of Paprotka's attempts to refinance, but made no effort to do so herself. She admitted on cross-examination that although she noticed the rate proposed by BDC was lower than what was being charged by Reliant, she did not calculate what the payments to BDC would be, nor determine if the payments would be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No steps have been taken to develop the property under the current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claim is premised entirely on the proposition that Paprotka's profit of $2 million, which the 118 Mortgage secures, was far in excess of what could have been fairly earned as a finder's fee correlated to the equity in the property. The plaintiffs say that Paprotka, as a director of the general partner, was under a fiduciary obligation to ensure that the partnership paid no more than market value for the property. They contend that the notional acquisition cost of $8.5 million - $6.5 million paid to the Vendors for the share purchase, and $2 million owed to Paprotka - far exceeded the property's actual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support of this contention, the plaintiffs rely upon the aforementioned evidence of the appraiser, Mr. Lionel Hoffmann.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July 2008, after the closing, SOC had retained Hoffmann's firm to conduct an appraisal of the five lots (the four contiguous lots on Abbott Street, and "Lot 9" on Leon Avenue). Hoffmann provided a draft appraisal opinion report to SOC in September 2008. In the draft, he appraised the market value at $6.59 million. His opinion was based on the Income Approach to valuation, as opposed to the Direct Comparison Approach utilized by Payne.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Following discussions with Paprotka, Hoffmann modified the capitalization rate he had used under the Income Approach, and arrived at a final opinion valuing the property at $7.05 million as of September 17, 2008 - $6.03 million for the four Abbott Street lots, and $1.02 million for Lot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the course of this litigation, on October 22, 2010 counsel for the plaintiffs asked Hoffmann to provide a further letter report, to be read in conjunction with his September 2008 appraisal, as to the fair market value as of April 30, 2008. Hoffmann sent a one-page email reply on November 2, 2010. In that email, he provided some data regarding the residential real estate market in the spring and summer of 2008, and commented in general terms on commercial activity, stating that there was a lack of empirical data, and that his recollection was that downward adjustment of commercial values had not yet started during those months. He stated that he could not conclude that the market value would have changed between April 30 and valuation date of September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rely on this statement as opinion evidence that the fair market value of the acquisition as of April 30, 2008 was no more than $7.05 million, and, by implication, that the $2 million finder's fee exceeded any profit which could be justified in relation to the equity in the property, by more than $1.5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To put my findings regarding Hoffman's opinion in context, it will be necessary to review the methodology utilized in his September 2008 appraisal, in some detail. Before doing so, however, I make two observations regarding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First, it is essentially negative in form. Hoffman does not positively state, as a matter of his professional opinion, that the market value did not change between April and September; he simply says that he cannot reach the conclusion that it did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Second, Hoffmann did not undertake a fresh analysis of the data that would have been available to an appraiser conducting a valuation in early 2008, when Paprotka and Embury arrived at their agreement, for a proposed transaction to be closing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Also, before turning to the technical aspects of Hoffmann's appraisal, I will address at the outset an argument advanced by Paprotka, and by Bright and Gowlings, as to certain evidence given by Hoffmann in cross-examination. They assert that Hoffmann conceded, while under cross-examination by Mr. Ferris, that the time-adjusted appraised value in April 2008 of a right to purchase the property from the Vendors was $8.4 million - so close to the $8.5 million figure that the difference is inconsequential. Both Paprotka, and Bright and Gowlings, rely on this supposed concession as evidence that the plaintiffs essentially got what they bargained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evidence in question was adduced when Hoffmann was being cross-examined as to the timing of the comparator sales used in his Direct Comparison Analysis. The ten comparators had sold between April 2006 and January 2008. Market values were increasing over that time period, and he therefore had to adjust the contract sales prices for each comparator to reflect the escalation in value over time, up to the effective date of his appraisal. Analysis of sales figures led him to believe that prices had been increasing at the non-compounded rate of 2% per month in 2006 and 2007. In hindsight, he could not say that there was a supportable rate of change during 2008. This meant, for example, that for comparison purposes, the $2 million sales price of his "Index 1" comparator - the same property with Payne had used as his "Index 10" - with a contract date of May 2007, had to be increased by 14% to reflect its value as of January 2008 (2% per month for the final seven months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Hoffmann had been made aware by Paprotka that the sales price of the subject lots was $6.5 million. This was a price that had been negotiated at arm's length, between a willing buyer and a willing seller. However, Hoffmann was not made aware that the date of that contract was also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Cross-examined on the need to adjust the value of subject contract as well for comparison purposes, Hoffmann said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if you, if you took the Travelodge property contract date and you adjusted it for the seven months at fourteen percent, do you know what just the value of the Travelodge property would then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off the top of my 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can you calculate that on the calculator, please?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Seven point four million.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you add the Leon Avenue property to that, what would the, what would the time adjusted valuation of that six point five million dollar contract as of May 7th be, of May '07 be? The parking lot wasn't adjusted in the value.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would be up to eight point 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Hoffmann was not re-examined on these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close examination of his figures, it is readily apparent that in answering the questions put to him, Hoffmann effectively double-counted the value of the Leon Avenue lot. Hoffmann said that the adjusted value of the "Travelodge property" was $7.4 million; that figure divided by 114% yields a value of $6.5 million, which was the cost of acquiring all five lots. I infer that when asked in cross-examination to adjust the value of the "Travelodge property", Hoffmann started with the $6.5 million acquisition cost, rather than the value of the four Abbott Street lots alone. When he was then asked by counsel to "add the Leon Avenue property to that", he was being invited to duplicate a value he had already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If Hoffmann's Income Approach valuation of the Abbott Street lots alone - $6 million - had been increased by 14%, their value would have been $6.84 million, not $7.4 million. Adding $1.02 million for Lot 9 would have yielded a total price of $7.86 million - more than the appraised value stated in Hoffmann's report, but still less than $8.5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Aside from that point, however, the cross-examination of Hoffmann did reveal significant problems with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Hoffmann had approached the appraisal he performed in September 2008 in the following manner. The first step had been to determine the "highest and best use" of the subject property. Mr. Hoffman's list of considerations making this determination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Okanagan Division MLS statistics </w:t>
      </w:r>
      <w:r>
        <w:rPr>
          <w:rFonts w:ascii="arial" w:eastAsia="arial" w:hAnsi="arial" w:cs="arial"/>
          <w:color w:val="000000"/>
          <w:sz w:val="20"/>
          <w:u w:val="single"/>
          <w:lang w:val="en-US" w:eastAsia="en-US" w:bidi="ar-SA"/>
        </w:rPr>
        <w:t>for the 8 month period ending August 31, 2008</w:t>
      </w:r>
      <w:r>
        <w:rPr>
          <w:rFonts w:ascii="arial" w:eastAsia="arial" w:hAnsi="arial" w:cs="arial"/>
          <w:color w:val="000000"/>
          <w:sz w:val="20"/>
          <w:lang w:val="en-US" w:eastAsia="en-US" w:bidi="ar-SA"/>
        </w:rPr>
        <w:t xml:space="preserve"> reveal total sales dollars of $1.34 billion, a 28% decline over the same period last year. The active inventory of listings is up 88% over last year and total sold units have declined 33%. The active inventory of apartment condominiums, 1305 units, is up 149% over last year (525 units) although average unit prices are up 9.4 [%] over last year. </w:t>
      </w:r>
      <w:r>
        <w:rPr>
          <w:rFonts w:ascii="arial" w:eastAsia="arial" w:hAnsi="arial" w:cs="arial"/>
          <w:color w:val="000000"/>
          <w:sz w:val="20"/>
          <w:u w:val="single"/>
          <w:lang w:val="en-US" w:eastAsia="en-US" w:bidi="ar-SA"/>
        </w:rPr>
        <w:t>A number of planned multiple family residential developments for 2008 have been shelved due to the uncertain real estate market conditions as the apartment condominium sector is shifting from a seller's to a buyer's market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Hoffmann had concluded that the highest and the best use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continued motel use pending redevelopment when improved real estate market conditions exists [sic] for multiple family residential development under the current C7 zone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Next, Hoffmann had undertaken what he called a "broad brush" valuation of the motel to determine if it added value to the property, above and beyond the underlying land value. This "broad brush" approach did not include any analysis of current room rates and occupancy rates for hotels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the motel was a going concern, Hoffmann believed purchasers would largely be motivated to view the property's value in the manner reflected in the Income Approach technique. Since it would best reflect the typical market behaviour of purchasers, it was the best method of valuing the property for appraisal purposes. This approach entailed determining the motel's projected net rental income, and then discounting it by an appropriate capitalization rate, or "cap rate"; the cap rate is derived from reviewing current sales prices of other similar income-producing properties. Utilizing the Income Approach method, Mr. Hoffman had used the motel's records to arrive at projected net annual operating revenue of $362,000. He then had to decide what the market would view to be the appropriate cap rate. Because he was looking at the motel as an operating concern, his starting point was the cap rates for all motel operations in the Thompson-Okanagan region; these ranged from 8.5% to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Considering the property's downtown Kelowna location and the scope of the motel's improvements, Hoffmann had started with the premise that an appropriate cap rate, assuming the property's land-to-building value ratio to be typical, would be 8.75%. However, he then adjusted the cap rate to reflect the fact that the motel was uniquely situated within the downtown, giving it a higher than average underlying land value, in relation to the property value as a whole. Overall cap rates for income-producing commercial properties in Kelowna are typically in the range of 7.0% to 8.0%. He also looked specifically at data for four commercial properties located in proximity to the motel, which were being held for redevelopment but offered cash flow opportunities in the interim; they showed a cap rate of 4.5% to 4.8%. Hoffmann was of the view that this lower range, in comparison to the overall rates for Kelowna commercial properties, reflected the premium attached to those properties being downtown. This was something he had felt needed to be adjusted for.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underlying land value for the [motel] is significant offering redevelopment opportunities in the short to mid-term and further considering the substantial net operating revenue, a prospective purchaser would acquire the property at a significantly lower overall capitalization rate than 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Exercising his professional judgment, Hoffmann had therefore applied a 2.25% reduction to the 8.75% cap rate that had been his starting point, resulting in an overall capitalization rate for the subject property of 6.5%. Dividing that into the net revenue of $362,000, gave a value, for the four lots on which the motel is situated, of approximately $5.57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Adding the market value of Lot 9 on Leon Avenue, $1.02 million, gave a total value of $6.59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a check on the result of his Income Approach analysis, Hoffmann had also estimated the market value of the lots if sold as bare land. Given the quantity of available sales data for properties with comparable zoning, he chose the Direct Comparison method for this purpose. He considered sales data relating to ten other comparable "index" commercial properties in Kelowna. The most appropriate two comparators - including one parcel immediately adjacent to the subject property, "Index 1" [Payne's "Index 10"] - which had values per square foot of $200, and $316. In Hoffmann's judgment, the appropriate square footage value to be applied to the subject motel lots was $220. At 24,000 sq. ft., this would give a value of $5,280,000; adding in the fifth lot, at a value of $170, yielded a total value of the bare land, under the Direct Comparison approach, of $6.3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Since the motel would continue to contribute to market value of the motel lots in excess of their underlying land value, he had believed that the Income Approach was more appropriate than Direct Comparison, for the property as a whole, and therefore concluded that $6.59 million was the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noted above, this was a draft report. After discussions with Paprotka, Hoffmann re-evaluated the cap rate and decided to lower it from 6.5% to 6.0%. His final opinion was that the four motel lots had a value of $6,030,000 using the Income Approach. For the Direct Comparison, he increased the square footage value from $220 to $250, giving a value of $6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For all five lots, the Income Approach and Direct Comparison Approach figures in his final report were, respectively, $7,050,000 and $7,020,000. His conclusion that the Income Approach was preferable did not change, and he therefore settled on a final opinion as to the market value of the subject property in the amount of $7,050,000 as of September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plaintiffs called Hoffmann to give evidence as to the property's value as of April 2008. On October 27, 2010, the plaintiffs' counsel had written to Hoffman, asking for his assistance in determining the fair market value as of the date of acquisition. He remarked: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that the fair market value was in your opinion approximately the same as it was on Sept. 17, 2008, or it might have varied somewhat.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don't need a full-blown appraisal, but rather a letter report, giving us your opinion as to value as of April 30, 2008, intending to be read in conjunction with the Sept. 17, 2008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Six days later, on November 2, 2010, Hoffmann provided his reply in the form of a short email message. In it, he noted statistics for the residential real estate market that showed declines in the dollar sales volume and number of units sold commencing in May 2008. He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commercial market, activity was robust in 2007, but was also showing signs of a slow down in 2008 in regard to sales volumes and number of sales. However, it is difficult to conclusively state that commercial values were also declining, if at all, between May 2008 and august 2008 given the dearth of empirical data. To my recollection, we had not yet started to downward adjust commercial values during this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recall, the global financial crisis had begun in September 2008. At the date of the appraisal, September 17, 2008, it was still too early to fully comprehend the scope of the financial and economic crisis and its measurable impact on the real estate market and economy.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I cannot conclude as of September 17, 2008 that the market value would have changed, if at all, between April 30, 2008 and the valuation date, September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To bring the form of his opinion into compliance with the requirements of the Rules of Court, Hoffmann provided a follow-up letter dated December 22, 2010, in which he stated his qualifications and confirmed his understanding of his duty to assist the Court. With respect to his factual assumptions and research, he stated that most of the factual assumptions, research, and documents relied on by him were set out in the appraisal, and that in addition he had reviewed "various media articles" to assist him in rendering his further opinion. He referred to this in cross-examination as "research"; it was not described in any detail. It is apparent from the content of the November 2 email that he also reviewed MLS data as to residential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cross-examination of Hoffmann revealed significant weaknesses in Hoffmann's application of his September 2008 cap rate analysis to the question of the property's value early in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noted above, Hoffmann's September 2008 opinion as to the highest and best use of the property had been based, in part, on his knowledge of the real estate market having showed signs of slowing in the spring and summer of 2008. He had information available to him in September 2008 indicating that the market for condominiums was already oversupplied. Because of economic conditions, a developer purchasing the property at that time might hold on to the land and operate the motel for a period of up to 3 to 5 years. On this basis he believed, as a matter of professional judgment, that employing a cap rate of 6.0% - a "hybrid" of the range of cap rates for downtown commercial properties being held for redevelopment - 4.5% to 4.8% - and the range for motels in the Thompson-Okanagan region - 8.5% to 9.5% - was justifiable. However, he conceded that an appraiser conducting a valuation in early 2008 [i.e. for an intended sale in April 2008] would not have had access to the same market data, and may have reached a different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sales prices for the four downtown properties Hoffmann had used as comparators to derive the cap rate, for his Income Approach analysis, reflected cap rates in the range of 4.5% to 4.8%. If a developer intending to purchase the subject property in the spring of 2008 had not anticipated a lengthy period of holding the land and continuing to operate the motel - as was the case with this project - there was nothing in Hoffmann's evidence that persuaded me it would have been unreasonable to utilize a cap rate as low as 4.8%. Given the motel's net revenue of $362,000, the value of the four motel lots at that cap rate would have been $7.54 million; adding in the value of the fifth lot ($1,020,000) would give a total of $8.56 million, i.e. slightly more than the limited partnership paid for this property, including the finder's fee. Utilizing a cap rate of 4.5%, the total value would have been more than $9 million. In either case, the $8.5 million valuation of the property, on which Paprotka's $2 million profit was based, would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With respect to the Direct Comparison approach, Hoffmann agreed that the value per square foot he assigned to the subject property was a judgment call. He conceded that the subject property is unique, and that it had been difficult to find appropriate comparable sales. He had arbitrarily decided on a square footage value of $250 - between the $200 value of the "Index 5" property, and the $316.67 value of "Index 1". He agreed that the fewer direct comparables one has to work with, the less precise one can be. The "Index 1" site was adjacent, and was the more comparable property with respect to location. Some downward adjustment from $316.67 was necessary, he testified, because the Index 1 location is a smaller, single lot, and the market tends to value smaller lots more highly, per unit. He chose a midpoint, less than half-way between those two Index locations' values. Nothing in Hoffmann's evidence persuaded me that a valuation based on a higher square footage value, between $250 and $316 - the approach taken by Payne - would have been unrealistic. A square footage value of $285 for the four motel lots alone, for example, would have yielded a Direct Comparison value for the five lots of the property as a whole, of $7.86 million, considerably more than the $7.02 million figure he had arrived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Further, Hoffmann's approach of applying a lower square footage value to the parking lot, "Lot 9", meant that the lots were being treated by him as non-contiguous. Nothing in Hoffmann's analysis persuades me that it would have been improper for an analysis to be conducted in January 2008 on the assumption that the lots would be assembled contiguously.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one sense, Hoffmann was asked the wrong question. The opinion which plaintiffs' counsel sought from him was the fair market value of the property as of April 30, 2008. That was the opinion he produced, and it was very much based on a retrospective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 more relevant question, with respect, would have been to ask what an appraiser would have valued the land at in January 2008, in respect of a transaction planned to close on April 30, 2008. But even that question would miss the point that Embury and Paprotka were not under any legal obligation to negotiate a purchase price equivalent to an appraised value. They negotiated the price of $8.5 million at arm's length, presumably drawing on their own expertise, impressions, and expectations. The inherently conservative approaches to valuation utilized by an appraiser may very well be significant considerations when any sophisticated investor considers the price at which they are willing to buy or sell land. In the present case, Embury did have an appraisal conducted, and retained Payne for that purpose. But other considerations, including an investor's tolerance for risk, might also play a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 more pertinent question to ask of Hoffmann, in my view, would have been whether he was able to say as a matter of professional opinion that a purchase price of $8.5 million, based in part on Payne's appraisal of $8.25 million, was so clearly excessive that no reasonable developer would have agreed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Hoffmann's report does not answer that question, and provides me with no basis for drawing any adverse conclusions as to the reasonableness of the price negotiated by Embury and Paprotka in January 2008. His evidence, I find, does not assist the plaintiffs in establishing that the $8.5 million paid by the limited partnership for the property in April 2008 (inclusive of the $2 million finder's fee) was more than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plaintiffs submit that no credit should be given to Paprotka or Embury for having relied upon the Payne appraisal, which had given an estimated value of $8.25 million as of January 28, 2008. Throughout their argument, the plaintiffs continually referred to the Payne appraisal as having generated a "hypothetical" value, based on assumptions that Payne was told to make: an assumption as to the lots being assembled contiguously, including the back lane, and an assumption as to the rezoning. They say this "hypothetical" value is to be distinguished from the "real" value given by Hoffmann.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But this characterization of Payne's valuation ignores the question of what probability the market attached to the assumptions made by Payne. If those assumptions were assigned a very high probability by knowledgeable real estate investors at the time - if the "hypotheticals" were effectively treated as certainties, or near-certainties - then Payne's "hypothetical" value would correspond with, or come very close to corresponding to, the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This was the rationale for the assumptions that Payne laid out in his report. Payne believed the market viewed rezoning as likely, and was of the opinion that if rezoning occurred the city would likely sell the back lane to further its plan for higher density. Those facts have not been proven and Payne's appraisal is not in evidence for the truth of its opinion. But it is not enough for the plaintiffs to simply label Payne's assumptions as hypotheticals. The burden of proving converse assumptions lies with the plaintiffs. Hoffmann's report falls far short of persuading me that a valuation based on those assumptions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short, I find nothing untoward in the Share Purchase Transaction having completed at a price to the partnership of $8.5 million. The plaintiffs got what they bargained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Having made this finding, the plaintiffs' other arguments objecting to Paprotka's conduct can be quickly disposed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 find that no fiduciary duty was owed by Paprotka to the plaintiffs when the $8.5 million figure was negotiated, nor when the Term Sheet was being drafted, nor when the limited partnership units were being sold. Promoters of investments do not owe a fiduciary duty to potential investors: </w:t>
      </w:r>
      <w:r>
        <w:rPr>
          <w:rFonts w:ascii="arial" w:eastAsia="arial" w:hAnsi="arial" w:cs="arial"/>
          <w:i/>
          <w:color w:val="000000"/>
          <w:sz w:val="20"/>
          <w:lang w:val="en-US" w:eastAsia="en-US" w:bidi="ar-SA"/>
        </w:rPr>
        <w:t>Sharbern Holdings Inc. v. Vancouver Airport Centre Ltd.</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2011 SCC 23</w:t>
        </w:r>
      </w:hyperlink>
      <w:r>
        <w:rPr>
          <w:rFonts w:ascii="arial" w:eastAsia="arial" w:hAnsi="arial" w:cs="arial"/>
          <w:color w:val="000000"/>
          <w:sz w:val="20"/>
          <w:lang w:val="en-US" w:eastAsia="en-US" w:bidi="ar-SA"/>
        </w:rPr>
        <w:t xml:space="preserve"> at paras. 144 to 146. If the plaintiffs have any claim respecting the adequacy of disclosure at the time they decided to invest, it lies not in breach of fiduciary duty, but in misrepresentation, and misrepresentation is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Further, in my view no issue can properly be taken with the disclosure of the finder's fee in the Term Sheet in any event. The figure of $2 million was not stated, and the phrase "finder's fee" arguably brings to mind smaller percentages, such as one might find being charged as a commission or service fee. But I find the disclosure to have been appropriate for a transaction that was supposed to involve only sophisticated investors. Many of the plaintiffs expressed, in their testimony, dissatisfaction with the size of the finder's fee. Their views, of course, have been coloured by subsequent events. The essential point which any reasonable investor would have wanted to be assured of was that the property was worth its price. So long as the finder's fee, in the words of the Term Sheet, reflected the equity in the land, a sophisticated investor, acting reasonably, would have been indifferent as to whether $2 million of the purchase price was to go to the developer and $6.5 million to the vendor, as opposed to the whole $8.5 million going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With respect to the $10.00 assignment used during the course of the Share Purchase Transaction, the plaintiffs say that this is evidence of a pattern of deceitful behaviour on the part of Paprotka, aimed at hiding the reality of his $2 million profit from any interested party. I do not draw any such inference from the circumstances, as detailed above. Paprotka was initially anxious that the documents record the true value of the consideration paid for the assignment. The suggestion that different pre- and post-closing assignments could be prepared originated with Bright. Whatever the propriety of the disclosure to the Vendors, I find it has no bearing on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With respect to the 118 Mortgage, the plaintiffs argue that the main remedy sought by them is "to make Paprotka stick to the terms of" his March 6, 2008 email to Embury, in which he stated that the 118 Mortgage would be registered behind the interests of the limited partners and any required bank financing. I note that by the time this statement was made, approximately $2.6 million had already been raised. No legal theory is advanced as to how this statement, made in an email to Embury, could bind Paprotka or give rise to a cause of action on the part of the investors. This statement was made in the course of discussions within the general partner as to how to handle the consequences of a shortfall in capital at the time of closing. Even if the statement had contractual force - which I do not accept was the case here - it would have been open to Paprotka and Embury to renegotiate that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Paprotka testified that his March 6 email was a mistake, and that what he intended was only that the 118 Mortgage be subsidiary to the investors' entitlement to cash flow, i.e. to their share of net income. I do not accept that explanation. Paprotka's email to Embury of March 3 spoke specifically of the investor's principal and "interest" having priority. His subsequent emails to Bright of April 27 and 29 made no reference to investor income having the only priority. I find that these messages and instructions from Paprotka were simply made without him contemplating the possibility of no further investment monies being raised to pay out 118. I find that the probable explanation for his decision to instruct Gowlings on May 14 to register the 118 Mortgage as a second charge, behind only Reliant, was his growing sense of unease as to Strategic West's ability to deliver on its promises. His apprehension is understandable, and he was, I find, entitled to act to protect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complain that at that point, prior to closing: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consideration by 118 of a reduction of the finder's fee. There is no thought of the impact of registering two mortgages on the expectation of the investors of receiving distributions. Every concern is linked to closing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investors had agreed to participate as limited partners, (i.e. with no managerial control being exercised by them in return for obtaining limited liability), in a project in which the general partner was granted wide authority to do what was necessary to achieve the purposes of the business - under s. 2.2 of the LPA, to "own, operate, develop, sell, subdivide or lease portions of the development". The general partner was granted broad powers under Section 6.1 and 6.2 of the LPA. The list of powers set out in the subsections to Section 6.2 are descriptive only, and do not derogate from the general partner's wide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Paprotka was under no obligation to renegotiate the finder's fee; it had been agreed to in arm's-length negotiations with Embury. $8.5 million had been agreed as the purchase price, and the plaintiffs have not persuaded me that this was not fair market value. The limited partnership was formed for the purpose of acquiring an assignment of the Share Purchase Agreement at a price of $2 million, and then completing the Share Purchase for $6.5 million. If $8.5 million was a fair price for the property, $2 million was a fair fee, and there is no evidence that Paprotka was ever willing to accept less than $2 million for the assignment of 118's right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acquisition of the property - the first, fundamental step in the development the investors all wished to participate in - would not have gone ahead without the finder's fee being paid, or being acknowledged as payable. The general partner's first obligation was to ensure that the project did complete as planned. I cannot understand how a focus on closing the transaction could be viewed as objectionable.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Nothing, in my view, turns on the fact that Paprotka was both principal of 118, and a director of the general partner. Even if a person in that position would have owed fiduciary duties to limited partners at common law, in this case the fiduciary duties were circumscribed by Sections 6.5, 6.11 and 6.12 of the LPA. Section 6.5 specifically contemplates transactions between the general partner and affiliates, and provides that such transactions are not affected by such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accept the argument advanced by Paprotka, that the present case is different than a situation in which an affiliate of a general partner is formed for the purpose of locating a property, and a property is then located for the limited partnership. In that situation, a general partner would be obligated to obtain the lowest possible price, in order to benefit the partnership. And any profit to be earned by the general partner or its affiliates, to the detriment of the partnership, would have to be disclosed. But that is not what happened here. And 118's profit was not earned at the detriment of the partnership; it reflected fair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As for the plaintiffs' complaint that registering the mortgages defeated their expectation of receiving distributions, this overlooks the essential point that the investors' only entitlement was to receive a share of net income - that is, income after the payment of debts. SDC was indebted to 118. The debt was legitimate. Paprotka did not agree, and was not obliged to agree, to exchange the debt for equity in the project, nor to postpone payment indefinitely. The investors could have had no expectation of payment of net income until the debt owed 118 was satisfied. The property was purchased for $8.5 million, the plaintiffs have not persuaded me that it was worth any less than $8.5 million, and the partnership, acting through its subsidiaries, was therefore obliged to ensure that the debt was paid, before they could have any expectation of earning a return on the $8.5 million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With the partnership being indebted to 118, it would have been open to SPC on the closing date, if required by Paprotka, to borrow enough money from a third-party financer to pay the finder's fee. If Reliant had been willing to lend as much, SPC could have borrowed $4.7 million from Reliant, and used $2 million to pay 118. Whether any lender would have engaged in such a transaction is beside the point. In that hypothetical situation, the borrowing would have been necessary to complete the property acquisition, and would have clearly been within the "construction or bank financing" that the Term Sheet provided would take priority to any mortgage granted in favour of the limited partnership. 118's priority cannot be impaired by the fact that it took its own mortgage, rather than accepting payment out of funds generated by mortgage-secured bank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To the extent that the SPC Mortgage might have been viewed by investors as providing them with security, I do not agree that registration of the 118 Mortgage ahead of it represented an illegitimate interference with their security. I agree with the argument advanced on behalf of Paprotka and Bright, that s 62 of the Alberta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62(1) A limited partner is not entitled to receive from a general partner or out of the limited partnership property any part of the limited partner's contribution until</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liabilities of the limited partnership, except liabilities to general partners and to limited partners on account of their contributions, have been paid or there remains sufficient limited partnership property to pay them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investors had no legal right to have their investment secured in priority to the payment of the partnership's liabilities. The general partner was entitled to offer security to its creditor, 118, and Paprotka, as 118's principal, was entitled to accept that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Furthermore, the SDC Mortgage secured a loan of $8.5 million; it contemplated a loan to SOC of sufficient monies for SOC to pay for 118's assignment. It contemplated SOC's indebtedness to 118. That SDC Mortgage cannot therefore take priority to the 118 Mortgage, which is founded on that indebtedness.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plaintiffs submit that it would have been more reasonable for the venture to have provided for a payment of a finder's fee to Paprotka: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after distributions are paid, as the entitlement to a finder's fee would be based on having created value, as opposed to simply a risky plan for a development that amounted to nothing. A high fee should be linked to something of value. The ownership of the Property provided nothing of value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Aside from failing to account for why no steps have been taken to proceed with development, and aside from judging the merits of the investment in hindsight - as if Paprotka and Embury could have foreseen the collapse of capital markets in 2008 - this submission misses the point that the deal described is not the deal the plaintiffs signed on for. The project was undeniably risky. I repeat the disclosure of the risk found in the Term Sheet: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Offering is suitable only to those investors who are willing to rely solely on the management of the Partnership and the General Partner and to risk a total loss of their entire investment. The Partnership does not currently have any assets, the investment in the units is speculative and involves a high degree of risk and there are certain risks inherent in any real estate based investment. This is a risk investment - there are no guarantees that the investment amounts will be repaid, or that the investment will yield any return. The reward for accepting these potential risks is the potential for the rate of return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manifestation of those risks is not due to any breach of duty on the part of Paprotka.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Wallman v. John Doe, [2012] B.C.J. No. 2568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P.M. Willcock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M084600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A. Wallman, Plaintiff, and John Doe, Jack Doe Company Ltd., Insurance Corporation of British Columbia, Rajinder S. Gill, British Columbia Transit, Resort Municipality of Whistler, and Whistler Transit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7" w:name="Keywords_8"/>
      <w:bookmarkEnd w:id="57"/>
      <w:r>
        <w:rPr>
          <w:rFonts w:ascii="arial" w:eastAsia="arial" w:hAnsi="arial" w:cs="arial"/>
          <w:b/>
          <w:color w:val="000000"/>
          <w:sz w:val="20"/>
          <w:lang w:val="en-US" w:eastAsia="en-US" w:bidi="ar-SA"/>
        </w:rPr>
        <w:t>Civil litigation — Civil procedure — Applications and motions — Time requirements — Trials — Jury trials — Jury notice — Setting aside or striking out — Application by plaintiff to extend time to apply to strike jury notice and for order striking notice on grounds issues were complex and would require prolonged examination or scientific investigation that could not be conveniently conducted by jury allowed — Case involved alleged injuries suffered by plaintiff in motor vehicle accident and damages, causation and apportionment issues — Case had sufficiently evolved in complexity to extend time — Careful consideration of scientific evidence was required, which could not be conveniently undertaken by jury — Retention of understanding of expert reports was likely to be overly difficult.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Application by plaintiff to extend time to apply to strike jury notice and for order striking notice on grounds issues were complex and would require prolonged examination or scientific investigation that could not be conveniently conducted by jury allowed — Case involved alleged injuries suffered by plaintiff in motor vehicle accident and damages, causation and apportionment issues — Case had sufficiently evolved in complexity to extend time — Careful consideration of scientific evidence was required, which could not be conveniently undertaken by jury — Retention of understanding of expert reports was likely to be overly difficult.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Difficulty in assessment — Application by plaintiff to extend time to apply to strike jury notice and for order striking notice on grounds issues were complex and would require prolonged examination or scientific investigation that could not be conveniently conducted by jury allowed — Case involved alleged injuries suffered by plaintiff in motor vehicle accident and damages, causation and apportionment issues — Case had sufficiently evolved in complexity to extend time — Careful consideration of scientific evidence was required, which could not be conveniently undertaken by jury — Retention of understanding of expert reports was likely to be overly difficult.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8" w:name="Case Summary_6"/>
            <w:bookmarkEnd w:id="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extend the time to apply to strike a jury notice, and for an order striking the notice on the grounds the issues were complex and would require prolonged examination or scientific investigation that could not be conveniently conducted by a jury. The case involved alleged injuries suffered by the plaintiff in a motor vehicle accident, which the plaintiff maintained left him unable to continue in his former employment as a physician. The first notice of trial by jury had been set in March 2010, but the plaintiff's application to strike the jury was not filed until April 2012. In addition to difficult damages issues, there were causation and apportionment issues. The plaintiff argued the case would involve a prolonged examination and understanding of medical documents and reports of a technical and scientific nature, as well as voluminous and complex income records, and that the combination of issues took the case beyond what ought to be determined by a jury. The defendants argued the right to a jury was a substantive right of which they ought not to be deprived, too much time had elapsed before the application to strike, there had not been a major change in the issues, and that the case was not so complex that a jury was inappropriate.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9" w:name="Holdings of Court_5"/>
            <w:bookmarkEnd w:id="5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case had sufficiently evolved in complexity to exercise the discretion to extend the time within which an application could be brought. No prejudice was likely to be occasioned by the delay in bringing the application. The evidence was not sufficient to establish the case would require a prolonged examination of documents or accounts. The court was not satisfied it would be necessary for the jury to closely examine medical or accounting records, as that would be largely left to experts. However, the issues would require careful consideration of scientific evidence, which could not be conveniently undertaken by a jury. The trier of fact would have to consider evidence going to many issues over a protracted period. The expert reports might have been understood by a jury, but retention of that understanding over several weeks was likely to be so difficult that fruitful analysis at the conclusion might have been impossible. The jury notice was set aside and the trial was to be heard by judge alone.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0" w:name="Legislation Cited_7"/>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Vehicle Act,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12-6, Rule 12-6(5), Rule 12-6(5)(a)(ii), Rule 12-6(5)(a)(iii), Rule 22-4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1" w:name="Counsel_8"/>
      <w:bookmarkEnd w:id="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J.Scott Stanley, Kevin Gourlay.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Alan B. Hudson.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Rajinder S. Gill, British Columbia Transit, Resort Municipality of Whistler and Whistler Transit Ltd.: Michael D. Wilhelmson.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8"/>
      <w:bookmarkEnd w:id="62"/>
      <w:r>
        <w:pict>
          <v:line id="_x0000_s1075"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P.M. WILLCOCK J. (orally)"/>
            <w:bookmarkEnd w:id="63"/>
            <w:r>
              <w:rPr>
                <w:rFonts w:ascii="arial" w:eastAsia="arial" w:hAnsi="arial" w:cs="arial"/>
                <w:b/>
                <w:color w:val="000000"/>
                <w:sz w:val="30"/>
                <w:lang w:val="en-US" w:eastAsia="en-US" w:bidi="ar-SA"/>
              </w:rPr>
              <w:t>P.M. WILLCOCK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for leave to extend the time within which an application may be brought to strike the jury notice and for an order striking the notice in this case on the grounds the issues require the prolonged examination of documents and accounts or a scientific investigation that may not be conveniently conducted by a jury and on the ground the issues are of a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was commenced by writ of summons and statement of claim filed on November 20, 2008. The plaintiff alleges that on December 4, 2006, at the intersection of Lorimer Road and Highway 99 in Whistler, he was unable to advance on a green light because the intersection was blocked by a snowplough that entered the intersection against a red traffic signal. He says the vehicle he was driving was then rear-ended by a bus driven by the defendant Gill. He sues both Gill and the driver of the snowplough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alleges BC Transit, Whistler, and the unidentified owner of the snowplough are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bus and snowplough, respectively. ICBC is named as a nominal defendant pursuant to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an emergency physician by training and was so employed prior to the accident. He claims to have suffered mild traumatic brain injury, generalized imbalance, vertigo, and post-concussion syndrome, among other injuries, as a result of the accident. These are said to have led to impaired sleep, impaired concentration, and impaired short-term memory, all of which are said to have made it impossible for him to continue to work as an emergency room physician and to earn the very substantial income he was earning before the accident. The plaintiff was also involved in investing in real estate and in managing his investments. He claims his management skills are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notice of trial was filed on March 5, 2010. The case was set for trial over 10 days commencing June 6, 2011. A notice requiring trial by jury was filed on March 23, 2010. No application was brought to set aside that notice. The case was adjourned following a trial management conference on April 27, 2011, and reset by notice of trial filed on April 28, 2011, for a trial over 25 days commencing March 26, 2012. A notice requiring trial by jury was filed on May 12, 2011. No application was brought to set aside that notice. The trial was once again adjourned following a further trial management conference. By notice of trial filed on April 17, 2012, the case was set for trial over 35 days commencing November 3, 2013. A further notice of trial by jury was filed on April 19, 2012. An application to strike the jury notice was first filed on April 30, 2012. That is the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refers to the trial briefs filed for the trial management conference in January of 2012 as statements of the issues identified by the parties. The plaintiff at that time identified only issues going to damages: whether the plaintiff suffered a mild traumatic brain injury; the extent of past wage loss (the plaintiff claimed a loss of income as a physician in the range of $300,000 to $400,000 per annum and losses from an inability to generate income from investments); the extent of the future wage loss; special damages; the cost of future care; the value of the tax gross-up of any award; and the management fee. The plaintiff identified 31 witnesses of whom 12 were experts to be called for the plaintiff. The plaintiff anticipated the need to cross-examine 12 defence witnesses of whom many were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Gill and his employers identified the following issues: whether the accident occurred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the alternative, was inevitable as a result of the presence of ice on the road; whether the accident was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identified driver of the plough; whether the plaintiff suffered from pre-existing personality issues; whether the plaintiff suffered from pre-existing chronic back pain or problems in his hands due to a prior motor vehicle accident; whether the forces involved in the collision could have caused a concussion; whether the plaintiff's psychological reaction was due to pre-existing issues or life changes, to the actions of the snowplough, or to the impact of the bus; whether the alleged psychological injuries are recoverable; whether the plaintiff failed to mitigate his damages by failing to follow medical advice; whether the plaintiff suffered an income loss or special damages; and whether he will incur any costs of future care. These defendants intend to call 19 witnesses including 11 experts in medicine and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 ICBC identified the issues as including the liability of Gill and the unidentified driver and, implicitly, apportionment; the failure of the plaintiff to comply with the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which requires reasonable efforts to identify the unknown driver; the quantum of damages; and causation of damages including the role of pre-existing conditions. ICBC intends to call 20 witnesses, most of whom also appear on the other defendants'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material filed on the application includes reports describing the following expert opinion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Riar is a forensic psychiatrist. His report is 13 pages in length. It describes the basis for his opinion that Dr. Wallman suffered generalized anxiety disorder and a major depression, most likely as a result of the stress created by the December 4, 2006, accident. The report is not particularly complex or difficult to understand.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Remick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Remick is a consultant psychiatrist. His seven-page reports sets out the basis for Dr. Remick's conclusion that Dr. Wallman suffered from a post-concussive syndrome otherwise described as a cognitive disorder and possibly an anxiety disorder or depression and the view that he is totally disabled from employment, neither is this report complex or difficult to understand. Notably, however, Dr. Remick places some considerable weight upon the neuropsychological opinion discussed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report of Dr. Ancill, a psychiatrist, is 47 pages in length including appendices. It sets out the basis for the opinion Dr. Wallman suffered from a mild traumatic brain injury, a concussion in the accident, and suffered thereafter from post-concussion syndrome. He attributes depression and anxiety to that injury. It contains Dr. Ancill's response to the opinions of other specialists and outlines his disagreement with those who say that Dr. Wallman suffered no concussion. Dr. Ancill says Dr. Wallman is unlikely to be able to work again as a physician in any capacity. His report is not too complex for a jury to understand. The second report is 18 pages long including appendices. It describes what Dr. Ancill says are persistent symptoms of mild traumatic brain injury. It sets out Dr. Ancill's opinion on the nature, diagnosis, treatment of abulia, which is described as an amotivational syndrome in terms that will pose some difficulty for a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Linde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10-page report of a speech/language pathologist, Shari Linde, on what are described as communication challenges that appear to be cognitive problems on testing. Assessment of this report will require some familiarity with the speech pathologist's expertise, test protocols, and measures of validity. It will not be easy for a jury to weigh.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Kausky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short report of Dr. Kausky, a specialist in sports medicine, sets out the opinion Dr. Wallman is completely disabled by headaches, decreased energy, and inability to concentrate. The report poses no particular difficulty for a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26-page report of Dr. Anton, a specialist in physical medicine and rehabilitation, sets out the opinion that Dr. Wallman suffered a mild traumatic brain injury, possible injury to the vestibular system, and possible injury to the meniscus of the left knee. Dr. Anton says it may be difficult to separate the effects of traumatic brain injury from symptoms of depression and anxiety. Follow-up reports express the opinion Dr. Wallman is disabled and the prospect that pre-existing problems are contributing to his symptoms. An 18-page September 15, 2011, report repeats the earlier opinions and updates the prognosis. These are not particularly difficult or complex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41-page report of Dr. Wilkinson, a neuropsychologist, sets out opinions in a brief and clear manner, but is founded upon a neuropsychological test battery that will be difficult for a jury to assess if there is an issue at trial with respect to the extent or significant of the measured deficits. The tests described on pages 28 to 36 of the report are complex and will be difficult for a jury to weigh.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report of Dr. Teal, a neurologist, is 26 pages in length including appendices. It sets out Dr. Teal's opinion that Dr. Wallman suffered a mild traumatic brain injury, soft tissue injuries, a vestibular concussion leading to vertigo, and a possible meniscal tear. Dr. Teal's evidence with respect to the interpretation of an MRI is complex, but his opinion appears to be founded primarily upon reported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Sexton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report of Brian Sexton, an ophthalmologist, that Dr. Wallman suffers from a convergence and adjustment problems affecting his ability to see close objects as a result of the accident is short and simple. It does not address the complicated causation issues arising from that opinion. While there might be an issue as to its sufficiency, it is not complex or difficult.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Berry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reports of Tracy Berry, an occupational therapist, are long and detailed, but not complex. The reports will require a jury to engage in assessment of a detailed claim for special damages and future cost of care. The opinions in this report will add to the global complexity of the tasks facing the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Hohmann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reports of Joseph Hohmann, vocational consultant, set out the opinion that Dr. Wallman's chances of finding competitive employment are not very good. It is easily understood and weighed by a jury. The tests administered by Mr. Hohmann do not appear to be particularly complex or difficult to understand or weigh.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Peta Consultants report on the present value of the past wage loss claimed amounting to $1.265 million, the loss of income-earning capacity amounting, by some estimates, to $4.983 million, and the future cost of care claimed in the range of $475,000 to $687,000, the relevant multipliers, income tax gross-up, and management fees are complex as they are in any case involving contingencies and multipliers. There is, of course, some prospect that counsel will agree that the jury ought not to consider the tax gross-up or management fees as these awards are routinely deferred for calculation after the principal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Rempel's opinion that collision speeds cannot be accurately estimated without examining materials and vehicles similar to those involved in a collision is neither complex nor difficult to interpret. His response to Mr. Sawa's report is, similarly, unlikely to pose a challenge to a well-instructed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Prout, a neurologist, has written a 20-page report explaining his opinion that Dr. Wallman has no neurological deficits and probably did not suffer a traumatic brain injury. Neither the report nor the appendices are particularly complex.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Smith, a psychiatrist, has written a 38-page report for the defendants. He is of the opinion Dr. Wallman's symptoms are the emotional sequelae of the accident, not the result of a brain injury or concussion and that although the psychological condition has been poorly treated, it was in remission in March 2011. The report contains a detailed chronology of medical treatment, but is not too complex for consideration by a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Brown examined the vehicles involved in the collision and expresses an opinion on the speed change that occurred at the time of the collision, less than five kilometres per hour in his opinion. His report is not of a complex character.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Richards, an engineer, expresses an opinion on the magnitude of head accelerations experienced by Dr. Wallman. He is said to be an expert in kinematics, injury mechanics, and biomechanical engineering. The opinion is expressed in complex technical terms. For example, Mr. Richards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HIC (Head Injury Criterion) calculated by Welch et al. (2010) ranged from 3.9 to 12.4 in the 8 km/h Delta V (velocity change) impacts, which, according to Kuppa et al. (2006) corresponds to a much less than 1% chance of a moderate brain injury defined on the Abbreviated Injury Scale (2005). Kuppa did not estimate the probability of MTBI, however Zhang et al. (2004) defined thresholds for MTBI based on probability of injury. Zhang et al (2004) estimated a 25% probability of MTBI at 66 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review of the studies is followed by the relatively simple conclusion that, "There were no documented cases of a 5 km/h rear-end impact causing a concussion", but that is followed by the explanation: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 in the Welch et al. (2010) study the highest head acceleration across all impact speeds (ie: 8 km/h to 24 km/h Delta V's) was only 31.4 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relatively simple conclusion in this report cannot be accepted or challenged without an understanding of the complex material referred to by the author.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Donald Pohl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Pohl, an engineer, conducted crash tests on the same model Honda as that driven by the plaintiff and the same model bicycle rack as that mounted on the front of the BC Transit bus driven by the defendant Gill. He estimated the speed change at impact as less than three kilometres-per-hour. His report is not of a complex character.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Sawa uses estimates of reaction time, breaking distances, and friction coefficients to draw conclusions with respect to the possibility the accident could have been avoided by Mr. Gill. The report is technical. It will have to be carefully studied by the jury if they are to appreciate its impact and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material establishes that by the time the second jury notice was filed, the plaintiff was aware of the reports of all of the experts other than Drs. Ancill and Sexton, economist Benning, and engineers Pohl and Sawa. Some of the latter reports were from plaintiff's experts and those opinions were presumably available to plaintiff's counsel. Others were obtained to address issues already addressed by other experts and, therefore, issues known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says the case requires a prolonged examination and understanding of medical documents and reports containing terminology and information of a technical and scientific nature. The income records in this case will be voluminous and, because the income of the plaintiff was earned through a private health company. It may be necessary to refer to source documents as well as the accountants' summaries of earnings and tax returns. While individual issues such as the question whether the force of the collision was sufficient to cause an injury are not so intricate or complex as to justify striking the jury, the plaintiff says a combination of the issues that must be addressed take the case beyond that which ought to be determined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top of the difficult damages issues, there are causation and apportionment issues. The plaintiff says that here, as in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2009 BCSC 1042</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essence of the plaintiff's argument is that the complicated and lengthy nature of the trial will be such that a jury would be unable to maintain a high level of appreciation for the case as it evolves, and that there would therefore be a real and substantial danger of an unjust result if the matter proceeds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argue the right to trial by a jury is a substantive right of which they ought not to be deprived except for cogent reasons. They say that more than two years elapsed between the delivery of the first jury notice and the application to strike the jury and a full year between the second jury notice and the application. There has not been any major change in the nature of the issues since the filing of the second jury notice in April 2011 and this application comes on too late in the day. The defendants argue the case is not so complex that a jury is inappropriate. There is said to be no factual or principled basis to deny the defendants their right to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issues to be decided on the case are whether the application may be brought now and, if so, whether the jury notice ought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Rule 12-6 provides a party may require a trial to be heard by a jury by filing and serving a jury notice. Subrule 12-6(5) describes the basis upon which an application may be brought to strike a jury notice:</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on whom a notice under subrule (3) has been served may apply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service for an order that the trial or part of it be heard by the court without a jury on the ground that</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the trial relates to a fast track action or to one of the proceedings referred to in subrule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Rule 22-4 provides that the court may exercise its discretion to extend the time within which this or any application may be brought.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current Rules incorporate the wording and, hence, the jurisprudence developed around the former provisions. The only modification to the Rules in subrule (5)(a)(iii) permits a court to dispense with a jury where one is not warranted by the amount involved in the proceeding. The parties agree that has no application in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extend the time within which the application may be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parties acknowledge that it is the original jury notice that must be considered in determining whether the application to strike the jury is brought in time. Where that time has passed, the judicial discretion to extend time limits afforded in what is now Rule 22-4, formally Rule 3(2), should be exercised where:</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 early stage of the proceedings, the plaintiff formed an intention to strike the jury notice;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such a change in circumstances as to materially alter the character of the proceedings and render them clearly inappropriate for trial by judge and jury;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trial fairness so requires reconsideration of the mode of trial that the lapse of time cannot bar the motion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support of that description of the criteria, I rely on </w:t>
      </w:r>
      <w:r>
        <w:rPr>
          <w:rFonts w:ascii="arial" w:eastAsia="arial" w:hAnsi="arial" w:cs="arial"/>
          <w:i/>
          <w:color w:val="000000"/>
          <w:sz w:val="20"/>
          <w:lang w:val="en-US" w:eastAsia="en-US" w:bidi="ar-SA"/>
        </w:rPr>
        <w:t>Reischer v. Love</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2005 BCSC 1352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Harder v. Nikolov</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2001 BCSC 1101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These criteria permit the jury notice to be set aside where the failure to apply was due to inadvertence, where there was always an intention to apply, where the facts have substantially changed and the applicant cannot fairly be required to have applied earlier, where the interests of justice speak strongly in favour of trial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case law does not expressly describe an obligation to bring an application to strike a jury promptly on becoming aware the issues have become complex. It seems rational, however, in my opinion, to consider any delay in bringing the application as a factor in granting or refusing leave to extend the time within which the application may be brought. The Rule requires early application to strike a jury so as to ensure the parties do not long labour under a false impression with respect to the mode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the court held the plaintiff could not have been aware of all the circumstances in relation to the combined actions dealing with her motor vehicle accidents at the time the original jury notice was filed. A significant change in circumstances had occurred. The trial would be significantly longer and would involve complex legal issues related to causation in the context of two accidents that occurred a decade apart. This was held to be a sufficient change to the character of the proceedings so as to warrant consideration of the plaintiff's application to strike the jury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Substantive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trial by judge and jury is a presumptive right, affirmed by the Court of Appeal in </w:t>
      </w:r>
      <w:r>
        <w:rPr>
          <w:rFonts w:ascii="arial" w:eastAsia="arial" w:hAnsi="arial" w:cs="arial"/>
          <w:i/>
          <w:color w:val="000000"/>
          <w:sz w:val="20"/>
          <w:lang w:val="en-US" w:eastAsia="en-US" w:bidi="ar-SA"/>
        </w:rPr>
        <w:t>Cochrane v. Insurance Corp. of British Columbia</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2005 BCCA 399</w:t>
        </w:r>
      </w:hyperlink>
      <w:r>
        <w:rPr>
          <w:rFonts w:ascii="arial" w:eastAsia="arial" w:hAnsi="arial" w:cs="arial"/>
          <w:color w:val="000000"/>
          <w:sz w:val="20"/>
          <w:lang w:val="en-US" w:eastAsia="en-US" w:bidi="ar-SA"/>
        </w:rPr>
        <w:t>. It is only where the applicant opposing the jury trial has satisfied one or more of the exceptions set out in what is now Rule 12-6(5) that the jury notice may be struck. To review the Rule, 12-6(5) permits a judge to strike the jury notice where the applicant has established: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a prolonged examination of documents that cannot be made conveniently with a 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a prolonged examination of accounts that cannot be made conveniently with a 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a scientific investigation that cannot be made conveniently by a jury;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fact the materials in evidence are lengthy does not necessarily mean that a prolonged examination of them is required. The common experience is that in most cases, hospital, medical, or accounting records, having been made an exhibit, play very little role in the proceedings. That was a finding of the Chief Justice in </w:t>
      </w:r>
      <w:r>
        <w:rPr>
          <w:rFonts w:ascii="arial" w:eastAsia="arial" w:hAnsi="arial" w:cs="arial"/>
          <w:i/>
          <w:color w:val="000000"/>
          <w:sz w:val="20"/>
          <w:lang w:val="en-US" w:eastAsia="en-US" w:bidi="ar-SA"/>
        </w:rPr>
        <w:t>Wipfli (Guardian ad litem of) v. Britten</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(1981), 32 B.C.L.R. 343</w:t>
        </w:r>
      </w:hyperlink>
      <w:r>
        <w:rPr>
          <w:rFonts w:ascii="arial" w:eastAsia="arial" w:hAnsi="arial" w:cs="arial"/>
          <w:color w:val="000000"/>
          <w:sz w:val="20"/>
          <w:lang w:val="en-US" w:eastAsia="en-US" w:bidi="ar-SA"/>
        </w:rPr>
        <w:t xml:space="preserve"> (S.C.). To determine whether a prolonged examination will be required by the trier of fact, the court must consider carefully what the evidence will actually be: </w:t>
      </w:r>
      <w:r>
        <w:rPr>
          <w:rFonts w:ascii="arial" w:eastAsia="arial" w:hAnsi="arial" w:cs="arial"/>
          <w:i/>
          <w:color w:val="000000"/>
          <w:sz w:val="20"/>
          <w:lang w:val="en-US" w:eastAsia="en-US" w:bidi="ar-SA"/>
        </w:rPr>
        <w:t>Guichon v. Johnston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[1998] B.C.J. No. 2643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a prolonged examination or scientific investigation will be necessary, the court must then turn to the second part of the test: whether or not that examination can be made conveniently with a jury. The test is not whether the examination can possibly be effected by a jury. It incorporates the concept of convenience. Convenience in this context includes the ability of a jury to both understand evidence and retain that understanding such that a fruitful analysis will be possible by the end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ground for striking a jury notice in Rule 12-6(5)(a)(ii) requires the court to consider whether the issues are of intricate or complex character. The combination of many issues may make them sufficiently complex that the matter should be tried without a jury: </w:t>
      </w:r>
      <w:r>
        <w:rPr>
          <w:rFonts w:ascii="arial" w:eastAsia="arial" w:hAnsi="arial" w:cs="arial"/>
          <w:i/>
          <w:color w:val="000000"/>
          <w:sz w:val="20"/>
          <w:lang w:val="en-US" w:eastAsia="en-US" w:bidi="ar-SA"/>
        </w:rPr>
        <w:t>Yewdale v. Insurance Corp. of British Columbia</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(1994), 1 B.C.L.R. (3d) 278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anticipated length of the trial is a factor that may be considered, but is not determinative. In </w:t>
      </w:r>
      <w:r>
        <w:rPr>
          <w:rFonts w:ascii="arial" w:eastAsia="arial" w:hAnsi="arial" w:cs="arial"/>
          <w:i/>
          <w:color w:val="000000"/>
          <w:sz w:val="20"/>
          <w:lang w:val="en-US" w:eastAsia="en-US" w:bidi="ar-SA"/>
        </w:rPr>
        <w:t>Aberdeen v. Langley (Township of) et al.</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2006 BCSC 1980</w:t>
        </w:r>
      </w:hyperlink>
      <w:r>
        <w:rPr>
          <w:rFonts w:ascii="arial" w:eastAsia="arial" w:hAnsi="arial" w:cs="arial"/>
          <w:color w:val="000000"/>
          <w:sz w:val="20"/>
          <w:lang w:val="en-US" w:eastAsia="en-US" w:bidi="ar-SA"/>
        </w:rPr>
        <w:t>, for example, a motor vehicle accident claim with many liability and damages issues set for trial over 25 days was allowed to be heard by a jury. Mr. Justice Groves in that case held at paras. 15-16: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the damages, the most significant issue on damages in my view, and this is again as suggested by counsel for the plaintiff and not seriously disputed, the amount which Mr. Aberdeen should receive for his cost of future care. Clearly Mr. Aberdeen, in regards to non-pecuniary loss, something that juries often have to grapple with, is someone who would likely fall within the upper limits of damages for pain and suffering. The cost of future care issue may be a large dollar item but is not a complex issue, in my view. The jury will be asked to assess the non-pecuniary loss of future income, special damages, an in-trust claim and the claim for cost of future care, but none of these are of such a complex nature that juries are not required regularly in British Columbia to make determinations on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sufficiently complex case, nor are the issues so complex that a jury properly instructed cannot in fact make the determination that juries for many years have been required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another personal injury case arising out of a motor vehicle accident set for trial for 25 days,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Madam Justice Bruce held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onus rests with the applicant to demonstrate, if there will be a need for prolonged examination of documentary evidence, that it is inconvenient for the jury to do so in this particular case. As the court said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the mere fact that there will be a need for a prolonged examination of documents does not automatically lead to a conclusion that it will be "inconvenient" for a jury to do so. The question is whether a jury can be made to understand the evidence and to retain this understanding until the end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xml:space="preserve">, Madam Justice Arnold-Bailey appeared to have given significant weight to the estimated length of the trial, 35 days in that case, significantly longer than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where the trial was set for 15 days, or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Cliff</w:t>
      </w:r>
      <w:r>
        <w:rPr>
          <w:rFonts w:ascii="arial" w:eastAsia="arial" w:hAnsi="arial" w:cs="arial"/>
          <w:color w:val="000000"/>
          <w:sz w:val="20"/>
          <w:lang w:val="en-US" w:eastAsia="en-US" w:bidi="ar-SA"/>
        </w:rPr>
        <w:t xml:space="preserve"> in which cases the trials were set for 25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fine line between cases that can be heard by civil juries and those regarded as too complex or requiring scientific investigations that cannot be conveniently conducted is drawn in the narrow space between the decisions of this court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the plaintiff had been involved in a series of motor vehicle accidents, two of which gave rise to the proceedings to be heard by the jury. The plaintiff claimed the first caused concussion, a head injury, loss of consciousness, soft-tissue injuries, shock, nervous upset, and emotional trauma, all leading to a loss of past and future income-earning ability. The second accident occurred three-and-a-half years later. It was said to have caused flexion/extension injury and pain causing headaches, sleep deprivation, and causing or contributing to the loss of past and future income. Liability was an issue. The trial, as I have noted, was set for 15 days. The contentious issues included causation,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 assessment of physical and psychological injury, pre-existing causes, economic loss, and the credibility of the plaintiff. The plaintiff described the issues as so intricate or complex that a jury would find them difficult to understand. The evidence included voluminous hospital records, 500 scan images, seven or eight medical-legal reports, vocational, engineering, and economic reports, and the testimony of most experts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At para. 54 of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the court declined to strike the jury notice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consideration of the pleadings, the expert reports filed in connection with these applications and counsels' submissions, I am not persuaded that the issues cannot "conveniently" be determined by a jury, or that the issues are of such an intricate or complex character that the defendants should be denied that right. Rather, l am satisfied that although the issues are somewhat intricate and complex the examination of the documentary evidence and consideration of the expert testimony to be led in connection with the nature, extent and cause of the plaintiff's alleged injuries can, with proper direction,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found that a jury would be sophisticated enough, with the assistance of counsel and the judge, to comprehend the evidence, retain an understanding of it, and apply it in analysis.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Madam Justice Arnold-Bailey held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point to be drawn from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is clear: juries in this province are held to be informed and intelligent and capable of assessing expert evidence where it is properly presented. In other words, the threshold for determining whether a prolonged examination of documents or a scientific investigation is necessary and whether it can be conveniently done by a jury ... or whether the issues are of a complex or intricate nature ... is relatively high even in the context of a long trial with many difficult legal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case considered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xml:space="preserve"> was described in para. 45 of the judgment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present case, a great volume, primarily of medical records, but also accounting records, will be submitted into evidence. This will likely be comprised of several thousands of pages and the specific nature of these records will indeed involve a prolonged examination. They go far beyond the category of hospital records and procedure manuals that McEachern C.J.B.C. referred to in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The medical evidence will stem from the 20 medical/legal reports to date, with perhaps a half dozen or more to come, and, at a minimum, 22 or 23 expert witnesses. Among the physicians and medical specialists are neurologists, thoracic surgeons with a special expertise in thoracic outlet syndrome, rheumatologists, orthopaedic surgeons (including ones with special expertise in shoulders), chronic pain specialists, psychiatrists and physiatrists. Other experts include psychologists, kinesiologists, chiropractors, vocational counsellors, and functional capacity evaluators. A review of the medical/legal reports filed to date indicates a considerable range of opinions, amongst the medical specialists in particular, as to the correct diagnosis, and the extent of and preferred treatment options for the various injuries and conditions that the plaintiff claims arose from the first accident, and then were exacerbated and augmented by injuries sustained in the second accident. There is no question in my view that the nature of the examination that must be carried out by the trier of fact of these documents, reports and accounts may not be done "conveniently" by a jury, attributing to that word its proper legal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legal issues in that case were also described as very complex. At para. 50,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 legal issues presented by this case are likely to be exceedingly complicated. I agree with the submission made on behalf of the plaintiff that the law related to the issue of causation in this case, including the interjection of the defence of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is very complex even for those trained in law. Assessing the quantum of damages under the various heads claimed and apportioning damages as between the two sets of defendants is likely to be an exceedingly difficult and complex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For those reasons, the jury notice was set aside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Timing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will have leave to apply to strike the jury notice. There has been sufficient evolution of the complexity of the case to justify the exercise of the discretion described in Rule 22-4 to extend the time within which the application may be brought. While the application could have been brought earlier, the trial is still far off. The parties could not point to any measure having been taken because the trial would be heard by judge and jury that would not otherwise have been taken. No prejudice is likely to be occasioned by the delay from April 2011 to April 2012 in bringing on this application. Once it is established there has been a significant change in the complexity of the case after the expiry of the time for bringing the application, as a rule, delay in bringing on the application to strike the jury is but one factor to consider on the application, but it is not fatal.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Substantive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my view, the evidence is not sufficient to establish this case will require a prolonged examination of documents or accounts. For reasons set out in </w:t>
      </w:r>
      <w:r>
        <w:rPr>
          <w:rFonts w:ascii="arial" w:eastAsia="arial" w:hAnsi="arial" w:cs="arial"/>
          <w:i/>
          <w:color w:val="000000"/>
          <w:sz w:val="20"/>
          <w:lang w:val="en-US" w:eastAsia="en-US" w:bidi="ar-SA"/>
        </w:rPr>
        <w:t>Wipfli v. Britten</w:t>
      </w:r>
      <w:r>
        <w:rPr>
          <w:rFonts w:ascii="arial" w:eastAsia="arial" w:hAnsi="arial" w:cs="arial"/>
          <w:color w:val="000000"/>
          <w:sz w:val="20"/>
          <w:lang w:val="en-US" w:eastAsia="en-US" w:bidi="ar-SA"/>
        </w:rPr>
        <w:t>, I am not satisfied it will be necessary for the jury in this case to pore over either medical or accounting records. That task here, as in many personal injury cases, even complex ones, is likely to be left largely to experts. Certain evidence is of an intricate and complex character, namely, neuropsychological evidence, the evidence of the significance of the MRI, the detailed evidence with respect to care needs, the relevant multipliers, contingencies, income tax gross-ups, and management fees, and the biomechanical evidence. Such evidence alone in other cases has been held not to be so complex as to deprive the litigant of the presumptive right to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issues will also require careful consideration of scientific evidence by the jury. In my view, that scientific investigation cannot conveniently be undertaken by a jury. The trier of fact in this case, as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will have to consider evidence going to many issues over a protracted period. It may be necessary to retain fine detail from the examination in chief and cross-examination of many witnesses on multiple issues for weeks before those issues are traversed by defence witnesses. Considered on their own, most, but not all, of the expert reports in this case may be understood by a jury in light of the full examination in chief and cross-examination of the experts, but retention of that understanding over several weeks is likely to be so difficult, in my view, that fruitful analysis at the end of the day may be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jury notice will, therefore, be set aside and there will be an order that the trial of this case will be heard by judge alone.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Wong v. Marriott International Inc., [2020] B.C.J. No. 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MacDonald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25-26,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S1813846, S1813823, S190401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Kenneth Wong, Michael Barry James, and Poonam Bhinder, Plaintiff, and Marriott International, Inc., Luxury Hotels International of Canada, ULC dba Marriott Hotels of Canada, Starwood Hotels &amp; Resorts Worldwide, LLC, and Starwood Canada ULC, Defendants And between Sheila Sache, Plaintiff, and Marriott International, Inc., and Starwood Hotels &amp; Resorts Worldwide, LLC, Defendants And between Kevin Krygier, Plaintiff, and Marriott International, Inc., Luxury Hotels International of Canada, and Starwood Canada ULC,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4" w:name="Keywords_9"/>
      <w:bookmarkEnd w:id="64"/>
      <w:r>
        <w:rPr>
          <w:rFonts w:ascii="arial" w:eastAsia="arial" w:hAnsi="arial" w:cs="arial"/>
          <w:b/>
          <w:color w:val="000000"/>
          <w:sz w:val="20"/>
          <w:lang w:val="en-US" w:eastAsia="en-US" w:bidi="ar-SA"/>
        </w:rPr>
        <w:t>Civil litigation — Civil procedure — Actions — Commencement of — Avoidance of multiplicity of proceedings — Parties — Class or representative actions — Class counsel — Procedure — Stay of action due to parallel proceeding — Application by Wong seeking carriage of regional class action regarding defendants' data breach dismissed — In 2018, defendants publicly acknowledged unauthorized access to private, personal and financial information of individuals from its guest reservation database — Three overlapping actions sought carriage of class proceeding in British Columbia — Krygier action, as national action, was most likely to advance interests of class members, provide fairness to defendants and promote access to justice, behaviour modification and judicial economy.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Parties — Representative or class actions — Application by Wong seeking carriage of regional class action regarding defendants' data breach dismissed — In 2018, defendants publicly acknowledged unauthorized access to private, personal and financial information of individuals from its guest reservation database — Three overlapping actions sought carriage of class proceeding in British Columbia — Krygier action, as national action, was most likely to advance interests of class members, provide fairness to defendants and promote access to justice, behaviour modification and judicial economy.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5" w:name="Case Summary_7"/>
            <w:bookmarkEnd w:id="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Wong seeking carriage of a regional class action regarding the defendants' data breach. In 2018, the defendants publicly acknowledged unauthorized access to the private, personal and financial information of individuals from its guest reservation database. Approximately 500 million guests were affected globally. Three overlapping actions sought carriage of the class proceeding in British Columbia. The Wong action and the Sache action proposed a provincial class, while the Krygier action proposed a national class, excluding Quebec. Counsel in the Krygier action had carriage of a regional class proceeding filed in Nova Scotia but had not been granted carriage in Ontario. The contingency fee in the Wong action, which involved a consortium of law firms, ranged from three to 25 per cent. The Sache action had a 15 per cent contingency fee and the Krygier action had a 33 per cent contingency fee. Krygier counsel undertook to reduce its contingency fee to 25 per cent.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6" w:name="Holdings of Court_6"/>
            <w:bookmarkEnd w:id="6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lack of a clear mechanism to address conflicts between counsel weighed against the Wong action. The class definition in the Wong action did not bear a rational relationship to the common issues of all class members. There were insufficient regional differences in British Columbia to permit a British Columbian class to proceed as a standalone action. Having a parallel action in British Columbia did not promote judicial economy and could lead to inconsistent outcomes. The Krygier action, as a national action, was the most likely to advance the interests of the class members, provide fairness to the defendants and promote access to justice, behaviour modification and judicial economy. The Wong action and Sache action were stayed.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7" w:name="Legislation Cited_8"/>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8"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73" w:history="1">
        <w:r>
          <w:rPr>
            <w:rFonts w:ascii="arial" w:eastAsia="arial" w:hAnsi="arial" w:cs="arial"/>
            <w:i/>
            <w:color w:val="0077CC"/>
            <w:sz w:val="20"/>
            <w:u w:val="single"/>
            <w:shd w:val="clear" w:color="auto" w:fill="FFFFFF"/>
            <w:lang w:val="en-US" w:eastAsia="en-US" w:bidi="ar-SA"/>
          </w:rPr>
          <w:t>R.S.B.C. 1996, c. 50, s. 12</w:t>
        </w:r>
      </w:hyperlink>
      <w:r>
        <w:rPr>
          <w:rFonts w:ascii="arial" w:eastAsia="arial" w:hAnsi="arial" w:cs="arial"/>
          <w:color w:val="000000"/>
          <w:sz w:val="20"/>
          <w:lang w:val="en-US" w:eastAsia="en-US" w:bidi="ar-SA"/>
        </w:rPr>
        <w:t>, s. 13, s.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1992, </w:t>
      </w:r>
      <w:hyperlink r:id="rId174" w:history="1">
        <w:r>
          <w:rPr>
            <w:rFonts w:ascii="arial" w:eastAsia="arial" w:hAnsi="arial" w:cs="arial"/>
            <w:i/>
            <w:color w:val="0077CC"/>
            <w:sz w:val="20"/>
            <w:u w:val="single"/>
            <w:shd w:val="clear" w:color="auto" w:fill="FFFFFF"/>
            <w:lang w:val="en-US" w:eastAsia="en-US" w:bidi="ar-SA"/>
          </w:rPr>
          <w:t>S.O. 1992, c. 6, s. 31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Class Proceedings Amendment Act, 2018, S.B.C. 2018, c.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75" w:history="1">
        <w:r>
          <w:rPr>
            <w:rFonts w:ascii="arial" w:eastAsia="arial" w:hAnsi="arial" w:cs="arial"/>
            <w:i/>
            <w:color w:val="0077CC"/>
            <w:sz w:val="20"/>
            <w:u w:val="single"/>
            <w:shd w:val="clear" w:color="auto" w:fill="FFFFFF"/>
            <w:lang w:val="en-US" w:eastAsia="en-US" w:bidi="ar-SA"/>
          </w:rPr>
          <w:t>R.S.B.C. 1996, c. 253, s. 10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Personal Information Protection Act, </w:t>
      </w:r>
      <w:r>
        <w:rPr>
          <w:rFonts w:ascii="arial" w:eastAsia="arial" w:hAnsi="arial" w:cs="arial"/>
          <w:i/>
          <w:color w:val="000000"/>
          <w:sz w:val="20"/>
          <w:lang w:val="en-US" w:eastAsia="en-US" w:bidi="ar-SA"/>
        </w:rPr>
        <w:t>S.B.C. 2003, c. 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Personal Information Protection and Electronic Documents Act, </w:t>
      </w:r>
      <w:hyperlink r:id="rId176" w:history="1">
        <w:r>
          <w:rPr>
            <w:rFonts w:ascii="arial" w:eastAsia="arial" w:hAnsi="arial" w:cs="arial"/>
            <w:i/>
            <w:color w:val="0077CC"/>
            <w:sz w:val="20"/>
            <w:u w:val="single"/>
            <w:shd w:val="clear" w:color="auto" w:fill="FFFFFF"/>
            <w:lang w:val="en-US" w:eastAsia="en-US" w:bidi="ar-SA"/>
          </w:rPr>
          <w:t>S.C. 2000, c. 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177" w:history="1">
        <w:r>
          <w:rPr>
            <w:rFonts w:ascii="arial" w:eastAsia="arial" w:hAnsi="arial" w:cs="arial"/>
            <w:i/>
            <w:color w:val="0077CC"/>
            <w:sz w:val="20"/>
            <w:u w:val="single"/>
            <w:shd w:val="clear" w:color="auto" w:fill="FFFFFF"/>
            <w:lang w:val="en-US" w:eastAsia="en-US" w:bidi="ar-SA"/>
          </w:rPr>
          <w:t>R.S.B.C. 1996, c. 373,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8-1</w:t>
      </w:r>
      <w:r>
        <w:rPr>
          <w:rFonts w:ascii="arial" w:eastAsia="arial" w:hAnsi="arial" w:cs="arial"/>
          <w:color w:val="000000"/>
          <w:sz w:val="20"/>
          <w:lang w:val="en-US" w:eastAsia="en-US" w:bidi="ar-SA"/>
        </w:rPr>
        <w:t>(13)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8" w:name="Counsel_9"/>
      <w:bookmarkEnd w:id="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Kenneth Wong: C. Dennis, 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Sheila Sache: M.C. Canofari, M. Sennott.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Kevin Krygier: A. Tanel, D. Cartwright.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9"/>
      <w:bookmarkEnd w:id="69"/>
      <w:r>
        <w:pict>
          <v:line id="_x0000_s1080"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Data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Proposed Proceedings in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Proposed Class Proceedings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CARRIAGE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CARRIAGE CONSIDERATIONS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Deciding Factors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Proposed Representative Plaintiffs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 and Consortium Agreements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Proposed Class Counsel</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Disqualifying Conflicts of Interest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Relative Priority of Commencement of the Action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and Readiness of the Action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and Performance on the Carriage Motion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Case Theory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Causes of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Selection of Defendants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Correlation of Plaintiffs and Defendants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Class Definition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Period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Prospect of Success: (Leave and) Certification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Prospect of Success against the Defendants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(17) Interrelationship of Class Actions in More than one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D.C. MacDONALD J."/>
            <w:bookmarkEnd w:id="70"/>
            <w:r>
              <w:rPr>
                <w:rFonts w:ascii="arial" w:eastAsia="arial" w:hAnsi="arial" w:cs="arial"/>
                <w:b/>
                <w:color w:val="000000"/>
                <w:sz w:val="30"/>
                <w:lang w:val="en-US" w:eastAsia="en-US" w:bidi="ar-SA"/>
              </w:rPr>
              <w:t>D.C. MacDONALD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2018, the defendants publicly acknowledged unauthorized access to the private, personal, and financial information of individuals from its guest reservation database (the "Data Breach"). Approximately 500 million guests were affected globally. The accessed information included names, addresses, passport numbers, and credit card information. The proposed class actions concern this Data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are Marriott International, Inc., Luxury Hotels International of Canada, ULC dba Marriott Hotels of Canada, Starwood Hotels &amp; Resorts Worldwide, LLC, and Starwood Canada ULC (collectively,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application is a carriage motion by a consortium of law firms seeking carriage of a regional class affected by Marriott's Data Breach. In a carriage motion, the court decides which of several overlapping actions should proceed to the certification stage. One action is chosen and the others are stayed. The three proposed representative plaintiffs are Mr. Kenneth Wong, Mr. Michael James, and Ms. Poonam Bhinder (the "Wong Action"). All three proposed plaintiffs are BC residents. The Wong Action proposes a provincial class of BC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Boughton Law Corporation ("Boughton") brought a second proposed BC action. The proposed representative plaintiff is Ms. Sheila Sache (the "Sache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Koskie Minsky LLP ("Koskie") brought a third proposed action on behalf of a national class, excluding Quebec. The proposed representative plaintiff is Mr. Kevin Krygier (the "Krygier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Wong Action seeks: i) to be granted carriage of their proposed Data Breach class proceeding; and ii) the two related proceedings, the Sache Action and Krygier Action, be stayed until certification in the present action is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multiple factors courts consider when determining who should have carriage. In this case, many of the factors have little weight or are neutral. The deciding factor is the interrelationship of class actions in more than one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Data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Class action proceedings were filed against Marriott in BC and across Canada for the Data Breach which occurred between 2014 and 2018. Wong counsel set out the background in its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Marriott International, Inc. owns and manages hotel properties throughout Canada and across 130 other countries.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Starwood Hotels &amp; Resorts Worldwide, LLC ("Starwood") began operating in 1994 with 30 hotel properties and grew to be the owner, operator, or franchisor of over 1200 properties around the world. Starwood brand properties include Sheraton, Westin, and W Hotels.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2015, Marriott International, Inc. acquired all Starwood brand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November 30, 2018, Marriott announced that since 2014 there had been unauthorized access to a guest reservation database maintained by Starwood, which contained personal and financial information for approximately 500 million individuals. The accessed information included names, addresses, passport numbers, and credit card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result, numerous individuals across Canada, including BC, had their data compromised.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Proposed Proceedings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Six class proceedings were filed against Marriott in BC in respect of the Data Breach:</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Michael James commenced an action on behalf of all BC residents on December 13, 2018 (the "James Action"), represented by Hammerberg Lawyers LLP;</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Matthew Wenman commenced an action on behalf of all Canadian residents on December 17, 2018 (the "Wenman Action"), represented by Acheson Sweeney Foley Sahota LLP;</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Sheila Sache commenced an action on behalf of all BC residents on December 21, 2018 (the "Sache Action"), represented by Boughton;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Kenneth Wong commenced an action on behalf of all "individuals residing anywhere in the world (subsidiarily in Canada or British Columbia)" on December 24, 2018 (the "Individual Wong Action"), represented by Evolink Law Group;</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Poonam Bhinder commenced an action on behalf of all Canadian residents filed January 3, 2019 (the "Bhinder Action"), represented by Garcha &amp; Company;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Kevin Krygier commenced an action on behalf of all Canadian residents filed January 14, 2019 (the "Krygier Action"), represented by Koskie.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February 2019, counsel for Mr. James, Mr. Wong, and Ms. Bhinder (collectively, the "BC Consortium") entered into an agreement to jointly prosecute the James Action, the Individual Wong Action, and the Bhinder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3, 2019, the BC Consortium filed an amended notice of civil claim consolidating the actions commenced by Mr. James, Mr. Wong, and Ms. Bhinder into the Wong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18, 2019, the plaintiff in the Wenman Action filed a notice of discontinuance and does not seek carriage. Therefore, this motion is to decide carriage between the Wong Action, Sache Action, and Krygier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Proposed Class Proceedings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in the Sache and Wong Actions have not made claims elsewhere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Koskie has carriage of a regional class proceeding filed in Nova Scotia and is working with counsel regarding a proposed national class proceeding against Marriott filed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Koskie also sought carriage on behalf of a consortium in Ontario. In </w:t>
      </w:r>
      <w:r>
        <w:rPr>
          <w:rFonts w:ascii="arial" w:eastAsia="arial" w:hAnsi="arial" w:cs="arial"/>
          <w:i/>
          <w:color w:val="000000"/>
          <w:sz w:val="20"/>
          <w:lang w:val="en-US" w:eastAsia="en-US" w:bidi="ar-SA"/>
        </w:rPr>
        <w:t>Winder v. Marriot International Inc.</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2019 ONSC 5766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Justice Perell awarded carriage of the proposed national class action against Marriott to Siskinds LLP. The Koskie action was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summary, there are three proposed national class actions in Ontario, Alberta, and BC. There is a proposed regional class action in Nova Scotia for all maritime residents. There is also a proposed regional class action in Québec and the two proposed regional class actions in BC. There are also numerous class proceedings filed against Marriott in respect of the Data Breach in the United States. As noted in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 69, "[u]nlike the situation in the United States, there is no available pan-Canadian procedure to address the situation of overlapping class actions in several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Where there is more than one class proceeding brought regarding the same defendant and the same subject matter, a proposed representative plaintiff may bring a carriage motion to stay the other actions: </w:t>
      </w:r>
      <w:r>
        <w:rPr>
          <w:rFonts w:ascii="arial" w:eastAsia="arial" w:hAnsi="arial" w:cs="arial"/>
          <w:i/>
          <w:color w:val="000000"/>
          <w:sz w:val="20"/>
          <w:lang w:val="en-US" w:eastAsia="en-US" w:bidi="ar-SA"/>
        </w:rPr>
        <w:t>Setterington v. Merck Frosst Canada</w:t>
      </w:r>
      <w:r>
        <w:rPr>
          <w:rFonts w:ascii="arial" w:eastAsia="arial" w:hAnsi="arial" w:cs="arial"/>
          <w:color w:val="000000"/>
          <w:sz w:val="20"/>
          <w:lang w:val="en-US" w:eastAsia="en-US" w:bidi="ar-SA"/>
        </w:rPr>
        <w:t>, 2006 CanLII 2623 at para. 9 (Ont. S.C.J.). Wong counsel have brought such a motion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issue before this Court is whether carriage of a proposed class action filed against Marriott in BC should be awarded to the Wong Action, Sache Action, or Krygier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two actions which do not obtain carriage will be stayed pending the certification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Carriage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Class Proceedings Amendment Act, 2018</w:t>
      </w:r>
      <w:r>
        <w:rPr>
          <w:rFonts w:ascii="arial" w:eastAsia="arial" w:hAnsi="arial" w:cs="arial"/>
          <w:color w:val="000000"/>
          <w:sz w:val="20"/>
          <w:lang w:val="en-US" w:eastAsia="en-US" w:bidi="ar-SA"/>
        </w:rPr>
        <w:t>, S.B.C. 2018, c. 16 [</w:t>
      </w:r>
      <w:r>
        <w:rPr>
          <w:rFonts w:ascii="arial" w:eastAsia="arial" w:hAnsi="arial" w:cs="arial"/>
          <w:i/>
          <w:color w:val="000000"/>
          <w:sz w:val="20"/>
          <w:lang w:val="en-US" w:eastAsia="en-US" w:bidi="ar-SA"/>
        </w:rPr>
        <w:t>CPAA</w:t>
      </w:r>
      <w:r>
        <w:rPr>
          <w:rFonts w:ascii="arial" w:eastAsia="arial" w:hAnsi="arial" w:cs="arial"/>
          <w:color w:val="000000"/>
          <w:sz w:val="20"/>
          <w:lang w:val="en-US" w:eastAsia="en-US" w:bidi="ar-SA"/>
        </w:rPr>
        <w:t xml:space="preserve">], amended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to allow multijurisdictional class proceedings, including proceedings with persons who do not reside in BC. It establishes rules for determining the appropriate jurisdiction for multijurisdictional class proceedings. Along with the 2018 Judicial Protocol, it encourages coordination and uniformity in multijurisdictional class actions, while respecting the independence of judges and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There are several sources of this Court's jurisdiction to decide carriage of a class proceeding. Section 12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authorizes the court to "make any order it considers appropriate respecting the conduct of a class proceeding to ensure its fair and expeditious determination". Section 13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authorizes the court to "stay any proceeding related to the class proceeding on the terms the court considers appropriate." The court also has "broad jurisdiction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make orders as to the conduct of civil proceedings, as well as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which mandates the avoidance of a multiplicity of proceedings": </w:t>
      </w:r>
      <w:r>
        <w:rPr>
          <w:rFonts w:ascii="arial" w:eastAsia="arial" w:hAnsi="arial" w:cs="arial"/>
          <w:i/>
          <w:color w:val="000000"/>
          <w:sz w:val="20"/>
          <w:lang w:val="en-US" w:eastAsia="en-US" w:bidi="ar-SA"/>
        </w:rPr>
        <w:t>Strohmaier v. K.S.</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2019 BCCA 388</w:t>
        </w:r>
      </w:hyperlink>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Strohmaier 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question before me is which action is most likely to advance the interests of the class members, provide fairness to the defendants, and promote access to justice, behavior modification, and judicial economy: </w:t>
      </w:r>
      <w:r>
        <w:rPr>
          <w:rFonts w:ascii="arial" w:eastAsia="arial" w:hAnsi="arial" w:cs="arial"/>
          <w:i/>
          <w:color w:val="000000"/>
          <w:sz w:val="20"/>
          <w:lang w:val="en-US" w:eastAsia="en-US" w:bidi="ar-SA"/>
        </w:rPr>
        <w:t>Strohmaier CA</w:t>
      </w:r>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Mancinelli v. Barrick Gold Corporation</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2016 ONCA 571</w:t>
        </w:r>
      </w:hyperlink>
      <w:r>
        <w:rPr>
          <w:rFonts w:ascii="arial" w:eastAsia="arial" w:hAnsi="arial" w:cs="arial"/>
          <w:color w:val="000000"/>
          <w:sz w:val="20"/>
          <w:lang w:val="en-US" w:eastAsia="en-US" w:bidi="ar-SA"/>
        </w:rPr>
        <w:t xml:space="preserve"> at para. 13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determining which action is in the best interests of the class, BC courts consider a list of overlapping and non-exhaustive factors. The factors to consider in determining which action should proceed were set out by Perell J. in </w:t>
      </w:r>
      <w:r>
        <w:rPr>
          <w:rFonts w:ascii="arial" w:eastAsia="arial" w:hAnsi="arial" w:cs="arial"/>
          <w:i/>
          <w:color w:val="000000"/>
          <w:sz w:val="20"/>
          <w:lang w:val="en-US" w:eastAsia="en-US" w:bidi="ar-SA"/>
        </w:rPr>
        <w:t>Rogers v. Aphria Inc.</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2019 ONSC 3698</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Proposed Representative Plaintiffs;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Fee and Consortium Agreements;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Proposed Class Counsel;</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Disqualifying Conflicts of Interest;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Relative Priority of Commencement of the Action;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and Readiness of the Action;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and Performance on Carriage Motion;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Case Theory;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Causes of Action;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Selection of Defendants;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Correlation of Plaintiffs and Defendants;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Definition;</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Period;</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Prospect of Success: (Leave and) Certification;</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Prospect of Success against the Defendants;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Interrelationship of Class Actions in more than one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Different factors speak to different considerations on a carriage motion. As Perell J. explained in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It is useful to note that: factors (1) to (3) concern the qualifications of the proposed Representative Plaintiffs; factors (4) to (8) concern the qualifications of the proposed Class Counsel; and factors (9) to (17) concern the quality of the litigation plan for the proposed class action. Thus, nine of the factors are about or are connected to case theory, which is understandable, because at the very heart of the test for determining carriage is a qualitative and comparative analysis of the case theories of the rival Class Counsel.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courts discourage a "tick the boxes" approach to carriage motions. The focus should be the broader goal of promoting the best interests of the class members and fairness to the defendants: </w:t>
      </w:r>
      <w:r>
        <w:rPr>
          <w:rFonts w:ascii="arial" w:eastAsia="arial" w:hAnsi="arial" w:cs="arial"/>
          <w:i/>
          <w:color w:val="000000"/>
          <w:sz w:val="20"/>
          <w:lang w:val="en-US" w:eastAsia="en-US" w:bidi="ar-SA"/>
        </w:rPr>
        <w:t>Strohmaier CA</w:t>
      </w:r>
      <w:r>
        <w:rPr>
          <w:rFonts w:ascii="arial" w:eastAsia="arial" w:hAnsi="arial" w:cs="arial"/>
          <w:color w:val="000000"/>
          <w:sz w:val="20"/>
          <w:lang w:val="en-US" w:eastAsia="en-US" w:bidi="ar-SA"/>
        </w:rPr>
        <w:t xml:space="preserve"> at para. 41. When factors are very similar, or have only minor differences, a court may assess them as neutral or not refer to them at all: </w:t>
      </w:r>
      <w:r>
        <w:rPr>
          <w:rFonts w:ascii="arial" w:eastAsia="arial" w:hAnsi="arial" w:cs="arial"/>
          <w:i/>
          <w:color w:val="000000"/>
          <w:sz w:val="20"/>
          <w:lang w:val="en-US" w:eastAsia="en-US" w:bidi="ar-SA"/>
        </w:rPr>
        <w:t>Strohmaier CA</w:t>
      </w:r>
      <w:r>
        <w:rPr>
          <w:rFonts w:ascii="arial" w:eastAsia="arial" w:hAnsi="arial" w:cs="arial"/>
          <w:color w:val="000000"/>
          <w:sz w:val="20"/>
          <w:lang w:val="en-US" w:eastAsia="en-US" w:bidi="ar-SA"/>
        </w:rPr>
        <w:t xml:space="preserve"> at paras. 76-77. The circumstances of each case will determine how much weight should be given to each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Wong Action and Sache Action seek to advance an action in this Court on behalf of all BC residents. The Krygier Action seeks to advance an action in this Court on behalf of all Canadian residents. Despite being reluctant to choose between different firms and plaintiffs, I must determine whether carriage should be awarded to the Wong Action, Sache Action, or Krygier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outset of the hearing there was an evidentiary objection to a number of reply affidavits tendered in the Wong Action. The objection from both respondents was the affidavits are not proper reply evidence. They argue that in the Wong application for carriage, counsel stated the correct test but did not provide the necessary evidence. In their reply affidavits they provided the proper evidence--the fee and retainer agreement--which should have been part of their case at the outset. Counsel is not allowed to split its case in an attempt to address deficiencies in their original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Wong counsel argues the evidence is relevant and should be admitted. He noted it is telling there was no claim of prejudice by the respondents. The respondents have had the reply affidavits since early October, six weeks prior to the hearing.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state the applicant's response affidavits must be served at least one day before the application hearing: R. 8-1(13). In addition, Wong counsel advised Sache counsel that they could put in additional evidence, but they received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should have anticipated at the outset this evidence was material. But I agree with Wong counsel the evidence is relevant. While technically splitting their case by addressing deficiencies in their original materials in reply</w:t>
      </w:r>
      <w:bookmarkStart w:id="71"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1"/>
      <w:r>
        <w:rPr>
          <w:rFonts w:ascii="arial" w:eastAsia="arial" w:hAnsi="arial" w:cs="arial"/>
          <w:color w:val="000000"/>
          <w:sz w:val="20"/>
          <w:lang w:val="en-US" w:eastAsia="en-US" w:bidi="ar-SA"/>
        </w:rPr>
        <w:t>, there was no unfair surprise resulting in prejudice to the respondents. They had six weeks to respond to the new evidence and Krygier counsel and Sache counsel did not seek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at the hearing Sache counsel advised the Court that their proposed fees are actually 15% of any recovery regardless of the stage at which the action is resolved. This is contrary to what was said in the fee agreement attached to Ms. Sache's affidavit. Similarly, in Krygier counsel's written argument it advised it is willing to reduce its contingency fee if that were an important factor in the court's analysis. I find all counsel have provided new evidence or positions after they submitted their application or response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absence of prejudice I am not prepared to take a strict approach to the admissibility of this reply evidence. The affidavit evidence will assist this Court in assessing the issues. I am exercising my discretion in favour of the Wong Action; I accept the reply affidavits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the same reason I am allowing Wong counsel to rely on cases that were not included in their notice of application. There was no prejudice and Sache counsel, who raised this issue, did not request an adjournment. Counsel were well prepared and ably responded to the new cases they received the Friday before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Carriage Considerations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Deciding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I address each factor, many are neutral or have little relevance to this carriage motion. I will focus on those factors to which I attribute weight in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Wong plaintiffs retained independent counsel to represent them at the carriage hearing. This was based on Perell J.'s comments in </w:t>
      </w:r>
      <w:r>
        <w:rPr>
          <w:rFonts w:ascii="arial" w:eastAsia="arial" w:hAnsi="arial" w:cs="arial"/>
          <w:i/>
          <w:color w:val="000000"/>
          <w:sz w:val="20"/>
          <w:lang w:val="en-US" w:eastAsia="en-US" w:bidi="ar-SA"/>
        </w:rPr>
        <w:t>Quenneville v. Audi AG</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2018 ONSC 1530</w:t>
        </w:r>
      </w:hyperlink>
      <w:r>
        <w:rPr>
          <w:rFonts w:ascii="arial" w:eastAsia="arial" w:hAnsi="arial" w:cs="arial"/>
          <w:color w:val="000000"/>
          <w:sz w:val="20"/>
          <w:lang w:val="en-US" w:eastAsia="en-US" w:bidi="ar-SA"/>
        </w:rPr>
        <w:t xml:space="preserve"> at paras. 2-4. Although Wong counsel in the carriage motion before me was persuasive, his submissions demonstrate little regarding the quality of counsel retained in the underlying action, including their performance on the carriage motion. Despite this observation, I emphasize nothing turns on this strategy.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w:t>
      </w:r>
      <w:r>
        <w:rPr>
          <w:rFonts w:ascii="arial" w:eastAsia="arial" w:hAnsi="arial" w:cs="arial"/>
          <w:b/>
          <w:i/>
          <w:color w:val="000000"/>
          <w:sz w:val="20"/>
          <w:lang w:val="en-US" w:eastAsia="en-US" w:bidi="ar-SA"/>
        </w:rPr>
        <w:t>The Quality of the Proposed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quality of representative plaintiffs is a minor factor in a carriage contest: </w:t>
      </w:r>
      <w:r>
        <w:rPr>
          <w:rFonts w:ascii="arial" w:eastAsia="arial" w:hAnsi="arial" w:cs="arial"/>
          <w:i/>
          <w:color w:val="000000"/>
          <w:sz w:val="20"/>
          <w:lang w:val="en-US" w:eastAsia="en-US" w:bidi="ar-SA"/>
        </w:rPr>
        <w:t>Strohmaier v. British Columbia (Attorney General)</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2018 BCSC 1613</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Strohmaier SC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paras. 80-81. While all the representative plaintiffs appear to be suitable plaintiffs in this proceeding, Krygier counsel have extensive experience managing national class actions. The suitability of the representative plaintiffs will be more fully canvassed at the certification hearing. I find this to be a minor factor in this carriage motion.</w:t>
      </w:r>
      <w:r>
        <w:rPr>
          <w:rFonts w:ascii="arial" w:eastAsia="arial" w:hAnsi="arial" w:cs="arial"/>
          <w:sz w:val="20"/>
          <w:lang w:val="en-US" w:eastAsia="en-US" w:bidi="ar-SA"/>
        </w:rPr>
        <w:cr/>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External funding to provide indemnity against adverse cost awards (and occasionally disbursements) is considered on a carriage motion. In Ontario funding is an important factor. The court considers: i) whether the proposed class counsel make their commitment to a class action contingent upon securing third party funding; and ii) whether the representative plaintiffs are indemnified against the risk of an adverse cost award: </w:t>
      </w:r>
      <w:r>
        <w:rPr>
          <w:rFonts w:ascii="arial" w:eastAsia="arial" w:hAnsi="arial" w:cs="arial"/>
          <w:i/>
          <w:color w:val="000000"/>
          <w:sz w:val="20"/>
          <w:lang w:val="en-US" w:eastAsia="en-US" w:bidi="ar-SA"/>
        </w:rPr>
        <w:t>Kowalyshyn v. Valeant Pharmaceuticals International, Inc.</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2016 ONSC 3819</w:t>
        </w:r>
      </w:hyperlink>
      <w:r>
        <w:rPr>
          <w:rFonts w:ascii="arial" w:eastAsia="arial" w:hAnsi="arial" w:cs="arial"/>
          <w:color w:val="000000"/>
          <w:sz w:val="20"/>
          <w:lang w:val="en-US" w:eastAsia="en-US" w:bidi="ar-SA"/>
        </w:rPr>
        <w:t xml:space="preserve"> at paras. 176-179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paras. 88-92. The first consideration is sometimes referred to as a "bailout"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 89, Perell J. stated third party funding could be "a deal breaker" on a carriage motion. In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xml:space="preserve"> at para. 178, he said exposure to an adverse cost award would be a "devastating risk" for the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These issues are less important in BC than they are in Ontario. In BC, courts cannot award costs against an unsuccessful party in a class proceeding except under specific circumstances, such as abusive conduct by the party: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 37. This is significantly different from Ontario's approach, which allows for cost awards at all stages of the proceedings: </w:t>
      </w:r>
      <w:r>
        <w:rPr>
          <w:rFonts w:ascii="arial" w:eastAsia="arial" w:hAnsi="arial" w:cs="arial"/>
          <w:i/>
          <w:color w:val="000000"/>
          <w:sz w:val="20"/>
          <w:lang w:val="en-US" w:eastAsia="en-US" w:bidi="ar-SA"/>
        </w:rPr>
        <w:t>Class Proceedings Act, 1992</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S.O. 1992, c. 6, s. 31</w:t>
        </w:r>
      </w:hyperlink>
      <w:r>
        <w:rPr>
          <w:rFonts w:ascii="arial" w:eastAsia="arial" w:hAnsi="arial" w:cs="arial"/>
          <w:color w:val="000000"/>
          <w:sz w:val="20"/>
          <w:lang w:val="en-US" w:eastAsia="en-US" w:bidi="ar-SA"/>
        </w:rPr>
        <w:t xml:space="preserve">. There can be costs prior to the certification hearing in BC: </w:t>
      </w:r>
      <w:r>
        <w:rPr>
          <w:rFonts w:ascii="arial" w:eastAsia="arial" w:hAnsi="arial" w:cs="arial"/>
          <w:i/>
          <w:color w:val="000000"/>
          <w:sz w:val="20"/>
          <w:lang w:val="en-US" w:eastAsia="en-US" w:bidi="ar-SA"/>
        </w:rPr>
        <w:t>Great Canadian Gaming Corporation v. British Columbia Lottery Corporation</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2018 BCSC 370</w:t>
        </w:r>
      </w:hyperlink>
      <w:r>
        <w:rPr>
          <w:rFonts w:ascii="arial" w:eastAsia="arial" w:hAnsi="arial" w:cs="arial"/>
          <w:color w:val="000000"/>
          <w:sz w:val="20"/>
          <w:lang w:val="en-US" w:eastAsia="en-US" w:bidi="ar-SA"/>
        </w:rPr>
        <w:t xml:space="preserve"> at para. 9. However, costs are rarely ordered against an unsuccessful representative plaintiff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Only the Wong Action has agreed to indemnify its clients against an adverse cost award: Class Action Retainer Agreement, clause 22. Neither the Wong Action nor the Sache Action has a provision allowing counsel to discontinue the action if third party funding is not secured. The Sache Action is not dependent upon third party funding. By contrast, in the Krygier Action, the Contingency Fee Retainer Agreement has a clause which states: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funding for disbursements and/or an indemnity for the payment of adverse cost awards is not obtained from a third-party funder, the Client acknowledges that Class Counsel may seek to discontinue the Action on a without costs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addition to there being significant differences in risks facing unsuccessful Ontario and BC plaintiffs in a certification hearing, Krygier counsel argues that whether or not there is a bailout provision, firms can withdraw in proper circumstances. Koskie is simply being transparent regarding when it might withdraw.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Given the differences between BC and Ontario, I place little weight on this factor.</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Fee and Consortium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All counsel agree the fee agreement is an important factor in the carriage hearing and in some cases it is determinative: </w:t>
      </w:r>
      <w:r>
        <w:rPr>
          <w:rFonts w:ascii="arial" w:eastAsia="arial" w:hAnsi="arial" w:cs="arial"/>
          <w:i/>
          <w:color w:val="000000"/>
          <w:sz w:val="20"/>
          <w:lang w:val="en-US" w:eastAsia="en-US" w:bidi="ar-SA"/>
        </w:rPr>
        <w:t>Chu v. Parwell Investments Inc. et al</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2019 ONSC 700</w:t>
        </w:r>
      </w:hyperlink>
      <w:r>
        <w:rPr>
          <w:rFonts w:ascii="arial" w:eastAsia="arial" w:hAnsi="arial" w:cs="arial"/>
          <w:color w:val="000000"/>
          <w:sz w:val="20"/>
          <w:lang w:val="en-US" w:eastAsia="en-US" w:bidi="ar-SA"/>
        </w:rPr>
        <w:t xml:space="preserve"> at paras. 24-26 [</w:t>
      </w:r>
      <w:r>
        <w:rPr>
          <w:rFonts w:ascii="arial" w:eastAsia="arial" w:hAnsi="arial" w:cs="arial"/>
          <w:i/>
          <w:color w:val="000000"/>
          <w:sz w:val="20"/>
          <w:lang w:val="en-US" w:eastAsia="en-US" w:bidi="ar-SA"/>
        </w:rPr>
        <w:t>Chu</w:t>
      </w:r>
      <w:r>
        <w:rPr>
          <w:rFonts w:ascii="arial" w:eastAsia="arial" w:hAnsi="arial" w:cs="arial"/>
          <w:color w:val="000000"/>
          <w:sz w:val="20"/>
          <w:lang w:val="en-US" w:eastAsia="en-US" w:bidi="ar-SA"/>
        </w:rPr>
        <w:t xml:space="preserve">]. As stated by Chief Justice Strathy for the court, fees vitally affect the interests of the class: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Wong counsel argues it has significantly lower fees than the Sache and Krygier Actions. The BC Consortium's fees will be 3% to 25% of the total recovery obtained on behalf of the class. The exact percentage will depend on the stage at which the action is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drawn to my attention at the hearing that there was a mistake in the undated Contingency Agreement attached to Ms. Sache's affidavit sworn on October 9, 2019. Ms. Sache's affidavit stated the contingency fee is 15% of the award whereas the Contingency Agreement states: "The Client will pay for the Firm's legal services rendered under this Agreement and the Legal Fee will be calculated as 25% of the Recovery after deducting all outstanding disbursements not paid by the Defendant." Sache counsel advised the Court, consistent with Ms. Sache's affidavit, their proposed fees are actually 15% of any recovery regardless of the stage at which the action is resolved. Other counsel accepted this explanation and I have no reason to take issue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Given the change in fee in the Sache Action, the Wong Action does not have significantly lower fees than the Sache Action. Wong counsel will only have lower fees if the action is settled prior to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Koskie has a detailed agreement with its client. The firm receives 33% of any recovery</w:t>
      </w:r>
      <w:bookmarkStart w:id="72"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72"/>
      <w:r>
        <w:rPr>
          <w:rFonts w:ascii="arial" w:eastAsia="arial" w:hAnsi="arial" w:cs="arial"/>
          <w:color w:val="000000"/>
          <w:sz w:val="20"/>
          <w:lang w:val="en-US" w:eastAsia="en-US" w:bidi="ar-SA"/>
        </w:rPr>
        <w:t xml:space="preserve"> regardless of the stage of the proceeding. This is significantly higher than the fees of the other two proposed class actions at all stages of the proceeding. Krygier counsel argue this is a fair and reasonable fee and is materially identical to numerous fee agreements which have been court approved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Krygier counsel urges caution regarding a "race to the bottom" in terms of counsel fees. He notes that one purpose of class proceedings legislation is to empower the bar to pursue class claims. A low fee structure may provide a disincentive to pursue these claims because they are not economically viable. Counsel asks that I examine the retainer agreement in the Wong Action carefully in terms of the incentive structure it creates. As counsel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retainer purports to pay class counsel 3-8% of the class' recovery, if the action is settled prior to certification. Presumably, this 3-8% would then be split in some way between the 5 member-firms of the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Consortium, generating each firm a contingency fee of 1% or less. This arrangement strongly disincentives counsel from attempting to reach an early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submissions regarding the economic viability of the actions have merit. Although not directly on point, the Uniform Law Conference of Canada Civil Law Section, </w:t>
      </w:r>
      <w:r>
        <w:rPr>
          <w:rFonts w:ascii="arial" w:eastAsia="arial" w:hAnsi="arial" w:cs="arial"/>
          <w:i/>
          <w:color w:val="000000"/>
          <w:sz w:val="20"/>
          <w:lang w:val="en-US" w:eastAsia="en-US" w:bidi="ar-SA"/>
        </w:rPr>
        <w:t>Report of the Uniform Law Conference of Canada's Committee on the National Class and Related Interjurisdictional Issues</w:t>
      </w:r>
      <w:r>
        <w:rPr>
          <w:rFonts w:ascii="arial" w:eastAsia="arial" w:hAnsi="arial" w:cs="arial"/>
          <w:color w:val="000000"/>
          <w:sz w:val="20"/>
          <w:lang w:val="en-US" w:eastAsia="en-US" w:bidi="ar-SA"/>
        </w:rPr>
        <w:t xml:space="preserve"> [Uniform Law Conference]</w:t>
      </w:r>
      <w:bookmarkStart w:id="73"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73"/>
      <w:r>
        <w:rPr>
          <w:rFonts w:ascii="arial" w:eastAsia="arial" w:hAnsi="arial" w:cs="arial"/>
          <w:color w:val="000000"/>
          <w:sz w:val="20"/>
          <w:lang w:val="en-US" w:eastAsia="en-US" w:bidi="ar-SA"/>
        </w:rPr>
        <w:t xml:space="preserve"> made a similar observation in the context of multiple provincial class actions. The Uniform Law Conference identifies best practices for the coordination of multijurisdictional class actions. At para. 18 of the report, it states multiple class actions "will make some class actions less economically viable, since counsel will have to enter into financial arrangements with multiple counsel, thus reducing both the expected fee and potential compensation to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Krygier counsel further state their retainer agreement is similar to the retainer in the Sache Action although the Sache retainer is marginally lower at 25%. Counsel stated in its written submissions "to the extent that the Court is concerned with [the] difference between the two percentages, </w:t>
      </w:r>
      <w:r>
        <w:rPr>
          <w:rFonts w:ascii="arial" w:eastAsia="arial" w:hAnsi="arial" w:cs="arial"/>
          <w:i/>
          <w:color w:val="000000"/>
          <w:sz w:val="20"/>
          <w:lang w:val="en-US" w:eastAsia="en-US" w:bidi="ar-SA"/>
        </w:rPr>
        <w:t>Krygier</w:t>
      </w:r>
      <w:r>
        <w:rPr>
          <w:rFonts w:ascii="arial" w:eastAsia="arial" w:hAnsi="arial" w:cs="arial"/>
          <w:color w:val="000000"/>
          <w:sz w:val="20"/>
          <w:lang w:val="en-US" w:eastAsia="en-US" w:bidi="ar-SA"/>
        </w:rPr>
        <w:t xml:space="preserve"> counsel is prepared to undertake to reduce its contingency fee to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fees are an important factor in a carriage motion, courts must be careful not to simply endorse the lowest fee as being in the best interest of the class. Lower fees may not provide the proper incentives for counsel to litigate a particular class action or class actions in the future. A lower fee may also incentivise counsel to settle at an earlier stage that may not be in the best interest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fee of 25% appears to be the most reasonable of the three proposed fees. Krygier counsel undertook to reduce its contingency fee to 25% if this Court is concerned with the difference. I find an 8% difference to be significant. I accept Krygier counsel's undertaking that if they are granted carriage they will reduce their contingency fee to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terms of the BC Consortium agreement, Wong counsel attached their Class Action Retainer Agreement to Mr. James' reply affidavit. I have already ruled this affidavit and the other reply affidavits are admissible. In clause 34 of their Class Action Retainer Agreement, Wong counsel do not anticipate nor address conflicts of interest between lawyers within the consortium. Clause 34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Clients acknowledge the obligation to act in the best interests of the Class and that the Attorneys is not obliged to follow instructions that are not in the best interests of the Class. In the event of a disagreement concerning whether certain instructions are in the best interests of the Class, the matter may be submitted to the court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Sache counsel argues this clause only addresses conflicts between class members and their lawyers. Sache counsel argues a provincial class does not benefit from a large consortium of four law firms all located close to each other, apart from two counsel from Quebec.</w:t>
      </w:r>
      <w:bookmarkStart w:id="74"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7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BC Consortium was formed after the actions were commenced and appears to be primarily strategic. There is no evidence before me how they intend to resolve differences between them if differences arise regarding strategy, timing, responsibilities, rewards, and other such factors: </w:t>
      </w:r>
      <w:r>
        <w:rPr>
          <w:rFonts w:ascii="arial" w:eastAsia="arial" w:hAnsi="arial" w:cs="arial"/>
          <w:i/>
          <w:color w:val="000000"/>
          <w:sz w:val="20"/>
          <w:lang w:val="en-US" w:eastAsia="en-US" w:bidi="ar-SA"/>
        </w:rPr>
        <w:t>Joel v. Menu Foods Genpar Limited</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2007 BCSC 1482</w:t>
        </w:r>
      </w:hyperlink>
      <w:r>
        <w:rPr>
          <w:rFonts w:ascii="arial" w:eastAsia="arial" w:hAnsi="arial" w:cs="arial"/>
          <w:color w:val="000000"/>
          <w:sz w:val="20"/>
          <w:lang w:val="en-US" w:eastAsia="en-US" w:bidi="ar-SA"/>
        </w:rPr>
        <w:t xml:space="preserve"> at paras. 113-114. There are nine lawyers involved with no clear road map regarding how they will work together. There is the statement in the Class Action Retainer Agreement that "in the event of a disagreement concerning whether certain instructions are in the best interest of the Class, the matter may be submitted to the court for directions". I agree with Sache counsel that this statement appears to be directed at conflicts between the proposed representative plaintiffs and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Since all fees are reasonable in terms of the proposed classes, I place little weight on this factor. A lack of a clear mechanism to address conflicts between counsel in the BC Consortium weighs against the Wong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(4) </w:t>
      </w:r>
      <w:r>
        <w:rPr>
          <w:rFonts w:ascii="arial" w:eastAsia="arial" w:hAnsi="arial" w:cs="arial"/>
          <w:b/>
          <w:i/>
          <w:color w:val="000000"/>
          <w:sz w:val="20"/>
          <w:lang w:val="en-US" w:eastAsia="en-US" w:bidi="ar-SA"/>
        </w:rPr>
        <w:t>The Quality of Proposed Class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quality of proposed counsel is a threshold question. I am not determining which lawyers are the best. Slight or marginal differences in experience is a neutral factor. The quality of counsel should not devolve into a beauty contest but some comparison is inevitable. Justice Blok in </w:t>
      </w:r>
      <w:r>
        <w:rPr>
          <w:rFonts w:ascii="arial" w:eastAsia="arial" w:hAnsi="arial" w:cs="arial"/>
          <w:i/>
          <w:color w:val="000000"/>
          <w:sz w:val="20"/>
          <w:lang w:val="en-US" w:eastAsia="en-US" w:bidi="ar-SA"/>
        </w:rPr>
        <w:t>Ewert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 (Attorney General)</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2014 BCSC 215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Ewert</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Smith v. Sino-Forest Corporation</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2012 ONSC 24</w:t>
        </w:r>
      </w:hyperlink>
      <w:r>
        <w:rPr>
          <w:rFonts w:ascii="arial" w:eastAsia="arial" w:hAnsi="arial" w:cs="arial"/>
          <w:color w:val="000000"/>
          <w:sz w:val="20"/>
          <w:lang w:val="en-US" w:eastAsia="en-US" w:bidi="ar-SA"/>
        </w:rPr>
        <w:t>, described this difficult task: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task of the court is not to choose between different counsel according to their relative resources and expertise; rather, it is to determine which of the competing actions is more, or most, likely to advance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question is whether counsel have the experience, resources, and capability to advance a substantive claim: </w:t>
      </w:r>
      <w:r>
        <w:rPr>
          <w:rFonts w:ascii="arial" w:eastAsia="arial" w:hAnsi="arial" w:cs="arial"/>
          <w:i/>
          <w:color w:val="000000"/>
          <w:sz w:val="20"/>
          <w:lang w:val="en-US" w:eastAsia="en-US" w:bidi="ar-SA"/>
        </w:rPr>
        <w:t>Strohmaier SC</w:t>
      </w:r>
      <w:r>
        <w:rPr>
          <w:rFonts w:ascii="arial" w:eastAsia="arial" w:hAnsi="arial" w:cs="arial"/>
          <w:color w:val="000000"/>
          <w:sz w:val="20"/>
          <w:lang w:val="en-US" w:eastAsia="en-US" w:bidi="ar-SA"/>
        </w:rPr>
        <w:t xml:space="preserve"> at para. 57. The approach focusses on "which case is in the best interests of the proposed class to advance. Counsel's experience and expertise are but one part of that approach": </w:t>
      </w:r>
      <w:r>
        <w:rPr>
          <w:rFonts w:ascii="arial" w:eastAsia="arial" w:hAnsi="arial" w:cs="arial"/>
          <w:i/>
          <w:color w:val="000000"/>
          <w:sz w:val="20"/>
          <w:lang w:val="en-US" w:eastAsia="en-US" w:bidi="ar-SA"/>
        </w:rPr>
        <w:t>Laliberte v. Canada (Attorney General)</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2019 FC 766</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Laliberte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Wong counsel argue its action is brought by a group of capable BC lawyers with the experience and resources to prosecute an action in this province. Wong counsel described the BC Consortium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Zoel Zanatta, Kevin McLaren, and Alexia Majidi of Hammerberg Lawyers LLP, one of the largest personal injury law firms in British Columbia with extensive resources and experience with high-value contingency files;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Mathew Good of Mathew P. Good Law Corporation in Vancouver, who practices almost exclusively in the area of plaintiff-side class actions, is currently counsel or co-counsel in several putative class actions in British Columbia and other courts across Canada, and has a long history with class proceedings in this province. Mr. Good is included in the B.C. Consortium through a co-counsel agreement with Hammerberg Lawyers LLP;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Simon Lin of Evolink Law Group in Greater Vancouver, who is counsel in several </w:t>
      </w:r>
      <w:r>
        <w:rPr>
          <w:rFonts w:ascii="arial" w:eastAsia="arial" w:hAnsi="arial" w:cs="arial"/>
          <w:i/>
          <w:color w:val="000000"/>
          <w:sz w:val="20"/>
          <w:lang w:val="en-US" w:eastAsia="en-US" w:bidi="ar-SA"/>
        </w:rPr>
        <w:t>ongoing</w:t>
      </w:r>
      <w:r>
        <w:rPr>
          <w:rFonts w:ascii="arial" w:eastAsia="arial" w:hAnsi="arial" w:cs="arial"/>
          <w:color w:val="000000"/>
          <w:sz w:val="20"/>
          <w:lang w:val="en-US" w:eastAsia="en-US" w:bidi="ar-SA"/>
        </w:rPr>
        <w:t xml:space="preserve"> class actions before this Court, the Superior Court of Quebec, and the Federal Court of Canada. Mr. Lin also has a bachelor's degree in computer science and experience with database technologies and database security;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Jeremie Martin and Sebastien Paquette of Champlain Avocats in Montreal, experienced litigation lawyers who have acted as counsel in various class actions including several certified multi-jurisdictional class actions. Mr. Martin and Mr. Paquette are included in the B.C. Consortium through a co-counsel agreement with Evolink Law Group;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K.S. Garcha and Paul Sanghe of Garcha &amp; Company, a British Columbia firm focused on plaintiff-side class actions and personal injury matters, which is counsel in several current and recent product liability and data breach cases before this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Wong counsel argue they have the most experience prosecuting class actions concerning privacy, consumer protection, and product liability in jurisdictions across Canada. They have eight reported cases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Sache counsel describe Boughton as a full service, locally owned, Vancouver-based law firm. It has the resources, capacity, and expertise to prosecute the Sache Action to resolution. Counsel emphasize Boughton is a member of Meritas, a premier global alliance which requires strict adherence to uncompromising service standards to maintain status as a member. Meritas has member law firms in each Canadian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Mark Canafori is the head of Boughton's class action group and has extensive experience in litigation and class actions. Mr. Martin Sennott has broad complex commercial litigation experience, including acting for large groups in fraud and insolvency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Krygier counsel describe Koskie as a firm with class action experience across the country. It has acted as class counsel on a variety of topics and has evolved the law of class proceedings. Counsel argues Koskie lawyers are professional, reputable, and recognized for maintaining close contact with and producing excellent results for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was pointed out by opposing counsel that Koskie has experience in class actions but Mr. Baert and Mr. Tanel have only one reported decision in BC. Opposing counsel pointed to problems in their pleadings to demonstrate their inexperience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was emphasized Sache counsel have no significant experience in class proceedings. They have only one reported decision in BC. They also have no significant experience litigating breaches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Krygier counsel provided affidavit evidence their firm has the resources available to handle the information technology, communications, and document review infrastructure that will be required in this type of case: Krygier submissions at para. 16. Mr. Oppal, a lawyer at Boughton, deposed Boughton can prosecute complex litigation matters involving technology, data security, and privacy breaches. The Wong affidavits were silent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All the firms before me have the financial wherewithal to advance and prosecute the class action on behalf of their class members. All have capable and experienced lawyers with some history with class proceedings. The firms have sufficient resources to litigate against a powerful defendant. Lastly, minor problems in the pleadings that were put to me can be remedied by way of amendments. It is appropriate that any issues regarding the pleadings be more extensively canvassed at the certification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this to be a neutral factor.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 </w:t>
      </w:r>
      <w:r>
        <w:rPr>
          <w:rFonts w:ascii="arial" w:eastAsia="arial" w:hAnsi="arial" w:cs="arial"/>
          <w:b/>
          <w:i/>
          <w:color w:val="000000"/>
          <w:sz w:val="20"/>
          <w:lang w:val="en-US" w:eastAsia="en-US" w:bidi="ar-SA"/>
        </w:rPr>
        <w:t>Disqualifying Conflicts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Wong counsel argues i) there is a lack of clarity as to whether Krygier counsel would stay the BC action in favour of the Alberta action; and ii) there is no evidence before this Court of any mechanism regarding how Koskie might resolve conflicts of interest issues between their various proposed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response, Krygier counsel argue Wong counsel do not have a mechanism to address conflicts between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noting that multiple representative plaintiffs in multiple jurisdictions is common, I address Koskie's other actions under the "Interrelationship of Class Actions in More than one Jurisdiction" section. I addressed the lack of a mechanism to address conflicts of interest between counsel in the Wong Action under the "Fees and Consortium Agreements"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place no weight on these issues under this factor.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(6) </w:t>
      </w:r>
      <w:r>
        <w:rPr>
          <w:rFonts w:ascii="arial" w:eastAsia="arial" w:hAnsi="arial" w:cs="arial"/>
          <w:b/>
          <w:i/>
          <w:color w:val="000000"/>
          <w:sz w:val="20"/>
          <w:lang w:val="en-US" w:eastAsia="en-US" w:bidi="ar-SA"/>
        </w:rPr>
        <w:t>Relative Priority of Commencement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Since the actions were brought within a relatively close period of time, I decline to give this factor any weight on this motion: </w:t>
      </w:r>
      <w:r>
        <w:rPr>
          <w:rFonts w:ascii="arial" w:eastAsia="arial" w:hAnsi="arial" w:cs="arial"/>
          <w:i/>
          <w:color w:val="000000"/>
          <w:sz w:val="20"/>
          <w:lang w:val="en-US" w:eastAsia="en-US" w:bidi="ar-SA"/>
        </w:rPr>
        <w:t>Ewert</w:t>
      </w:r>
      <w:r>
        <w:rPr>
          <w:rFonts w:ascii="arial" w:eastAsia="arial" w:hAnsi="arial" w:cs="arial"/>
          <w:color w:val="000000"/>
          <w:sz w:val="20"/>
          <w:lang w:val="en-US" w:eastAsia="en-US" w:bidi="ar-SA"/>
        </w:rPr>
        <w:t xml:space="preserve">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(7) </w:t>
      </w:r>
      <w:r>
        <w:rPr>
          <w:rFonts w:ascii="arial" w:eastAsia="arial" w:hAnsi="arial" w:cs="arial"/>
          <w:b/>
          <w:i/>
          <w:color w:val="000000"/>
          <w:sz w:val="20"/>
          <w:lang w:val="en-US" w:eastAsia="en-US" w:bidi="ar-SA"/>
        </w:rPr>
        <w:t>Preparation and Readiness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Two of the proposed plaintiffs have taken steps to advance their claims, Mr. Krygier and Ms. Sache. Of the two, Krygier counsel has progressed the furthest in their preparation. According to Krygier submissions at para. 21, they have:</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researched the facts surrounding the data breach;</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freedom of information requests to the Privacy Commissioner of Canada with respect to the findings of any investigation regarding the data breach;</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corresponded with and met with counsel pursuing litigation arising out of this incident in the United States;</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consulted with counsel for the defendants;</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researched and developed an extensive theory of liability, particularly in respect of intrusion upon seclusion;</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consulted with and retained experts; and</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attended conferences and litigation meetings in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Sache counsel states in its application response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Boughton is better prepared to represent the proposed class. After research into the claims against Marriott, Boughton has communicated with counsel for Marriott as well as counsel for other proposed representative plaintiffs in other jurisdictions. Boughton has begun arranging cooperation amongst counsel across jurisdictions, and fully expects to cooperate with such counsel who obtain carriage in other jurisdictions. However, Boughton is prepared to fully prosecute the Sache Action in British Columbia to its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Sache counsel argued that it will bring efficiency to the proposed class action. It has two lawyers and staff at Boughton dedicated to the Sache Action. It is equipped to prosecute complex litigation matters involving technology, data security, and privacy breaches. It has a dedicated website for the Sache Action. Similarly, Krygier counsel points to their efficiencies with its proven capability to review tens of thousands of documents in an effective manner. Koskie is affiliated with a BC law firm and has a communications department which can engage with the putative class through various media in English and French. Wong counsel did not disclose what work, if any, they have undertaken to move this action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Sache counsel argues the materials filed by Wong counsel do not "meet the standards expected of a pleading or evidence submitted by counsel are capable of representing the best interests of the class": application response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Preparation and readiness is not an overriding factor in a carriage hearing: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paras. 108-115; </w:t>
      </w:r>
      <w:r>
        <w:rPr>
          <w:rFonts w:ascii="arial" w:eastAsia="arial" w:hAnsi="arial" w:cs="arial"/>
          <w:i/>
          <w:color w:val="000000"/>
          <w:sz w:val="20"/>
          <w:lang w:val="en-US" w:eastAsia="en-US" w:bidi="ar-SA"/>
        </w:rPr>
        <w:t>Laliberte</w:t>
      </w:r>
      <w:r>
        <w:rPr>
          <w:rFonts w:ascii="arial" w:eastAsia="arial" w:hAnsi="arial" w:cs="arial"/>
          <w:color w:val="000000"/>
          <w:sz w:val="20"/>
          <w:lang w:val="en-US" w:eastAsia="en-US" w:bidi="ar-SA"/>
        </w:rPr>
        <w:t xml:space="preserve"> at paras. 49-50; </w:t>
      </w:r>
      <w:r>
        <w:rPr>
          <w:rFonts w:ascii="arial" w:eastAsia="arial" w:hAnsi="arial" w:cs="arial"/>
          <w:i/>
          <w:color w:val="000000"/>
          <w:sz w:val="20"/>
          <w:lang w:val="en-US" w:eastAsia="en-US" w:bidi="ar-SA"/>
        </w:rPr>
        <w:t>Quenneville</w:t>
      </w:r>
      <w:r>
        <w:rPr>
          <w:rFonts w:ascii="arial" w:eastAsia="arial" w:hAnsi="arial" w:cs="arial"/>
          <w:color w:val="000000"/>
          <w:sz w:val="20"/>
          <w:lang w:val="en-US" w:eastAsia="en-US" w:bidi="ar-SA"/>
        </w:rPr>
        <w:t xml:space="preserve"> at paras. 96-97 [</w:t>
      </w:r>
      <w:r>
        <w:rPr>
          <w:rFonts w:ascii="arial" w:eastAsia="arial" w:hAnsi="arial" w:cs="arial"/>
          <w:i/>
          <w:color w:val="000000"/>
          <w:sz w:val="20"/>
          <w:lang w:val="en-US" w:eastAsia="en-US" w:bidi="ar-SA"/>
        </w:rPr>
        <w:t>Quenneville</w:t>
      </w:r>
      <w:r>
        <w:rPr>
          <w:rFonts w:ascii="arial" w:eastAsia="arial" w:hAnsi="arial" w:cs="arial"/>
          <w:color w:val="000000"/>
          <w:sz w:val="20"/>
          <w:lang w:val="en-US" w:eastAsia="en-US" w:bidi="ar-SA"/>
        </w:rPr>
        <w:t>]. All counsel demonstrate a considerable level of commitment to their actions. I place little weight on this factor.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(8) </w:t>
      </w:r>
      <w:r>
        <w:rPr>
          <w:rFonts w:ascii="arial" w:eastAsia="arial" w:hAnsi="arial" w:cs="arial"/>
          <w:b/>
          <w:i/>
          <w:color w:val="000000"/>
          <w:sz w:val="20"/>
          <w:lang w:val="en-US" w:eastAsia="en-US" w:bidi="ar-SA"/>
        </w:rPr>
        <w:t>Preparation and Performance on the Carriage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note the oversight of Wong counsel in not producing their retainer agreement as part of their initial application materials under this factor. Their reply affidavits contained important evidence for a carriage motion. As applicants, they bear the onus of proof on the motion. Courts across the country list fee agreements as an important factor to be considered on a carriage application: </w:t>
      </w:r>
      <w:r>
        <w:rPr>
          <w:rFonts w:ascii="arial" w:eastAsia="arial" w:hAnsi="arial" w:cs="arial"/>
          <w:i/>
          <w:color w:val="000000"/>
          <w:sz w:val="20"/>
          <w:lang w:val="en-US" w:eastAsia="en-US" w:bidi="ar-SA"/>
        </w:rPr>
        <w:t>Chu</w:t>
      </w:r>
      <w:r>
        <w:rPr>
          <w:rFonts w:ascii="arial" w:eastAsia="arial" w:hAnsi="arial" w:cs="arial"/>
          <w:color w:val="000000"/>
          <w:sz w:val="20"/>
          <w:lang w:val="en-US" w:eastAsia="en-US" w:bidi="ar-SA"/>
        </w:rPr>
        <w:t xml:space="preserve"> at paras. 4, 24-26. As stated by the Ontario Court of Appeal in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 xml:space="preserve"> at para. 18: "The proposed fee arrangement between class counsel and the representative plaintiff is a factor that vitally affects the interests of the class." This is certainly the case in BC: </w:t>
      </w:r>
      <w:r>
        <w:rPr>
          <w:rFonts w:ascii="arial" w:eastAsia="arial" w:hAnsi="arial" w:cs="arial"/>
          <w:i/>
          <w:color w:val="000000"/>
          <w:sz w:val="20"/>
          <w:lang w:val="en-US" w:eastAsia="en-US" w:bidi="ar-SA"/>
        </w:rPr>
        <w:t>Strohmaier SC</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Asquith v. George Weston Limited</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2018 BCSC 1557</w:t>
        </w:r>
      </w:hyperlink>
      <w:r>
        <w:rPr>
          <w:rFonts w:ascii="arial" w:eastAsia="arial" w:hAnsi="arial" w:cs="arial"/>
          <w:color w:val="000000"/>
          <w:sz w:val="20"/>
          <w:lang w:val="en-US" w:eastAsia="en-US" w:bidi="ar-SA"/>
        </w:rPr>
        <w:t xml:space="preserve"> at para. 15, aff'd </w:t>
      </w:r>
      <w:hyperlink r:id="rId192" w:history="1">
        <w:r>
          <w:rPr>
            <w:rFonts w:ascii="arial" w:eastAsia="arial" w:hAnsi="arial" w:cs="arial"/>
            <w:i/>
            <w:color w:val="0077CC"/>
            <w:sz w:val="20"/>
            <w:u w:val="single"/>
            <w:shd w:val="clear" w:color="auto" w:fill="FFFFFF"/>
            <w:lang w:val="en-US" w:eastAsia="en-US" w:bidi="ar-SA"/>
          </w:rPr>
          <w:t>2019 BCCA 447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Asquith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Wong counsel did not disclose what work, if any, they have undertaken to move this action forward. I also note the silence from Wong counsel regarding their capacity to manage the extensive communications and document review that accompanies this type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lack of any evidence from Wong counsel regarding these issues and the deficiencies in the carriage motion materials prior to the involvement of counsel who appeared at the carriage hearing demonstrates a lack of preparation for this application. While not determinative, I place some weight on this factor.</w:t>
      </w:r>
      <w:r>
        <w:rPr>
          <w:rFonts w:ascii="arial" w:eastAsia="arial" w:hAnsi="arial" w:cs="arial"/>
          <w:sz w:val="20"/>
          <w:lang w:val="en-US" w:eastAsia="en-US" w:bidi="ar-SA"/>
        </w:rPr>
        <w:cr/>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Case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Krygier counsel argues the lack of understanding of the factual basis for the proposed class proceeding will ultimately make certification more difficult in the Wong and Sache Actions. This is not a certification hearing. At this stage it is neither possible nor appropriate for the court to embark on a detailed analysis of the merits of this class proceeding. The court should only consider whether there are "conspicuous or egregious problems" or "readily apparent advantages and disadvantages in the competing theories":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xml:space="preserve"> at para. 150; </w:t>
      </w:r>
      <w:r>
        <w:rPr>
          <w:rFonts w:ascii="arial" w:eastAsia="arial" w:hAnsi="arial" w:cs="arial"/>
          <w:i/>
          <w:color w:val="000000"/>
          <w:sz w:val="20"/>
          <w:lang w:val="en-US" w:eastAsia="en-US" w:bidi="ar-SA"/>
        </w:rPr>
        <w:t>Strohmaier SC</w:t>
      </w:r>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this factor to be neutral.</w:t>
      </w:r>
      <w:r>
        <w:rPr>
          <w:rFonts w:ascii="arial" w:eastAsia="arial" w:hAnsi="arial" w:cs="arial"/>
          <w:sz w:val="20"/>
          <w:lang w:val="en-US" w:eastAsia="en-US" w:bidi="ar-SA"/>
        </w:rPr>
        <w:cr/>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Scope of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causes of action in the Wong Action include: breach of contract; breach of Marriott's privacy statement which incorporates the provisions of the </w:t>
      </w:r>
      <w:r>
        <w:rPr>
          <w:rFonts w:ascii="arial" w:eastAsia="arial" w:hAnsi="arial" w:cs="arial"/>
          <w:i/>
          <w:color w:val="000000"/>
          <w:sz w:val="20"/>
          <w:lang w:val="en-US" w:eastAsia="en-US" w:bidi="ar-SA"/>
        </w:rPr>
        <w:t>Personal Information Protection and Electronic Documents Act</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S.C. 2000, c.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Personal Information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63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and the statutory tort of violation of privacy contained in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causes of action in the Sache Action include: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statutory duties under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causes of action in the Krygier Action include: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tort of intrusion upon seclusion; waiver of tort; and breach of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as well as other provincial privacy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Sache and Krygier Actions are pleaded broadly; the Wong Action is pleaded narrowly. Wong counsel argues there are benefits to narrower pleadings, such as lessening the complexity of the proceedings and reducing the costs of all parties: </w:t>
      </w:r>
      <w:r>
        <w:rPr>
          <w:rFonts w:ascii="arial" w:eastAsia="arial" w:hAnsi="arial" w:cs="arial"/>
          <w:i/>
          <w:color w:val="000000"/>
          <w:sz w:val="20"/>
          <w:lang w:val="en-US" w:eastAsia="en-US" w:bidi="ar-SA"/>
        </w:rPr>
        <w:t>Kaplan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Casino Rama</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2019 ONSC 3310</w:t>
        </w:r>
      </w:hyperlink>
      <w:r>
        <w:rPr>
          <w:rFonts w:ascii="arial" w:eastAsia="arial" w:hAnsi="arial" w:cs="arial"/>
          <w:color w:val="000000"/>
          <w:sz w:val="20"/>
          <w:lang w:val="en-US" w:eastAsia="en-US" w:bidi="ar-SA"/>
        </w:rPr>
        <w:t xml:space="preserve"> at para. 9. Krygier counsel argues this Court is capable of addressing multiple causes of action and apart from a longer hearing, there is no downside to broader pleadings. Krygier counsel adds that where additional causes of action are genuinely viable, the potential for added costs and complexity does not weigh against granting carriage.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There is no hard and fast rule that a narrower case is to be preferred on a carriage motion. The "ultimate question is whether the proposed strategy is reasonable and defensible":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 xml:space="preserve"> at para. 47. In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 xml:space="preserve">, the Ontario Court of Appeal upheld the motion judge's decision that it was in the best interests of the class that the proposed action not be limited to one claim when three were genuinely viable: paras. 25 and 48. Moreover, pleading broadly or narrowly is of little import in a carriage hearing: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Wong and Krygier counsel are critical of Sache counsel for failing to plead a breach of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Sache counsel argue that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is subsumed in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Wong counsel is critical of the Krygier Action pleadings because it includes the tort of intrusion upon seclusion. Counsel argues this tort is not available in BC: </w:t>
      </w:r>
      <w:r>
        <w:rPr>
          <w:rFonts w:ascii="arial" w:eastAsia="arial" w:hAnsi="arial" w:cs="arial"/>
          <w:i/>
          <w:color w:val="000000"/>
          <w:sz w:val="20"/>
          <w:lang w:val="en-US" w:eastAsia="en-US" w:bidi="ar-SA"/>
        </w:rPr>
        <w:t>Tucci v. Peoples Trust Company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2017 BCSC 1525</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Tucci</w:t>
      </w:r>
      <w:r>
        <w:rPr>
          <w:rFonts w:ascii="arial" w:eastAsia="arial" w:hAnsi="arial" w:cs="arial"/>
          <w:color w:val="000000"/>
          <w:sz w:val="20"/>
          <w:lang w:val="en-US" w:eastAsia="en-US" w:bidi="ar-SA"/>
        </w:rPr>
        <w:t xml:space="preserve">]. While it is not the role of this Court to delve too deeply into the merits at this juncture, I am not persuaded it is plain and obvious there is no common law tort in BC without the benefit of a Court of Appeal decision. This matters little in the case before me because Krygier counsel pleaded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bookmarkStart w:id="75"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75"/>
      <w:r>
        <w:rPr>
          <w:rFonts w:ascii="arial" w:eastAsia="arial" w:hAnsi="arial" w:cs="arial"/>
          <w:color w:val="000000"/>
          <w:sz w:val="20"/>
          <w:lang w:val="en-US" w:eastAsia="en-US" w:bidi="ar-SA"/>
        </w:rPr>
        <w:t xml:space="preserve"> The intrusion upon seclusion tort is not necessary where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is pleaded: </w:t>
      </w:r>
      <w:r>
        <w:rPr>
          <w:rFonts w:ascii="arial" w:eastAsia="arial" w:hAnsi="arial" w:cs="arial"/>
          <w:i/>
          <w:color w:val="000000"/>
          <w:sz w:val="20"/>
          <w:lang w:val="en-US" w:eastAsia="en-US" w:bidi="ar-SA"/>
        </w:rPr>
        <w:t>Tucci</w:t>
      </w:r>
      <w:r>
        <w:rPr>
          <w:rFonts w:ascii="arial" w:eastAsia="arial" w:hAnsi="arial" w:cs="arial"/>
          <w:color w:val="000000"/>
          <w:sz w:val="20"/>
          <w:lang w:val="en-US" w:eastAsia="en-US" w:bidi="ar-SA"/>
        </w:rPr>
        <w:t xml:space="preserve"> at para.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Lastly, Wong counsel asserts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of action advanced by Krygier counsel is not amenable to certification. In response, Krygier counsel pointed to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where the Supreme Court of Canada found it was appropriate to certify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where the individual issues of injury and causation would be litigated after the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At this stage it is inappropriate for this Court to determine whether each and every cause of action will ultimately succeed. As Justice Skolrood stated at para. 44 of </w:t>
      </w:r>
      <w:r>
        <w:rPr>
          <w:rFonts w:ascii="arial" w:eastAsia="arial" w:hAnsi="arial" w:cs="arial"/>
          <w:i/>
          <w:color w:val="000000"/>
          <w:sz w:val="20"/>
          <w:lang w:val="en-US" w:eastAsia="en-US" w:bidi="ar-SA"/>
        </w:rPr>
        <w:t>Strohmaier SC</w:t>
      </w:r>
      <w:bookmarkStart w:id="76"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76"/>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 is neither possible nor appropriate for the court to embark on a detailed analysis of the merits and case theories of the different proceedings, beyond assessing whether there are 'conspicuous or egregious problems' or 'readily apparent advantages and disadvantages.'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question is whether the causes of action are viable. All counsel provided reasonable rationales for the causes of action they have advanced. The one concern is that the Sache Action did not plead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I place some but little weight on this factor.</w:t>
      </w:r>
      <w:r>
        <w:rPr>
          <w:rFonts w:ascii="arial" w:eastAsia="arial" w:hAnsi="arial" w:cs="arial"/>
          <w:sz w:val="20"/>
          <w:lang w:val="en-US" w:eastAsia="en-US" w:bidi="ar-SA"/>
        </w:rPr>
        <w:cr/>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Selection of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Although the Wong, Sache, and Krygier Actions claim against slightly different defendants within the Marriott corporate structure, there are no conspicuous or egregious problems with the selection of the defendants. I find this factor to be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(12) </w:t>
      </w:r>
      <w:r>
        <w:rPr>
          <w:rFonts w:ascii="arial" w:eastAsia="arial" w:hAnsi="arial" w:cs="arial"/>
          <w:b/>
          <w:i/>
          <w:color w:val="000000"/>
          <w:sz w:val="20"/>
          <w:lang w:val="en-US" w:eastAsia="en-US" w:bidi="ar-SA"/>
        </w:rPr>
        <w:t>Correlation of Plaintiffs and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Since each action has a viable claim against each defendant named in their respective actions, I find this factor to be neutral.</w:t>
      </w:r>
      <w:r>
        <w:rPr>
          <w:rFonts w:ascii="arial" w:eastAsia="arial" w:hAnsi="arial" w:cs="arial"/>
          <w:sz w:val="20"/>
          <w:lang w:val="en-US" w:eastAsia="en-US" w:bidi="ar-SA"/>
        </w:rPr>
        <w:cr/>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Proposed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Wong Action is a regional class proceeding brought by the three representative plaintiffs on their own behalf and on behalf of the following proposed 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individuals who reside in British Columbia and registered as a guest at any Starwood - branded property prior to November 30,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Sache Action is a regional class proceeding brought by Ms. Sache on her own behalf and on behalf of the following proposed 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Members consist of the Plaintiff and all British Columbian resident persons who had their personal information recorded and/or stored by Marriott and had that personal information accessed by an unauthorized individual or individuals on one or more occasions between 2014 and December 1, 2018, or such other class definition or class period as the Court may ultimately decide on the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Krygier Action is a national class proceeding brought by Mr. Krygier on his own behalf and on behalf of the following proposed 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Canadian residents, except for Excluded Persons, whose Personal Information was improperly accessed as a result of the Database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Excluded Persons from the class are the Defendants, their current and former officers and directors, members of their immediate families, and their legal representatives, heirs, successor or assignees.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most significant difference is the Wong Action and Sache Action propose provincial classes whereas the Krygier Action proposes a national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Wong and Sache counsel argue a BC class is preferable. It is worth mentioning that in its original pleadings, Mr. Wong and Ms. Bhinder pleaded a national class. Strategies change as the litigation proceeds but it does undermine their current argument that a BC action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Uniform Law Conference states national actions are often preferable to provincial class actions. An authoritative text on class actions, cited with approval in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came to a similar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problems of multiple class actions is particularly intense where there are numerous class actions in several jurisdictions across the country, some or all of which may claim to be national class actions bringing claims on behalf of Class Members across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positive attributes of a single national class is that it avoids duplication of fact finding, efficiently uses judicial resources, and eliminates the risk of inconsistent findings. A national class maximizes the efficiencies and access to justice that may be achieved by a class proceeding, and is more fair to defendants. These positive effects are diluted and may evaporate when there are multiple class actions.</w:t>
      </w:r>
      <w:bookmarkStart w:id="77"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7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coming to a decision, I must determine if having multiple class proceedings advance concurrently is in the best interests of the class and is fair to the defendants. I will address this issue under the "Interrelationship of Class Actions in More than one Jurisdiction"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a carriage motion courts should not delve too far into the merits. I do not find the different class definitions to be of much import in the current case. I find the class definition to be a neutral factor.</w:t>
      </w:r>
      <w:r>
        <w:rPr>
          <w:rFonts w:ascii="arial" w:eastAsia="arial" w:hAnsi="arial" w:cs="arial"/>
          <w:sz w:val="20"/>
          <w:lang w:val="en-US" w:eastAsia="en-US" w:bidi="ar-SA"/>
        </w:rPr>
        <w:cr/>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Krygier and Sache Actions identify individuals whose personal information has been compromised. The Wong Action's class definition is open ended in that it does not articulate the need for individuals' personal information to be compromised or a start date for the purposes of defining the class. This means their definition will capture individuals who were in Marriott system prior to the actual Data Breach that began in 2014. As Krygier counsel noted, the class goes back in perpetuity contrary to the reasoning in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Wong counsel provided no justification for this expansive class period. This is contrary to the "rational relationship test" articulated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a weakness of the Wong Action that the class definition does not bear a rational relationship to the common issues of all class members. Mindful that an over-inclusive class "can be pruned"</w:t>
      </w:r>
      <w:bookmarkStart w:id="78"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78"/>
      <w:r>
        <w:rPr>
          <w:rFonts w:ascii="arial" w:eastAsia="arial" w:hAnsi="arial" w:cs="arial"/>
          <w:color w:val="000000"/>
          <w:sz w:val="20"/>
          <w:lang w:val="en-US" w:eastAsia="en-US" w:bidi="ar-SA"/>
        </w:rPr>
        <w:t xml:space="preserve"> and this issue is more problematic at the certification stage, I place some but not undue weight on this factor.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(15) </w:t>
      </w:r>
      <w:r>
        <w:rPr>
          <w:rFonts w:ascii="arial" w:eastAsia="arial" w:hAnsi="arial" w:cs="arial"/>
          <w:b/>
          <w:i/>
          <w:color w:val="000000"/>
          <w:sz w:val="20"/>
          <w:lang w:val="en-US" w:eastAsia="en-US" w:bidi="ar-SA"/>
        </w:rPr>
        <w:t>Prospect of Success: (Leave and)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As previously stated, the three actions present no conspicuous or egregious problems or errors. It is not this Court's role on a carriage motion to embark on a detailed analysis of the merits of the different proceedings: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paras. 117-119;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 xml:space="preserve"> at para. 42. Consequently, I find this factor to be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(16) </w:t>
      </w:r>
      <w:r>
        <w:rPr>
          <w:rFonts w:ascii="arial" w:eastAsia="arial" w:hAnsi="arial" w:cs="arial"/>
          <w:b/>
          <w:i/>
          <w:color w:val="000000"/>
          <w:sz w:val="20"/>
          <w:lang w:val="en-US" w:eastAsia="en-US" w:bidi="ar-SA"/>
        </w:rPr>
        <w:t>Prospect of Success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While the proposed class proceedings may be scrutinized for "glaring deficiencies", it is inappropriate for this Court to undertake an analysis of which claim is most likely to succeed: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paras. 117-119;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 xml:space="preserve"> at para. 42. Any analysis beyond "glaring deficiencies" is saved for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therefore find this factor to be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(17) </w:t>
      </w:r>
      <w:r>
        <w:rPr>
          <w:rFonts w:ascii="arial" w:eastAsia="arial" w:hAnsi="arial" w:cs="arial"/>
          <w:b/>
          <w:i/>
          <w:color w:val="000000"/>
          <w:sz w:val="20"/>
          <w:lang w:val="en-US" w:eastAsia="en-US" w:bidi="ar-SA"/>
        </w:rPr>
        <w:t>Interrelationship of Class Actions in More than one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the most important factor in the immediate case is the interrelationship of class actions in other jurisdictions. While the other issues are important, the crucial issue is whether having numerous regional actions overlapping with what will likely be one national class action will promote the best interests of the class members and provide fairness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Carriage motions are one of the mechanisms available to address the problem of multiplicity of class proceedings. The problems that arise due to a multiplicity of class proceedings and the foundational principles of behavior modification and judicial economy were canvassed by Perell J. in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xml:space="preserve"> at paras. 226, 231-257. He emphasized the Ontario </w:t>
      </w:r>
      <w:r>
        <w:rPr>
          <w:rFonts w:ascii="arial" w:eastAsia="arial" w:hAnsi="arial" w:cs="arial"/>
          <w:i/>
          <w:color w:val="000000"/>
          <w:sz w:val="20"/>
          <w:lang w:val="en-US" w:eastAsia="en-US" w:bidi="ar-SA"/>
        </w:rPr>
        <w:t>Class Proceeding Act 1992</w:t>
      </w:r>
      <w:r>
        <w:rPr>
          <w:rFonts w:ascii="arial" w:eastAsia="arial" w:hAnsi="arial" w:cs="arial"/>
          <w:color w:val="000000"/>
          <w:sz w:val="20"/>
          <w:lang w:val="en-US" w:eastAsia="en-US" w:bidi="ar-SA"/>
        </w:rPr>
        <w:t xml:space="preserve"> was designed to provide access to justice where there are classes of plaintiffs while concurrently avoiding a multiplicity of proceedings. In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 60 he acknowledged that a multiplicity of proceedings is not always problematic. There will be circumstances where "more than one class action about the same wrongdoing is unobjectionable and even advantageous."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Wong and Sache counsel argue they will advance a claim on behalf of affected BC residents rather than duplicate existing national class actions. They have no other proceedings in Canada regarding this Data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Krygier Action is the only action that is pursuing a national strategy. Sache counsel argue the commencement by a plaintiff in more than one action against the same defendant, based on the same dispute, can be an abuse of process. These submissions were directed at the Krygier Action. The court will examine whether a firm's approach undermines the integrity of the adjudicative process: </w:t>
      </w:r>
      <w:r>
        <w:rPr>
          <w:rFonts w:ascii="arial" w:eastAsia="arial" w:hAnsi="arial" w:cs="arial"/>
          <w:i/>
          <w:color w:val="000000"/>
          <w:sz w:val="20"/>
          <w:lang w:val="en-US" w:eastAsia="en-US" w:bidi="ar-SA"/>
        </w:rPr>
        <w:t>Drover v. BCE Inc.</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2013 BCSC 1341</w:t>
        </w:r>
      </w:hyperlink>
      <w:r>
        <w:rPr>
          <w:rFonts w:ascii="arial" w:eastAsia="arial" w:hAnsi="arial" w:cs="arial"/>
          <w:color w:val="000000"/>
          <w:sz w:val="20"/>
          <w:lang w:val="en-US" w:eastAsia="en-US" w:bidi="ar-SA"/>
        </w:rPr>
        <w:t xml:space="preserve"> at paras. 20 and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Wong counsel argue Koskie is applying for an overlapping national class actions because the BC members would also be members of the proposed classes in Alberta and Ontario. Wong counsel argue advancing three national proceedings concurrently will result in inefficiency, confusion, and unnecessary expense to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If all actions were to proceed I would agree. At this stage the question is whether there should be a provincial class or a national class. The question is not where the class action should be prosecuted. Jurisdictional issues are generally determined at the certification stage of the proceedings: </w:t>
      </w:r>
      <w:r>
        <w:rPr>
          <w:rFonts w:ascii="arial" w:eastAsia="arial" w:hAnsi="arial" w:cs="arial"/>
          <w:i/>
          <w:color w:val="000000"/>
          <w:sz w:val="20"/>
          <w:lang w:val="en-US" w:eastAsia="en-US" w:bidi="ar-SA"/>
        </w:rPr>
        <w:t>Fantov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 Bread Company, Limited</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2019 BCCA 447</w:t>
        </w:r>
      </w:hyperlink>
      <w:r>
        <w:rPr>
          <w:rFonts w:ascii="arial" w:eastAsia="arial" w:hAnsi="arial" w:cs="arial"/>
          <w:color w:val="000000"/>
          <w:sz w:val="20"/>
          <w:lang w:val="en-US" w:eastAsia="en-US" w:bidi="ar-SA"/>
        </w:rPr>
        <w:t xml:space="preserve"> at paras. 51 and 66 [</w:t>
      </w:r>
      <w:r>
        <w:rPr>
          <w:rFonts w:ascii="arial" w:eastAsia="arial" w:hAnsi="arial" w:cs="arial"/>
          <w:i/>
          <w:color w:val="000000"/>
          <w:sz w:val="20"/>
          <w:lang w:val="en-US" w:eastAsia="en-US" w:bidi="ar-SA"/>
        </w:rPr>
        <w:t>Fantov</w:t>
      </w:r>
      <w:r>
        <w:rPr>
          <w:rFonts w:ascii="arial" w:eastAsia="arial" w:hAnsi="arial" w:cs="arial"/>
          <w:color w:val="000000"/>
          <w:sz w:val="20"/>
          <w:lang w:val="en-US" w:eastAsia="en-US" w:bidi="ar-SA"/>
        </w:rPr>
        <w:t xml:space="preserve">]. As set out in s. 4 of the </w:t>
      </w:r>
      <w:r>
        <w:rPr>
          <w:rFonts w:ascii="arial" w:eastAsia="arial" w:hAnsi="arial" w:cs="arial"/>
          <w:i/>
          <w:color w:val="000000"/>
          <w:sz w:val="20"/>
          <w:lang w:val="en-US" w:eastAsia="en-US" w:bidi="ar-SA"/>
        </w:rPr>
        <w:t>CPAA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multi-jurisdictional class proceeding or a proposed multi-jurisdictional class proceeding has been commenced elsewhere in Canada and involves the same or similar subject matter to that of the proceeding being considered for certification, the court must determine whether it would be preferable for some or all of the claims of the proposed class members, or some or all of the common issues raised by those claims, to be resolved in the proceeding commenced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Krygier counsel acknowledges if carriage is granted to its proposed class, the likely result is there will be an application to stay any two of the Ontario, Alberta, and BC actions. It is not anticipated that more than one national class action will proceed against Marriott regarding this Data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Perell J. suggested how the multiple national class actions could be dealt with: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To sort out this procedural morass, I suggest that: (a) either the Marriott Defendants simultaneously bring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motions in British Columbia, Alberta, Ontario, Québec, and Nova Scotia; or (b) Siskinds LLP simultaneously bring motions in British Columbia, Alberta, Ontario, Québec, and Nova Scotia to settle how many class actions should proceed pursuant to the model of [the] Uniform Law Conference's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On October 17, 2019 Marriott counsel advised they intend to adopt the first suggestion. Therefore the question is whether a national proceeding is preferable or whether there is a legitimate purpose served in running a parallel class action in BC: </w:t>
      </w:r>
      <w:r>
        <w:rPr>
          <w:rFonts w:ascii="arial" w:eastAsia="arial" w:hAnsi="arial" w:cs="arial"/>
          <w:i/>
          <w:color w:val="000000"/>
          <w:sz w:val="20"/>
          <w:lang w:val="en-US" w:eastAsia="en-US" w:bidi="ar-SA"/>
        </w:rPr>
        <w:t>Asquith</w:t>
      </w:r>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Based on the current jurisprudence, a parallel action should only be permitted if there is a persuasive reason regional interests cannot be subsumed into the national class. National class actions are generally preferable unless there are good reasons why they cannot properly represent provincial or regional interests. The Uniform Law Conference articulated the problems with a multiplicity of class actions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Just as the class action is generally superior to a series of individual actions, the national class action may be superior to a series of provincial actions, even if the latter can be coordinated to a certain extent by plaintiff's counsel. The national class serves judicial economy by avoiding duplication of fact finding, judicial analysis and pretrial procedures and eliminates the risk of inconsistent findings. It increases access to justice by spreading litigation costs across a larger group of claimants, thus reducing the litigation costs of each claim, increasing both settlement incentives and compensation per claim and increasing the likelihood that valid claims will be brought forward. This in turn serves the goal of behaviour modification, serving efficiency and justice by ensuring that actual and potential wrongdoers do not ignore their obligations to the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By comparison, multiple provincial class actions work against the interests of absent class members, who are the intended beneficiaries of class action legislation, and frustrate the efforts of class counsel, whose economic interests determine, to some degree, whether or not class actions are brought. Absent class members want quick and effective resolution to their claims. This outcome becomes less likely when there are 13 overlapping actions with 13 different counsel. The uncertainty created by the potential for multiple actions may also mean that fewer class actions will be brought, since (1) class counsel in any given jurisdiction will not know the scope of the class that he or she will eventually be granted authority to represent; and (2) this in turn will make some class actions less economically viable, since counsel will have to enter into financial arrangements with multiple counsel, thus reducing both the expected fee and potential compensation to class members.</w:t>
      </w:r>
      <w:bookmarkStart w:id="79"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7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the Ontario carriage motion regarding the same defendant and the same Data Breach, Perell J. emphasized the recommendations of the Uniform Law Conference which have been adopted in BC.</w:t>
      </w:r>
      <w:bookmarkStart w:id="80"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80"/>
      <w:r>
        <w:rPr>
          <w:rFonts w:ascii="arial" w:eastAsia="arial" w:hAnsi="arial" w:cs="arial"/>
          <w:color w:val="000000"/>
          <w:sz w:val="20"/>
          <w:lang w:val="en-US" w:eastAsia="en-US" w:bidi="ar-SA"/>
        </w:rPr>
        <w:t xml:space="preserve"> He held a national class action appeared preferable in this litigation: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 147. As Perell J. explained: "Based on the record on the carriage motion, there is a reasonably strong case that a single national class action be it in British Columbia, Alberta, or Ontario would provide access to justice, behaviour modification, and judicial economy":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 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If regional interests can be subsumed into the national class, the regional class action(s) may piggyback on a national class action or the parallel action will overlap with other actions across the country. Justice Baker commented on the undesirability of piggyback actions in </w:t>
      </w:r>
      <w:r>
        <w:rPr>
          <w:rFonts w:ascii="arial" w:eastAsia="arial" w:hAnsi="arial" w:cs="arial"/>
          <w:i/>
          <w:color w:val="000000"/>
          <w:sz w:val="20"/>
          <w:lang w:val="en-US" w:eastAsia="en-US" w:bidi="ar-SA"/>
        </w:rPr>
        <w:t>Asquith</w:t>
      </w:r>
      <w:r>
        <w:rPr>
          <w:rFonts w:ascii="arial" w:eastAsia="arial" w:hAnsi="arial" w:cs="arial"/>
          <w:color w:val="000000"/>
          <w:sz w:val="20"/>
          <w:lang w:val="en-US" w:eastAsia="en-US" w:bidi="ar-SA"/>
        </w:rPr>
        <w:t xml:space="preserve"> at para. 71, as did Perell J. in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I agree that a multiplicity of proceedings is generally not desirable and undermines the purpose of class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Koskie filed national class actions in Ontario and BC and a regional class action in Nova Scotia. It is also working with counsel regarding the proposed national class action filed in Alberta. In Ontario, Siskinds LLP has carriage of the proposed national class proceeding. Koskie was unsuccessful in the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Koskie counsel argued at the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carriage motion that it wanted the Ontario action to proceed: Sayce Affidavit; Hamidi Affidavit, Exhibit U, paras. 81-83. However, Koskie stated before me that it will advance the Krygier Action if it is granted carriage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Wong and Sache Actions contemplate an action in BC but they will overlap with the actions in Alberta and Ontario. While there is no rule that overlapping classes must be avoided, they are often not desirable: </w:t>
      </w:r>
      <w:r>
        <w:rPr>
          <w:rFonts w:ascii="arial" w:eastAsia="arial" w:hAnsi="arial" w:cs="arial"/>
          <w:i/>
          <w:color w:val="000000"/>
          <w:sz w:val="20"/>
          <w:lang w:val="en-US" w:eastAsia="en-US" w:bidi="ar-SA"/>
        </w:rPr>
        <w:t>Wilson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DePuy International Ltd.</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2019 BCCA 440</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Asquith</w:t>
      </w:r>
      <w:bookmarkStart w:id="81"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81"/>
      <w:r>
        <w:rPr>
          <w:rFonts w:ascii="arial" w:eastAsia="arial" w:hAnsi="arial" w:cs="arial"/>
          <w:color w:val="000000"/>
          <w:sz w:val="20"/>
          <w:lang w:val="en-US" w:eastAsia="en-US" w:bidi="ar-SA"/>
        </w:rPr>
        <w:t xml:space="preserve">, Wong counsel argue the interests of BC class members are different from class members in the rest of Canada. Wong counsel argue its action should proceed because of the availability of the statutory tort under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is unique because it does not require the plaintiffs to prove damages. Further, s. 4 of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requires this cause of action to be heard and determined by the BC Supreme Court.</w:t>
      </w:r>
      <w:bookmarkStart w:id="82"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8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Asquith</w:t>
      </w:r>
      <w:r>
        <w:rPr>
          <w:rFonts w:ascii="arial" w:eastAsia="arial" w:hAnsi="arial" w:cs="arial"/>
          <w:color w:val="000000"/>
          <w:sz w:val="20"/>
          <w:lang w:val="en-US" w:eastAsia="en-US" w:bidi="ar-SA"/>
        </w:rPr>
        <w:t>, a proposed bread price fixing class action, Baker J. was persuaded the bread market appeared to be more dispersed in BC than in other Canadian jurisdictions. She also found the Asquith action included an umbrella purchaser claim that could be more readily advanced in BC.</w:t>
      </w:r>
      <w:bookmarkStart w:id="83"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83"/>
      <w:r>
        <w:rPr>
          <w:rFonts w:ascii="arial" w:eastAsia="arial" w:hAnsi="arial" w:cs="arial"/>
          <w:color w:val="000000"/>
          <w:sz w:val="20"/>
          <w:lang w:val="en-US" w:eastAsia="en-US" w:bidi="ar-SA"/>
        </w:rPr>
        <w:t xml:space="preserve"> In these circumstances, she was unwilling to preclude the development of the action in BC at the carriage stage. At para. 51 she noted the plaintiff Asquith would be faced with more onerous tests at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While both Sache and Wong counsel argue a BC action is necessary, Wong counsel had a more persuasive reason--the availability of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which relieves proposed class members from proving damages. But the Krygier Action also pleaded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This issue does not distinguish the Wong Action from the Krygier Action. If a national action were to proceed in Ontario rather than BC, the tort of intrusion upon exclusion is available. While not identical to the benefits under the BC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bookmarkStart w:id="84"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84"/>
      <w:r>
        <w:rPr>
          <w:rFonts w:ascii="arial" w:eastAsia="arial" w:hAnsi="arial" w:cs="arial"/>
          <w:color w:val="000000"/>
          <w:sz w:val="20"/>
          <w:lang w:val="en-US" w:eastAsia="en-US" w:bidi="ar-SA"/>
        </w:rPr>
        <w:t xml:space="preserve"> I do not see the difference as significant enough to justify a regional action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Moreover, these proposed class actions can be distinguished from the factual matrix in </w:t>
      </w:r>
      <w:r>
        <w:rPr>
          <w:rFonts w:ascii="arial" w:eastAsia="arial" w:hAnsi="arial" w:cs="arial"/>
          <w:i/>
          <w:color w:val="000000"/>
          <w:sz w:val="20"/>
          <w:lang w:val="en-US" w:eastAsia="en-US" w:bidi="ar-SA"/>
        </w:rPr>
        <w:t>Asquith</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Asquith</w:t>
      </w:r>
      <w:r>
        <w:rPr>
          <w:rFonts w:ascii="arial" w:eastAsia="arial" w:hAnsi="arial" w:cs="arial"/>
          <w:color w:val="000000"/>
          <w:sz w:val="20"/>
          <w:lang w:val="en-US" w:eastAsia="en-US" w:bidi="ar-SA"/>
        </w:rPr>
        <w:t xml:space="preserve"> the plaintiff raised a serious question of regional market differences between BC and other parts of Canada. Baker J. accepted there were regional market differences, as well as the umbrella purchaser claim, which distinguished the Asquith claim from those in other jurisdictions. She acknowledged at para. 55 the David Action was being pursued for a national class in Ontario</w:t>
      </w:r>
      <w:bookmarkStart w:id="85"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85"/>
      <w:r>
        <w:rPr>
          <w:rFonts w:ascii="arial" w:eastAsia="arial" w:hAnsi="arial" w:cs="arial"/>
          <w:color w:val="000000"/>
          <w:sz w:val="20"/>
          <w:lang w:val="en-US" w:eastAsia="en-US" w:bidi="ar-SA"/>
        </w:rPr>
        <w:t xml:space="preserve"> covering the same subject matter. However, it was being pursued on a theory which did not address the unique considerations of the retail market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At this juncture I am not persuaded there are regional differences in BC sufficient to permit a BC class to proceed as a stand alone action. Having a parallel action in BC does not promote judicial economy and may lead to inconsistent outcomes. However this issue will be more fully canvassed at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Krygier Action is a national action. Koskie advised this Court they will seek to have a national class certified in BC if the Krygier Action is granted carriage. The Sache Action and Wong Action might proceed if granted carriage but they could piggyback on other actions, contrary to the statements made by Baker J. in </w:t>
      </w:r>
      <w:r>
        <w:rPr>
          <w:rFonts w:ascii="arial" w:eastAsia="arial" w:hAnsi="arial" w:cs="arial"/>
          <w:i/>
          <w:color w:val="000000"/>
          <w:sz w:val="20"/>
          <w:lang w:val="en-US" w:eastAsia="en-US" w:bidi="ar-SA"/>
        </w:rPr>
        <w:t>Asquith</w:t>
      </w:r>
      <w:r>
        <w:rPr>
          <w:rFonts w:ascii="arial" w:eastAsia="arial" w:hAnsi="arial" w:cs="arial"/>
          <w:color w:val="000000"/>
          <w:sz w:val="20"/>
          <w:lang w:val="en-US" w:eastAsia="en-US" w:bidi="ar-SA"/>
        </w:rPr>
        <w:t xml:space="preserve">. Also, in the companion case in Ontario, Perell J. found it determinative that Siskinds LLP envisioned a single national class action proceeding in one province: </w:t>
      </w:r>
      <w:r>
        <w:rPr>
          <w:rFonts w:ascii="arial" w:eastAsia="arial" w:hAnsi="arial" w:cs="arial"/>
          <w:i/>
          <w:color w:val="000000"/>
          <w:sz w:val="20"/>
          <w:lang w:val="en-US" w:eastAsia="en-US" w:bidi="ar-SA"/>
        </w:rPr>
        <w:t>Winder</w:t>
      </w:r>
      <w:r>
        <w:rPr>
          <w:rFonts w:ascii="arial" w:eastAsia="arial" w:hAnsi="arial" w:cs="arial"/>
          <w:color w:val="000000"/>
          <w:sz w:val="20"/>
          <w:lang w:val="en-US" w:eastAsia="en-US" w:bidi="ar-SA"/>
        </w:rPr>
        <w:t xml:space="preserve"> at paras. 54-76, 137-152.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this stage my view is a multiplicity of proceedings is misconceived. A national action is in the best interests of the proposed class, conserves judicial resources, is fair to the defendants, and avoids the embarrassment of conflicting decisions from courts across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interrelationship of class actions favours the Krygier Action. By granting carriage to the Krygier Action there will be a national class action. The question remains whether the BC action, the Ontario action, or the Alberta action will proceed.</w:t>
      </w:r>
      <w:bookmarkStart w:id="86"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86"/>
      <w:r>
        <w:rPr>
          <w:rFonts w:ascii="arial" w:eastAsia="arial" w:hAnsi="arial" w:cs="arial"/>
          <w:color w:val="000000"/>
          <w:sz w:val="20"/>
          <w:lang w:val="en-US" w:eastAsia="en-US" w:bidi="ar-SA"/>
        </w:rPr>
        <w:t xml:space="preserve"> It will be for the courts to determine which proposed national class action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For the above reasons, I grant carriage to Krygier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Wong Action and Sache Action are stayed until certification in the present action is finally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No further proposed class proceedings in respect of the Marriott Data Breach shall be filed in the province of British Columbia without leave of this Court, until certification in the Krygier Action is finally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Each party shall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MacDONALD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81" style="position:absolute;z-index:25186713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87"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87"/>
      <w:r>
        <w:rPr>
          <w:rFonts w:ascii="arial" w:eastAsia="arial" w:hAnsi="arial" w:cs="arial"/>
          <w:sz w:val="20"/>
          <w:lang w:val="en-US" w:eastAsia="en-US" w:bidi="ar-SA"/>
        </w:rPr>
        <w:tab/>
      </w:r>
      <w:r>
        <w:rPr>
          <w:rFonts w:ascii="arial" w:eastAsia="arial" w:hAnsi="arial" w:cs="arial"/>
          <w:i/>
          <w:color w:val="6D6E71"/>
          <w:sz w:val="18"/>
          <w:lang w:val="en-US" w:eastAsia="en-US" w:bidi="ar-SA"/>
        </w:rPr>
        <w:t>Lost Lake Properties Ltd. v. Sunshine Ridge Properties Ltd.,</w:t>
      </w:r>
      <w:r>
        <w:rPr>
          <w:rFonts w:ascii="arial" w:eastAsia="arial" w:hAnsi="arial" w:cs="arial"/>
          <w:color w:val="6D6E71"/>
          <w:sz w:val="18"/>
          <w:lang w:val="en-US" w:eastAsia="en-US" w:bidi="ar-SA"/>
        </w:rPr>
        <w:t xml:space="preserve"> </w:t>
      </w:r>
      <w:hyperlink r:id="rId200" w:history="1">
        <w:r>
          <w:rPr>
            <w:rFonts w:ascii="arial" w:eastAsia="arial" w:hAnsi="arial" w:cs="arial"/>
            <w:i/>
            <w:color w:val="0077CC"/>
            <w:sz w:val="18"/>
            <w:u w:val="single"/>
            <w:shd w:val="clear" w:color="auto" w:fill="FFFFFF"/>
            <w:lang w:val="en-US" w:eastAsia="en-US" w:bidi="ar-SA"/>
          </w:rPr>
          <w:t>2009 BCSC 938</w:t>
        </w:r>
      </w:hyperlink>
      <w:r>
        <w:rPr>
          <w:rFonts w:ascii="arial" w:eastAsia="arial" w:hAnsi="arial" w:cs="arial"/>
          <w:color w:val="6D6E71"/>
          <w:sz w:val="18"/>
          <w:lang w:val="en-US" w:eastAsia="en-US" w:bidi="ar-SA"/>
        </w:rPr>
        <w:t xml:space="preserve"> at para. 67, aff'd </w:t>
      </w:r>
      <w:hyperlink r:id="rId201" w:history="1">
        <w:r>
          <w:rPr>
            <w:rFonts w:ascii="arial" w:eastAsia="arial" w:hAnsi="arial" w:cs="arial"/>
            <w:i/>
            <w:color w:val="0077CC"/>
            <w:sz w:val="18"/>
            <w:u w:val="single"/>
            <w:shd w:val="clear" w:color="auto" w:fill="FFFFFF"/>
            <w:lang w:val="en-US" w:eastAsia="en-US" w:bidi="ar-SA"/>
          </w:rPr>
          <w:t>2011 BCCA 473</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88"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88"/>
      <w:r>
        <w:rPr>
          <w:rFonts w:ascii="arial" w:eastAsia="arial" w:hAnsi="arial" w:cs="arial"/>
          <w:sz w:val="20"/>
          <w:lang w:val="en-US" w:eastAsia="en-US" w:bidi="ar-SA"/>
        </w:rPr>
        <w:tab/>
      </w:r>
      <w:r>
        <w:rPr>
          <w:rFonts w:ascii="arial" w:eastAsia="arial" w:hAnsi="arial" w:cs="arial"/>
          <w:color w:val="6D6E71"/>
          <w:sz w:val="18"/>
          <w:lang w:val="en-US" w:eastAsia="en-US" w:bidi="ar-SA"/>
        </w:rPr>
        <w:t>Costs and disbursements are paid to Koskie prior to calculating recovery.</w:t>
      </w:r>
    </w:p>
    <w:p>
      <w:pPr>
        <w:spacing w:before="120" w:after="20" w:line="240" w:lineRule="atLeast"/>
        <w:ind w:left="720" w:hanging="360"/>
        <w:jc w:val="both"/>
        <w:rPr>
          <w:rFonts w:ascii="arial" w:eastAsia="arial" w:hAnsi="arial" w:cs="arial"/>
          <w:sz w:val="20"/>
          <w:lang w:val="en-US" w:eastAsia="en-US" w:bidi="ar-SA"/>
        </w:rPr>
      </w:pPr>
      <w:bookmarkStart w:id="89"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89"/>
      <w:r>
        <w:rPr>
          <w:rFonts w:ascii="arial" w:eastAsia="arial" w:hAnsi="arial" w:cs="arial"/>
          <w:sz w:val="20"/>
          <w:lang w:val="en-US" w:eastAsia="en-US" w:bidi="ar-SA"/>
        </w:rPr>
        <w:tab/>
      </w:r>
      <w:r>
        <w:rPr>
          <w:rFonts w:ascii="arial" w:eastAsia="arial" w:hAnsi="arial" w:cs="arial"/>
          <w:color w:val="6D6E71"/>
          <w:sz w:val="18"/>
          <w:lang w:val="en-US" w:eastAsia="en-US" w:bidi="ar-SA"/>
        </w:rPr>
        <w:t>Vancouver, BC, March 9, 2005, at para. 18.</w:t>
      </w:r>
    </w:p>
    <w:p>
      <w:pPr>
        <w:spacing w:before="120" w:after="20" w:line="240" w:lineRule="atLeast"/>
        <w:ind w:left="720" w:hanging="360"/>
        <w:jc w:val="both"/>
        <w:rPr>
          <w:rFonts w:ascii="arial" w:eastAsia="arial" w:hAnsi="arial" w:cs="arial"/>
          <w:sz w:val="20"/>
          <w:lang w:val="en-US" w:eastAsia="en-US" w:bidi="ar-SA"/>
        </w:rPr>
      </w:pPr>
      <w:bookmarkStart w:id="90"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90"/>
      <w:r>
        <w:rPr>
          <w:rFonts w:ascii="arial" w:eastAsia="arial" w:hAnsi="arial" w:cs="arial"/>
          <w:sz w:val="20"/>
          <w:lang w:val="en-US" w:eastAsia="en-US" w:bidi="ar-SA"/>
        </w:rPr>
        <w:tab/>
      </w:r>
      <w:r>
        <w:rPr>
          <w:rFonts w:ascii="arial" w:eastAsia="arial" w:hAnsi="arial" w:cs="arial"/>
          <w:color w:val="6D6E71"/>
          <w:sz w:val="18"/>
          <w:lang w:val="en-US" w:eastAsia="en-US" w:bidi="ar-SA"/>
        </w:rPr>
        <w:t>The counsel from Quebec practice in a civil law jurisdiction.</w:t>
      </w:r>
    </w:p>
    <w:p>
      <w:pPr>
        <w:spacing w:before="120" w:after="20" w:line="240" w:lineRule="atLeast"/>
        <w:ind w:left="720" w:hanging="360"/>
        <w:jc w:val="both"/>
        <w:rPr>
          <w:rFonts w:ascii="arial" w:eastAsia="arial" w:hAnsi="arial" w:cs="arial"/>
          <w:sz w:val="20"/>
          <w:lang w:val="en-US" w:eastAsia="en-US" w:bidi="ar-SA"/>
        </w:rPr>
      </w:pPr>
      <w:bookmarkStart w:id="91"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9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This concern would only arise if Krygier counsel proceed with the Alberta action rather than the one in BC. If counsel litigate in BC they will have the benefit of the BC </w:t>
      </w:r>
      <w:r>
        <w:rPr>
          <w:rFonts w:ascii="arial" w:eastAsia="arial" w:hAnsi="arial" w:cs="arial"/>
          <w:i/>
          <w:color w:val="6D6E71"/>
          <w:sz w:val="18"/>
          <w:lang w:val="en-US" w:eastAsia="en-US" w:bidi="ar-SA"/>
        </w:rPr>
        <w:t>Privacy Act.</w:t>
      </w:r>
    </w:p>
    <w:p>
      <w:pPr>
        <w:spacing w:before="120" w:after="20" w:line="240" w:lineRule="atLeast"/>
        <w:ind w:left="720" w:hanging="360"/>
        <w:jc w:val="both"/>
        <w:rPr>
          <w:rFonts w:ascii="arial" w:eastAsia="arial" w:hAnsi="arial" w:cs="arial"/>
          <w:sz w:val="20"/>
          <w:lang w:val="en-US" w:eastAsia="en-US" w:bidi="ar-SA"/>
        </w:rPr>
      </w:pPr>
      <w:bookmarkStart w:id="92"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9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Skolrood J. was relying on the judgment in </w:t>
      </w:r>
      <w:r>
        <w:rPr>
          <w:rFonts w:ascii="arial" w:eastAsia="arial" w:hAnsi="arial" w:cs="arial"/>
          <w:i/>
          <w:color w:val="6D6E71"/>
          <w:sz w:val="18"/>
          <w:lang w:val="en-US" w:eastAsia="en-US" w:bidi="ar-SA"/>
        </w:rPr>
        <w:t>Kowalyshyn.</w:t>
      </w:r>
    </w:p>
    <w:p>
      <w:pPr>
        <w:spacing w:before="120" w:after="20" w:line="240" w:lineRule="atLeast"/>
        <w:ind w:left="720" w:hanging="360"/>
        <w:jc w:val="both"/>
        <w:rPr>
          <w:rFonts w:ascii="arial" w:eastAsia="arial" w:hAnsi="arial" w:cs="arial"/>
          <w:sz w:val="20"/>
          <w:lang w:val="en-US" w:eastAsia="en-US" w:bidi="ar-SA"/>
        </w:rPr>
      </w:pPr>
      <w:bookmarkStart w:id="93"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9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W.K. Winkler, P.M. Perell, J. Kalajdzic, and A. Warner, </w:t>
      </w:r>
      <w:r>
        <w:rPr>
          <w:rFonts w:ascii="arial" w:eastAsia="arial" w:hAnsi="arial" w:cs="arial"/>
          <w:i/>
          <w:color w:val="6D6E71"/>
          <w:sz w:val="18"/>
          <w:lang w:val="en-US" w:eastAsia="en-US" w:bidi="ar-SA"/>
        </w:rPr>
        <w:t>The Law of Class Actions in Canada</w:t>
      </w:r>
      <w:r>
        <w:rPr>
          <w:rFonts w:ascii="arial" w:eastAsia="arial" w:hAnsi="arial" w:cs="arial"/>
          <w:color w:val="6D6E71"/>
          <w:sz w:val="18"/>
          <w:lang w:val="en-US" w:eastAsia="en-US" w:bidi="ar-SA"/>
        </w:rPr>
        <w:t xml:space="preserve"> (Toronto: Thomson Reuters, 2014) at 170.</w:t>
      </w:r>
    </w:p>
    <w:p>
      <w:pPr>
        <w:spacing w:before="120" w:after="20" w:line="240" w:lineRule="atLeast"/>
        <w:ind w:left="720" w:hanging="360"/>
        <w:jc w:val="both"/>
        <w:rPr>
          <w:rFonts w:ascii="arial" w:eastAsia="arial" w:hAnsi="arial" w:cs="arial"/>
          <w:sz w:val="20"/>
          <w:lang w:val="en-US" w:eastAsia="en-US" w:bidi="ar-SA"/>
        </w:rPr>
      </w:pPr>
      <w:bookmarkStart w:id="94"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94"/>
      <w:r>
        <w:rPr>
          <w:rFonts w:ascii="arial" w:eastAsia="arial" w:hAnsi="arial" w:cs="arial"/>
          <w:sz w:val="20"/>
          <w:lang w:val="en-US" w:eastAsia="en-US" w:bidi="ar-SA"/>
        </w:rPr>
        <w:tab/>
      </w:r>
      <w:r>
        <w:rPr>
          <w:rFonts w:ascii="arial" w:eastAsia="arial" w:hAnsi="arial" w:cs="arial"/>
          <w:i/>
          <w:color w:val="6D6E71"/>
          <w:sz w:val="18"/>
          <w:lang w:val="en-US" w:eastAsia="en-US" w:bidi="ar-SA"/>
        </w:rPr>
        <w:t>Kowalyshyn</w:t>
      </w:r>
      <w:r>
        <w:rPr>
          <w:rFonts w:ascii="arial" w:eastAsia="arial" w:hAnsi="arial" w:cs="arial"/>
          <w:color w:val="6D6E71"/>
          <w:sz w:val="18"/>
          <w:lang w:val="en-US" w:eastAsia="en-US" w:bidi="ar-SA"/>
        </w:rPr>
        <w:t xml:space="preserve"> at para. 215, in the context of class definition.</w:t>
      </w:r>
    </w:p>
    <w:p>
      <w:pPr>
        <w:spacing w:before="120" w:after="20" w:line="240" w:lineRule="atLeast"/>
        <w:ind w:left="720" w:hanging="360"/>
        <w:jc w:val="both"/>
        <w:rPr>
          <w:rFonts w:ascii="arial" w:eastAsia="arial" w:hAnsi="arial" w:cs="arial"/>
          <w:sz w:val="20"/>
          <w:lang w:val="en-US" w:eastAsia="en-US" w:bidi="ar-SA"/>
        </w:rPr>
      </w:pPr>
      <w:bookmarkStart w:id="95"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9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Cited with approval in </w:t>
      </w:r>
      <w:r>
        <w:rPr>
          <w:rFonts w:ascii="arial" w:eastAsia="arial" w:hAnsi="arial" w:cs="arial"/>
          <w:i/>
          <w:color w:val="6D6E71"/>
          <w:sz w:val="18"/>
          <w:lang w:val="en-US" w:eastAsia="en-US" w:bidi="ar-SA"/>
        </w:rPr>
        <w:t>Kowalyshyn.</w:t>
      </w:r>
    </w:p>
    <w:p>
      <w:pPr>
        <w:spacing w:before="120" w:after="20" w:line="240" w:lineRule="atLeast"/>
        <w:ind w:left="720" w:hanging="360"/>
        <w:jc w:val="both"/>
        <w:rPr>
          <w:rFonts w:ascii="arial" w:eastAsia="arial" w:hAnsi="arial" w:cs="arial"/>
          <w:sz w:val="20"/>
          <w:lang w:val="en-US" w:eastAsia="en-US" w:bidi="ar-SA"/>
        </w:rPr>
      </w:pPr>
      <w:bookmarkStart w:id="96"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9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Class </w:t>
      </w:r>
      <w:r>
        <w:rPr>
          <w:rFonts w:ascii="arial" w:eastAsia="arial" w:hAnsi="arial" w:cs="arial"/>
          <w:i/>
          <w:color w:val="6D6E71"/>
          <w:sz w:val="18"/>
          <w:lang w:val="en-US" w:eastAsia="en-US" w:bidi="ar-SA"/>
        </w:rPr>
        <w:t>Proceedings Amendment Act</w:t>
      </w:r>
      <w:r>
        <w:rPr>
          <w:rFonts w:ascii="arial" w:eastAsia="arial" w:hAnsi="arial" w:cs="arial"/>
          <w:color w:val="6D6E71"/>
          <w:sz w:val="18"/>
          <w:lang w:val="en-US" w:eastAsia="en-US" w:bidi="ar-SA"/>
        </w:rPr>
        <w:t xml:space="preserve"> came into force on October 1, 2018. The Uniform Law Conference recommendations form the basis of the CPAA.</w:t>
      </w:r>
    </w:p>
    <w:p>
      <w:pPr>
        <w:spacing w:before="120" w:after="20" w:line="240" w:lineRule="atLeast"/>
        <w:ind w:left="720" w:hanging="360"/>
        <w:jc w:val="both"/>
        <w:rPr>
          <w:rFonts w:ascii="arial" w:eastAsia="arial" w:hAnsi="arial" w:cs="arial"/>
          <w:sz w:val="20"/>
          <w:lang w:val="en-US" w:eastAsia="en-US" w:bidi="ar-SA"/>
        </w:rPr>
      </w:pPr>
      <w:bookmarkStart w:id="97"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9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w:t>
      </w:r>
      <w:r>
        <w:rPr>
          <w:rFonts w:ascii="arial" w:eastAsia="arial" w:hAnsi="arial" w:cs="arial"/>
          <w:i/>
          <w:color w:val="6D6E71"/>
          <w:sz w:val="18"/>
          <w:lang w:val="en-US" w:eastAsia="en-US" w:bidi="ar-SA"/>
        </w:rPr>
        <w:t>Asquith,</w:t>
      </w:r>
      <w:r>
        <w:rPr>
          <w:rFonts w:ascii="arial" w:eastAsia="arial" w:hAnsi="arial" w:cs="arial"/>
          <w:color w:val="6D6E71"/>
          <w:sz w:val="18"/>
          <w:lang w:val="en-US" w:eastAsia="en-US" w:bidi="ar-SA"/>
        </w:rPr>
        <w:t xml:space="preserve"> carriage was given to Camp Fiorante, representing Asquith, over the Strosberg Consoritum, representing Fantov. The court declined to stay the BC action in favour of an Ontario action in which carriage had already been granted to a Strosberg Consortium.</w:t>
      </w:r>
    </w:p>
    <w:p>
      <w:pPr>
        <w:spacing w:before="120" w:after="20" w:line="240" w:lineRule="atLeast"/>
        <w:ind w:left="720" w:hanging="360"/>
        <w:jc w:val="both"/>
        <w:rPr>
          <w:rFonts w:ascii="arial" w:eastAsia="arial" w:hAnsi="arial" w:cs="arial"/>
          <w:sz w:val="20"/>
          <w:lang w:val="en-US" w:eastAsia="en-US" w:bidi="ar-SA"/>
        </w:rPr>
      </w:pPr>
      <w:bookmarkStart w:id="98"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9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Absent a forum selection clause: </w:t>
      </w:r>
      <w:r>
        <w:rPr>
          <w:rFonts w:ascii="arial" w:eastAsia="arial" w:hAnsi="arial" w:cs="arial"/>
          <w:i/>
          <w:color w:val="6D6E71"/>
          <w:sz w:val="18"/>
          <w:lang w:val="en-US" w:eastAsia="en-US" w:bidi="ar-SA"/>
        </w:rPr>
        <w:t>Douez v. Facebook, Inc.,</w:t>
      </w:r>
      <w:r>
        <w:rPr>
          <w:rFonts w:ascii="arial" w:eastAsia="arial" w:hAnsi="arial" w:cs="arial"/>
          <w:color w:val="6D6E71"/>
          <w:sz w:val="18"/>
          <w:lang w:val="en-US" w:eastAsia="en-US" w:bidi="ar-SA"/>
        </w:rPr>
        <w:t xml:space="preserve"> </w:t>
      </w:r>
      <w:hyperlink r:id="rId202" w:history="1">
        <w:r>
          <w:rPr>
            <w:rFonts w:ascii="arial" w:eastAsia="arial" w:hAnsi="arial" w:cs="arial"/>
            <w:i/>
            <w:color w:val="0077CC"/>
            <w:sz w:val="18"/>
            <w:u w:val="single"/>
            <w:shd w:val="clear" w:color="auto" w:fill="FFFFFF"/>
            <w:lang w:val="en-US" w:eastAsia="en-US" w:bidi="ar-SA"/>
          </w:rPr>
          <w:t>2017 SCC 33</w:t>
        </w:r>
      </w:hyperlink>
      <w:r>
        <w:rPr>
          <w:rFonts w:ascii="arial" w:eastAsia="arial" w:hAnsi="arial" w:cs="arial"/>
          <w:color w:val="6D6E71"/>
          <w:sz w:val="18"/>
          <w:lang w:val="en-US" w:eastAsia="en-US" w:bidi="ar-SA"/>
        </w:rPr>
        <w:t xml:space="preserve"> at paras. 42-44.</w:t>
      </w:r>
    </w:p>
    <w:p>
      <w:pPr>
        <w:spacing w:before="120" w:after="20" w:line="240" w:lineRule="atLeast"/>
        <w:ind w:left="720" w:hanging="360"/>
        <w:jc w:val="both"/>
        <w:rPr>
          <w:rFonts w:ascii="arial" w:eastAsia="arial" w:hAnsi="arial" w:cs="arial"/>
          <w:sz w:val="20"/>
          <w:lang w:val="en-US" w:eastAsia="en-US" w:bidi="ar-SA"/>
        </w:rPr>
      </w:pPr>
      <w:bookmarkStart w:id="99"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9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"Umbrella purchasers are those buyers of commercial bread who bought bread not manufactured by or purchased from any of the Bread Defendants": </w:t>
      </w:r>
      <w:r>
        <w:rPr>
          <w:rFonts w:ascii="arial" w:eastAsia="arial" w:hAnsi="arial" w:cs="arial"/>
          <w:i/>
          <w:color w:val="6D6E71"/>
          <w:sz w:val="18"/>
          <w:lang w:val="en-US" w:eastAsia="en-US" w:bidi="ar-SA"/>
        </w:rPr>
        <w:t>Fantov</w:t>
      </w:r>
      <w:r>
        <w:rPr>
          <w:rFonts w:ascii="arial" w:eastAsia="arial" w:hAnsi="arial" w:cs="arial"/>
          <w:color w:val="6D6E71"/>
          <w:sz w:val="18"/>
          <w:lang w:val="en-US" w:eastAsia="en-US" w:bidi="ar-SA"/>
        </w:rPr>
        <w:t xml:space="preserve"> at para. 18. In </w:t>
      </w:r>
      <w:r>
        <w:rPr>
          <w:rFonts w:ascii="arial" w:eastAsia="arial" w:hAnsi="arial" w:cs="arial"/>
          <w:i/>
          <w:color w:val="6D6E71"/>
          <w:sz w:val="18"/>
          <w:lang w:val="en-US" w:eastAsia="en-US" w:bidi="ar-SA"/>
        </w:rPr>
        <w:t>Pioneer Corp. v. Godfrey,</w:t>
      </w:r>
      <w:r>
        <w:rPr>
          <w:rFonts w:ascii="arial" w:eastAsia="arial" w:hAnsi="arial" w:cs="arial"/>
          <w:color w:val="6D6E71"/>
          <w:sz w:val="18"/>
          <w:lang w:val="en-US" w:eastAsia="en-US" w:bidi="ar-SA"/>
        </w:rPr>
        <w:t xml:space="preserve"> </w:t>
      </w:r>
      <w:hyperlink r:id="rId203" w:history="1">
        <w:r>
          <w:rPr>
            <w:rFonts w:ascii="arial" w:eastAsia="arial" w:hAnsi="arial" w:cs="arial"/>
            <w:i/>
            <w:color w:val="0077CC"/>
            <w:sz w:val="18"/>
            <w:u w:val="single"/>
            <w:shd w:val="clear" w:color="auto" w:fill="FFFFFF"/>
            <w:lang w:val="en-US" w:eastAsia="en-US" w:bidi="ar-SA"/>
          </w:rPr>
          <w:t>2019 SCC 42</w:t>
        </w:r>
      </w:hyperlink>
      <w:r>
        <w:rPr>
          <w:rFonts w:ascii="arial" w:eastAsia="arial" w:hAnsi="arial" w:cs="arial"/>
          <w:color w:val="6D6E71"/>
          <w:sz w:val="18"/>
          <w:lang w:val="en-US" w:eastAsia="en-US" w:bidi="ar-SA"/>
        </w:rPr>
        <w:t>, the Supreme Court of Canada held that umbrella purchasers have a cause of action.</w:t>
      </w:r>
    </w:p>
    <w:p>
      <w:pPr>
        <w:spacing w:before="120" w:after="20" w:line="240" w:lineRule="atLeast"/>
        <w:ind w:left="720" w:hanging="360"/>
        <w:jc w:val="both"/>
        <w:rPr>
          <w:rFonts w:ascii="arial" w:eastAsia="arial" w:hAnsi="arial" w:cs="arial"/>
          <w:sz w:val="20"/>
          <w:lang w:val="en-US" w:eastAsia="en-US" w:bidi="ar-SA"/>
        </w:rPr>
      </w:pPr>
      <w:bookmarkStart w:id="100"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100"/>
      <w:r>
        <w:rPr>
          <w:rFonts w:ascii="arial" w:eastAsia="arial" w:hAnsi="arial" w:cs="arial"/>
          <w:sz w:val="20"/>
          <w:lang w:val="en-US" w:eastAsia="en-US" w:bidi="ar-SA"/>
        </w:rPr>
        <w:tab/>
      </w:r>
      <w:r>
        <w:rPr>
          <w:rFonts w:ascii="arial" w:eastAsia="arial" w:hAnsi="arial" w:cs="arial"/>
          <w:color w:val="6D6E71"/>
          <w:sz w:val="18"/>
          <w:lang w:val="en-US" w:eastAsia="en-US" w:bidi="ar-SA"/>
        </w:rPr>
        <w:t>The tort is actionable without proof of damages.</w:t>
      </w:r>
    </w:p>
    <w:p>
      <w:pPr>
        <w:spacing w:before="120" w:after="20" w:line="240" w:lineRule="atLeast"/>
        <w:ind w:left="720" w:hanging="360"/>
        <w:jc w:val="both"/>
        <w:rPr>
          <w:rFonts w:ascii="arial" w:eastAsia="arial" w:hAnsi="arial" w:cs="arial"/>
          <w:sz w:val="20"/>
          <w:lang w:val="en-US" w:eastAsia="en-US" w:bidi="ar-SA"/>
        </w:rPr>
      </w:pPr>
      <w:bookmarkStart w:id="101"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101"/>
      <w:r>
        <w:rPr>
          <w:rFonts w:ascii="arial" w:eastAsia="arial" w:hAnsi="arial" w:cs="arial"/>
          <w:sz w:val="20"/>
          <w:lang w:val="en-US" w:eastAsia="en-US" w:bidi="ar-SA"/>
        </w:rPr>
        <w:tab/>
      </w:r>
      <w:r>
        <w:rPr>
          <w:rFonts w:ascii="arial" w:eastAsia="arial" w:hAnsi="arial" w:cs="arial"/>
          <w:color w:val="6D6E71"/>
          <w:sz w:val="18"/>
          <w:lang w:val="en-US" w:eastAsia="en-US" w:bidi="ar-SA"/>
        </w:rPr>
        <w:t>Excluding Quebec.</w:t>
      </w:r>
    </w:p>
    <w:p>
      <w:pPr>
        <w:spacing w:before="120" w:after="20" w:line="240" w:lineRule="atLeast"/>
        <w:ind w:left="720" w:hanging="360"/>
        <w:jc w:val="both"/>
        <w:rPr>
          <w:rFonts w:ascii="arial" w:eastAsia="arial" w:hAnsi="arial" w:cs="arial"/>
          <w:sz w:val="20"/>
          <w:lang w:val="en-US" w:eastAsia="en-US" w:bidi="ar-SA"/>
        </w:rPr>
      </w:pPr>
      <w:bookmarkStart w:id="102"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10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Nova Scotia Action may proceed but that issue is not before me. As Perell J. noted at para. 69 in </w:t>
      </w:r>
      <w:r>
        <w:rPr>
          <w:rFonts w:ascii="arial" w:eastAsia="arial" w:hAnsi="arial" w:cs="arial"/>
          <w:i/>
          <w:color w:val="6D6E71"/>
          <w:sz w:val="18"/>
          <w:lang w:val="en-US" w:eastAsia="en-US" w:bidi="ar-SA"/>
        </w:rPr>
        <w:t>Winder</w:t>
      </w:r>
      <w:r>
        <w:rPr>
          <w:rFonts w:ascii="arial" w:eastAsia="arial" w:hAnsi="arial" w:cs="arial"/>
          <w:color w:val="6D6E71"/>
          <w:sz w:val="18"/>
          <w:lang w:val="en-US" w:eastAsia="en-US" w:bidi="ar-SA"/>
        </w:rPr>
        <w:t>, "a carriage motion is an awkward and somewhat limited mechanism because it can only indirectly address the situation that presents itself in the immediate case of overlapping and possibly rival class actions in other jurisdictions."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Yip v. Chin, [2009] B.C.J. No. 663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M072839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663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451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716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Andy Yip, Plaintiff, and Jeffery Chin and Collin Chin,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3" w:name="Keywords_10"/>
      <w:bookmarkEnd w:id="103"/>
      <w:r>
        <w:rPr>
          <w:rFonts w:ascii="arial" w:eastAsia="arial" w:hAnsi="arial" w:cs="arial"/>
          <w:b/>
          <w:color w:val="000000"/>
          <w:sz w:val="20"/>
          <w:lang w:val="en-US" w:eastAsia="en-US" w:bidi="ar-SA"/>
        </w:rPr>
        <w:t>Damages — Types of damages — Special damages — Past loss of income — Employment income — Non-pecuniary loss — Affecting recreational activities — Action by plaintiff for damages for injuries suffered in motor vehicle accident allowed in part — Plaintiff 61 years old and washed cars, a physical job — Plaintiff's claim for back pain not accepted as not reported with other symptoms following accident and aggravation of pre-existing injury not accepted as plaintiff failed to cross-examine expert who found no aggravation — Claim for neck, shoulder and knee pain accepted and $45,000 non-pecuniary damages awarded as plaintiff had abandoned recreation activities — $57,152 past wage loss and $5,000 for future opportunity loss as plaintiff had work limitations — $2,286 special damages awarded.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Limiting factors — Duty to mitigate — All reasonable steps — Pre-existing conditions — Thin or crumbling skull rule — Action by plaintiff for damages for injuries suffered in motor vehicle accident allowed in part — Plaintiff awarded total of $109,539, which defendant sought to reduce on basis of failure to mitigate and likelihood problems would have occurred regardless of accident — Plaintiff missed some therapy sessions but did most of prescribed treatment and did not act unreasonably — Plaintiff was predisposed to neck problems but had never missed work before and problems of this magnitude would have not occurred but for accident — No reduction of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4" w:name="Case Summary_8"/>
            <w:bookmarkEnd w:id="1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suffered in a motor vehicle accident. The defendant admitted liability but sought to reduce the plaintiff's claim. The plaintiff's vehicle was rear-ended by the defendant's and the plaintiff immediately reported neck, shoulder and knee pain. The accident occurred July 2006 and the plaintiff was not able to return to full-time work until September 2008. The plaintiff, who was now 61 years old, was employed washing rental cars, which was a highly physical job. Medical evidence supported the injuries claimed. The plaintiff introduced evidence that the accident had aggravated a pre-existing injury to the spine, but another expert gave conflicting evidence. The plaintiff also claimed that he had suffered a low back injury during the accident. The defendant argued that the plaintiff missed physiotherapy sessions and did not do prescribed exercises. The defendant also argued that the plaintiff was predisposed to such injuries and exaggerated his pain, as evidenced by 36 doctor's visits in the three years prior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5" w:name="Holdings of Court_7"/>
            <w:bookmarkEnd w:id="10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total damages of $109,539. There was no doubt the shoulder, neck and knee injuries were caused by the accident, though the knee injury healed shortly after. The back injury was not attributable to the accident. Given the number of doctor's visits made by the plaintiff, he was clearly not the type of person to not complain of pain and he did not report back pain as one of his symptoms following the accident. With respect to the other injuries, the plaintiff may have had a tendency to magnify his pain but did not deliberately mislead the court and his claims were supported by medical documentation. Aggravation of a pre-existing injury was not accepted, however, as a negative inference was drawn from the plaintiff's failure to cross-examine the expert offering a conflicting opinion. The plaintiff had largely abandoned his recreational activities since the accident and had some lingering pain and stiffness so $45,000 in non-pecuniary damages was awarded. The doctor's notes showed the plaintiff could have resumed full-time work in May 2008. Time was also subtracted for time missed due to an unrelated surgery for a past wage loss award of $57,152. There was no suggestion that the plaintiff would not work until age 65 but he was awarded $5,000 for loss of future opportunity to compensate for physical limitations he now suffered. Special damages of $2,386 were awarded as sought. While the plaintiff missed some therapy sessions and did not exercise as vigorously as recommended, due to his low pain tolerance, he still did most of his therapy and could not be said to have acted unreasonably. While the plaintiff's medical records showed some predisposition to neck injury, the plaintiff always recovered quickly from complaints and never missed work. It was not likely he would have suffered problems of this magnitude but for the accident. The award was not reduced.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6" w:name="Counsel_10"/>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Golden.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Garry J.H. Boswell.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10"/>
      <w:bookmarkEnd w:id="107"/>
      <w:r>
        <w:pict>
          <v:line id="_x0000_s1085" style="position:absolute;z-index:2517719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G. VOITH J."/>
            <w:bookmarkEnd w:id="108"/>
            <w:r>
              <w:rPr>
                <w:rFonts w:ascii="arial" w:eastAsia="arial" w:hAnsi="arial" w:cs="arial"/>
                <w:b/>
                <w:color w:val="000000"/>
                <w:sz w:val="30"/>
                <w:lang w:val="en-US" w:eastAsia="en-US" w:bidi="ar-SA"/>
              </w:rPr>
              <w:t>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Yip claims damages for injuries he sustained in a motor vehicle accident (the "Accident") that took place on July 8, 2006. Liability for the Accident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court has been asked to assess non-pecuniary damages, past wage loss, loss of future opportunity,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has raised a number of issues in order to reduce the figures advanced by the plaintiff for these various categories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Yip is a 61 year old gentleman who immigrated to Canada from Hong Kong in 1973. He has a high school education and had worked as a clerk in Hong Kong. Mr. Yip found employment within days of having arrived in Canada. In his first few years in Canada Mr. Yip held a series of different jobs in succession. He was a busboy, a bellman, and he worked in various hotels providing room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1983, he went to work for Budget Rent A Car ("Budget") and has worked at Budget since that time. His primary job function throughout has been to wash and clean cars. He also drives cars to the wash site and, periodically, drives these cars to different Budget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activities required by Mr. Yip's job are largely physical and repetitive in nature. He is required to vacuum vehicles and often has to move and position himself into awkward positions to do so. He is also required to brush or scrub vehicles with a two-handed brush. When brushing or cleaning the roofs of vehicles, Mr. Yip has to handle or manipulate this brush above his shoulders. Mr. Yip is small and slight in stature at 5 feet 4 inches in height and 105 pounds in weight. When cleaning larger vehicles such as buses, minivans and SUVs, the work is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Yip also has to move or remove the seats from buses or minivans and to carry children's car seats from one location to another. Prior to the Accident, Mr. Yip would clean 20-30 cars in an eight-hour day. He worked five days a week. If asked, he would work overtime. His job would be physically taxing for any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Yip had been involved in another motor vehicle accident some years earlier, but any discomfort arising from that accident had resolved itself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8, 2006, Mr. Yip was driving home along Knight Street when he stopped at a crosswalk for a pedestrian and was struck from behind by the defendant. Mr. Yip was wearing his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collision caused significant damage to Mr. Yip's vehicle. Immediately after the collision Mr. Yip was moved by ambulance to St. Joseph's Hospital. He was discharged the same day with neck, shoulder, and knee pain. The injury to Mr. Yip's knee, caused by hitting the car dash on impact, improved soon thereafter and gave rise to no further pain or discomfort. The other injuries, however, have persisted and underlie Mr. Yip's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Yip saw his family physician, Dr. Kwok, immediately after the Accident and continued to see him both in relation to injuries arising from the Accident and in relation to other periodic ailments. Within a very short time Mr. Yip also began to see various physiotherapists, trainers, and chiropractors and continued to do so until the summer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Yip also made some early efforts to return to work. The days on which Mr. Yip worked and the length of time he worked on each such day, are detailed in a document prepared by Budget. Broadly speaking, Mr. Yip worked very little during the period from the date of the Accident until September 2008, at which time he returned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has argued with some vigour that Mr. Yip was not forthright in his evidence. This lack of candour, says the defendant, is relevant both with respect to the severity of Mr. Yip's injuries and with respect to his ability to return to work at an earlier time. In support of its position, the defendant pointed to instances where Mr. Yip's evidence departed from that given in discovery. The defendant also asserted that Mr. Yip's evidence was at different times not responsive to the questions asked of him or not consistent with the record of events as they actually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also points to reports from the Canadian Back Institute and from Dr. Schweigel, the defendant's expert, which both concluded that Mr. Yip had some inorganic findings that suggest pain magnification or exaggeration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Neither the representatives from the Canadian Back Institute nor Dr. Schweigel were called at trial or were cross-examined. Consequently, their conclusions on this issue are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Yip's evidence at trial was given through a translator. While Mr. Yip can apparently speak and write some English, it is clear that he is far more comfortable communicating in Chinese. Certainly Mr. Yip's dealings with those health professionals who treated him most extensively took place in Chinese.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raise and emphasize the fact that Mr. Yip's evidence at trial was given through a translator because that process inevitably renders difficult questions of credibility still more difficult. Evidence is unavoidably filtered to some extent. Questions and answers are often repeated several times, simply as a matter of miscommunication between the witness, counsel, and translator.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believe that Mr. Yip is likely an individual that tends to focus on his health and is perhaps not as stoic or stalwart as others might be. Thus, Mr. Yip attended before Dr. Kwok in the three years which proceeded the Accident some 36 times with various lesser ailments or concerns. The evidence does indicate that Mr. Yip's reaction to his pain is greater than would be expected and that he believes his pain is more acute than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also no question that Mr. Yip's recollection of given events and the sequence in which they occurred was poor and that the recollection was, in certain instances, inconsistent with the objective record of what in fact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however, find that Mr. Yip engaged in deliberate falsehoods or that he has attempted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Importantly, I'm supported in this conclusion by the records of Dr. Kwok and by the evidence of Drs. Lui and Leung, both of whom treated Mr. Yip.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Dr. Kwok was not called, his records contain no suggestion that he disbelieved or was suspicious of Mr. Yip's description of his symptoms. Dr. Lui, an orthopaedic specialist who met with Mr. Yip, was of the view that Mr. Yip's various complaints were supported by his physical symptoms and that returning to work at an early date would have worsened Mr. Yip's symptoms. Thus, in his view, Mr. Yip's "conduct was not inappropriate" and his "behaviour was as you would expect". Dr. Leung, a chiropractor, worked extensively with Mr. Yip and gave evidence that supported the severity of Mr. Yip's injuries, their persisting nature and the prudence of Mr. Yip taking a significant period of time off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Other aspects of Mr. Yip's evidence were also independently supported. Mr. Tom, a lead hand or supervisor at Budget, had worked with Mr. Yip historically and has worked with him since his return. Mr. Tom confirmed the evidence of Mr. Yip as it relates to his post-Accident productivity and difficulties in performing routine functions. Specifically, Mr. Tom confirmed that Mr. Yip was a good worker, that he now worked more slowly than historically, that he regularly cringed or grimaced at work when performing certain functions and that it was "obvious" he was in pain. The content of Mr. Tom's evidence also established that Mr. Yip's evidence on these same matters was given fairly and without hyperbole.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Relating to Mr. Yip's Injuries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Four distinct issues arose during the course of trial that pertain to Mr. Yip's physical condition and its relationship to the Accident:</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Mr. Yip's injuries caused by the Accident?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pre-existing degenerative arthritic condition in Mr. Yip's cervical spine aggravated by the Accident?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back pain Mr. Yip suffered subsequent to the Accident related to the Accident?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relevance did a back/shoulder injury suffered by Mr. Yip at work in June 2007 have to his recovery?</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Were Mr. Yip's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Questions of causation are to be determined by applying the principles that were established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the Court said at 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McLachlin C.J.C. wrote at paras.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sought to persuade me that the "material contribution" test has replaced the "but for" test and that it is no longer necessary for a plaintiff to establish causation to the same standard that it has historically. I do not read the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decision to say this - I believe the comments of McLachlin C.J.C. which relate to the "material contribution" test make clear that its application is limited to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circumstances of this particular case, however, there is no need to engage in that analysis or discussion. There is no question but that various of Mr. Yip's injuries were caused by the Accident, regardless of what test is applied. Indeed, Dr. Schweigel's report expressly concludes, under the heading "Causation" that, "the cause of the soft tissue injury to the neck, shoulder, chest and right knee was the M.V.A. of July 8, 2006".</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Was a Pre-existing Degenerative Arthritic Condition in Mr. Yip's Cervical Spine Aggravated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of both Dr. Lui and Dr. Schweigel was consistent in concluding that at the time of the Accident Mr. Yip suffered from some degenerative arthritis of the cervical spine. The two experts differed, however, on the significance of this pre-existing condition and on whether the Accident caused this condition to be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chose not to cross-examine Dr. Schweigel. This decision places different parts of Dr. Schweigel's reports in different categories and requires different treatment by the court. Some portions of Dr. Schweigel's reports stand uncontradicted in that no part of the evidence led by the plaintiff takes issue with the opinions expressed by Dr. Schweigel. Other portions of his reports are inconsistent, for example, with the report of Dr. Lui or with the evidence of Dr. Lui and Dr.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For lay witnesses, the case of </w:t>
      </w:r>
      <w:r>
        <w:rPr>
          <w:rFonts w:ascii="arial" w:eastAsia="arial" w:hAnsi="arial" w:cs="arial"/>
          <w:b/>
          <w:i/>
          <w:color w:val="000000"/>
          <w:sz w:val="20"/>
          <w:lang w:val="en-US" w:eastAsia="en-US" w:bidi="ar-SA"/>
        </w:rPr>
        <w:t>Browne v. Dunn</w:t>
      </w:r>
      <w:r>
        <w:rPr>
          <w:rFonts w:ascii="arial" w:eastAsia="arial" w:hAnsi="arial" w:cs="arial"/>
          <w:color w:val="000000"/>
          <w:sz w:val="20"/>
          <w:lang w:val="en-US" w:eastAsia="en-US" w:bidi="ar-SA"/>
        </w:rPr>
        <w:t xml:space="preserve"> (1893), 6 R. 67 (H.L.) provides well understood guidance on the consequences that flow from the failure of a party to cross-examine on a given issue or to put given propositions to a witness. The rule arising from that case is one which is designed to ensure that witnesses and the parties are treated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Failure to cross-examine an expert on a contested issue gives rise to additional concerns or difficulty. The very object of proffering expert evidence is to assist the trier of fact with the necessary scientific basis upon which to assess evidence. Inherent in the fact that evidence has been tendered by an expert, is the proposition that the trier of fact is generally neither conversant nor familiar with the subject matter of the evidence and lacks the independent means by which to weigh or measure the merits of two competing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this instance, for example, Dr. Lui expressed the view that Mr. Yip's ongoing degenerative problems of the spine were likely aggravated by the Accident. This conclusion is apparently based on differences that exist in an initial x-ray taken in July 2006 which showed degenerative changes at C6-7 only and a subsequent CT scan performed on October 2007 which showed degenerative changes involving C3-4, C4-5, and C5-6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Schweigel's report, conversely, expresses the view that these changes are attributable to the additional sophistication of the CT scan. In Dr. Schweigel's view, a CT scan will routinely pick up abnormalities which are missed by an x-ray. Dr. Lui, in his cross-examination, firmly disagreed with this conclusion. The court did not have benefit of any further explanation from Dr. Schweigel. The trier of fact is thus left with two competing views, one of which, though contradicted, remains unchallenged by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No inflexible rule can be established as to the significance of a party failing to cross-examine an expert. Sometimes a party will be aware that the expert will not resile from his position and cross-examination would be futile. Thus,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49, the Court said in relation to a notional cross-examination, "It may be a mere show. The law of evidence does not require counsel to engage in a charade".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instance, I believe it is appropriate to attach some weight or significance to the fact that Dr. Schweigel's report was introduced without any part of its contents being tested further. This is not a case of a party failing to cross-examine on a particular portion of the report. This is an instance of the plaintiff deciding to leave untested all of the various opinions which are offered in relation to a number of issues, notwithstanding the fact that such opinions are often at odds with the evidence tendered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reference to this particular issue I find that Mr. Yip's existing degeneration and arthritis of the cervical spine were not aggravated by the Accident. Quite apart from the fact that Dr. Schweigel was not cross-examined on this aspect of his report, I make this finding on the basis that the later CT scan revealed osteophytes at C3-C7 and that, absent unique circumstances, osteophytes apparently take at least 10-15 years to develop before one can visualize them on x-ray. Dr. Yip confirmed that this was so on cross-examination. Thus, the absence of osteophytes on the x-ray and their subsequence appearance on the CT scan are unlikely, in my view, to have formed subsequent to the Accident or to be referable in any way, to the Accident.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Was the Back Pain Mr. Yip Suffered Subsequent to the Accident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I have stated, Mr. Yip was aware of neck and shoulder pain as well as some knee discomfort immediately after the Accident. Some six to eight weeks after the Accident Mr. Yip began to experience lower back pain. His lower back pain apparently first arose when Mr. Yip tried moving a container of water. Mr. Yip admits that he had no back pain until after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Mr. Yip subsequently told each of Dr. Schweigel, Dr. Lui and Dr. Leung that he experienced lower back pain immediately after the Accident, this is clearly not so. The clinical records of Dr. Kwok make no reference to back pain in the various early attendances by Mr. Yip following the Accident. Conversely these records expressly reference the other symptoms experienced by Mr. Yip after the Accident. Specifically, the records which relate to the attendances on July 9, July 18, August 1 and August 8, 2006 each reference neck, shoulder, and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statement signed by Mr. Yip shortly following the Accident also simply references neck, shoulder, and knee pain. It omits any reference to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further statement signed by Mr. Yip on August 14, 2006 as well as a letter signed by Dr. Kwok on August 16, 2006, both omit any reference to back pain. The earliest reference to any back pain appears to have been made on August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supplemental report filed by Dr. Schweigel dated August 27, 2008, expresses the conclusion that there is a basic premise in medicine that if a site has been traumatized, that site becomes symptomatic immediately over the next few days after an accident. Again, Dr. Schweigel was not cross-examined on this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Dr. Lui asserted that patients periodically omit to recognize or refer to injuries until some time well after an accident because they are focused on other localized pain which overshadows their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circumstances of this case, that evidence is not persuasive. Mr. Yip repeatedly identified his various difficulties to Dr. Kwok following the Accident. Mr. Yip is not an individual, in my mind, who would fail to fully describe the various injuries that he suffered even if a particular injury was relatively modest. Consequently, I find that Mr. Yip's ongoing back complaints were not caused by or contributed to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Because of the emphasis placed by the defendant on the proposition that Mr. Yip's back pain was not caused by the Accident, I have sought to deal with that submission fully. In my view, however, my findings do not significantly assist or advance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of each of Mr. Yip, Dr. Lui, and Dr. Leung are largely consistent in establishing that Mr. Yip's primary concern and source of pain emanated from his neck injury and the levator muscles that lead to his right shoulder. Furthermore, it is primarily his neck injury that has persisted throughout and indeed persists today, albeit in an abated form. Thus, at no time was it his back rather than his neck pain that prevented Mr. Yip from working. Similarly, it cannot be said that it is his back rather than his neck pain that interferes with his ongoing activities. Thus, the various categories of damage suffered by Mr. Yip are already fully engaged by virtue of his neck injury. Similarly, the quantum of loss for each such category arises as a result of Mr. Yip's neck injury and is not expanded or amplified by his comparatively less severe back injury.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 </w:t>
      </w:r>
      <w:r>
        <w:rPr>
          <w:rFonts w:ascii="arial" w:eastAsia="arial" w:hAnsi="arial" w:cs="arial"/>
          <w:color w:val="000000"/>
          <w:sz w:val="20"/>
          <w:u w:val="single"/>
          <w:lang w:val="en-US" w:eastAsia="en-US" w:bidi="ar-SA"/>
        </w:rPr>
        <w:t>What Relevance did a Back/Shoulder Injury Suffered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by Mr. Yip at Work in June 2007 have to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June 8, 2007, Mr. Yip injured his back and shoulder while at work when the door of a vehicle hit him. Mr. Yip left work on that day. He did not attend before any physician until he saw Dr. Kwok about a month later. The defendant says this incident has significant importance because it likely caused or contributed to Mr. Yip's problems later on and because it was after this June 8 incident that Mr. Yip missed work for approximately 15 months. While the timing of this injury and Mr. Yip's extended departure from the workplace superficially appear to be related, such a relationship is not borne out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Yip said that he recovered very soon after this work-related incident, while his other injuries arising from the Accident continued to persist thereafter. Mr. Yip never filed a Workers' Compensation claim. He never so much as raised the incident when he next saw Dr. Kwok. Neither Dr. Lui nor Dr. Leung were aware of the incident. Indeed, the report of Dr. Schweigel, while noting the occurrence of the July 8, 2007 incident, draws no conclusions and offers no opinions on its relevance. In my view, there is simply no basis to draw the conclusion or make the inferences which the defendant seeks. Instead I find that the injuries sustained by Mr. Yip on June 8, 2007 did not contribute to Mr. Yip's existing injuries or give rise to any new injury of any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significant disparity between the views expressed by Dr. Schweigel in his reports and much of the other evidence. Dr. Schweigel only met Mr. Yip once, in mid-April 2008, by which time he was, by all accounts, much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Dr. Schweigel's view, the plaintiff suffered a soft tissue injury to the cervical spine and/or a minor temporary aggravation of his pre-existing degenerative arthritis. This conclusion appears to be tied to the absence of various physical indicators including "no spasm or minimal spasm" and "no loss of motion or minimal loss of motion". These assertions are, however, inconsistent with the actual observations of Dr. Lui and Dr. Leung who both saw Mr. Yip at an earlier stage of his recovery, and who also saw him more frequently. Dr. Lui's observation, made on September 7, 2007 was that Mr. Yip was "quite stiff with decreased range of motion in the cervical spine in all places and particularly of extension. There was tenderness of the soft tissue with palpable muscle spasm and guarding". Dr. Lui's report concludes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this is a previously well gentleman who had no previous significant injury of his neck and back, but was involved in a significant motor vehicle incident resulting in significant pain of his neck.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Leung's evidence was to similar effect. He observed significant restriction in Mr. Yip's range of motion. His notes refer to stiffness and spasming. He identified objective indicia of the ongoing problems that Mr. Yip was still experiencing well after September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Yip had difficulty sleeping after the Accident and, while this difficulty persisted for many months, this problem has now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Yip continues to have periodic pain in his neck, though it is much improved. The evidence of Mr. Tom, his supervisor at work, supports the continued existence of such periodic pain. The report of Dr. Schweigel also acknowledges that Mr. Yip can expect to have ongoing difficulty and pain with certain of his job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prior to the Accident Mr. Yip periodically fished with his friends, played tennis, went bowling, or on the odd driving trip. He has, since the Accident, largely abandoned all of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parties each referred me to a number of authorities in support of their respective positions. The plaintiff relies on authorities where damages in the range of $60,000 - $75,000 were awarded for pain and suffering. These were cases where various injuries continued to impact upon the plaintiff on a substantial and regular basis (</w:t>
      </w:r>
      <w:r>
        <w:rPr>
          <w:rFonts w:ascii="arial" w:eastAsia="arial" w:hAnsi="arial" w:cs="arial"/>
          <w:b/>
          <w:i/>
          <w:color w:val="000000"/>
          <w:sz w:val="20"/>
          <w:lang w:val="en-US" w:eastAsia="en-US" w:bidi="ar-SA"/>
        </w:rPr>
        <w:t>Hartnett v. Leischner</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2008 BCSC 1589</w:t>
        </w:r>
      </w:hyperlink>
      <w:r>
        <w:rPr>
          <w:rFonts w:ascii="arial" w:eastAsia="arial" w:hAnsi="arial" w:cs="arial"/>
          <w:color w:val="000000"/>
          <w:sz w:val="20"/>
          <w:lang w:val="en-US" w:eastAsia="en-US" w:bidi="ar-SA"/>
        </w:rPr>
        <w:t xml:space="preserve">), where for the particular plaintiff the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"devastating" (</w:t>
      </w:r>
      <w:r>
        <w:rPr>
          <w:rFonts w:ascii="arial" w:eastAsia="arial" w:hAnsi="arial" w:cs="arial"/>
          <w:b/>
          <w:i/>
          <w:color w:val="000000"/>
          <w:sz w:val="20"/>
          <w:lang w:val="en-US" w:eastAsia="en-US" w:bidi="ar-SA"/>
        </w:rPr>
        <w:t>Kerr v. Macklin</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2004 BCSC 318</w:t>
        </w:r>
      </w:hyperlink>
      <w:r>
        <w:rPr>
          <w:rFonts w:ascii="arial" w:eastAsia="arial" w:hAnsi="arial" w:cs="arial"/>
          <w:color w:val="000000"/>
          <w:sz w:val="20"/>
          <w:lang w:val="en-US" w:eastAsia="en-US" w:bidi="ar-SA"/>
        </w:rPr>
        <w:t>), or where the nature of the injuries suffered and their enduring effect were far more severe than in the present case. In many of these cases the plaintiff continued to have significant ongoing problems for four to five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conversely, relied on a group of authorities that supported a range of $20,000 - $25,000. The various cases referred to by the defendant generally reflected instances where the plaintiff's injuries resolved fairly quickly with periodic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difficulties associated with trying to reconcile the awards in such cases are well known. Taking into account the nature of Mr. Yip's injuries, the fact that the only injury of real consequence was to his neck and those muscles which lead to his shoulder, the relatively enduring nature of this injury, the pain he had suffered and will continue to suffer in the future, as well as the fact that he has suffered some diminishment in lifestyle, I assess non-pecuniary damages in the amount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Following the Accident Mr. Yip first returned to work in October 2006. Between October 2006 and June 2007 Mr. Yip worked intermittently. Thereafter, for a period of approximately 15 months until September 2008, Mr. Yip was entirely off work. The precise dates Mr. Yip worked and the hours that he worked on each such date are chronicled in a chart assembled by Budget. The hourly wage that Mr. Yip would have earned at different times during this period is also not in dispute. Though prior to the Accident Mr. Yip periodically worked overtime, no claim for such overtime was advanced. The real difference between the parties arises with respect to when Mr. Yip ought to have returned to work. The defendant advanced several potential earlier dates. These various dates were supported by Dr. Schweigel (November 2006), by the views of the Canadian Back Institute (March 2007), and by the event of Mr. Yip's work related shoulder injury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Mr. Yip was not in a position to return to work at any of these earlier dates. This conclusion is supported by the evidence of Mr. Yip who endeavoured repeatedly until June 2007 to return to work only to find that he was unable to do so. Furthermore, his absence from work was repeatedly and consistently supported by Dr. Kwok and subsequently by Dr. Lui and Dr. Leung. At an early stage it was Dr. Kwok who provided Mr. Yip with written confirmation of his inability to return to work. Subsequently Dr. Leung met with Mr. Yip several times a week through to the spring of 2008 for ongoing treatment. During this time, he provided Mr. Yip with monthly written confirmation that Mr. Yip continued to be unable to return to work. Dr. Lui also emphasized the repetitive and physical nature of Mr. Yip's employment and was of the view that an early return to work would cause his symptoms to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instead, that Mr. Yip was in a position to return to work at the beginning of May 2008. I base this conclusion on several factors. Dr. Lui expressed this opinion in his cross-examination, though I note that that evidence was inconsistent with the views he expressed in his formal report. Furthermore, by early April 2008 Mr. Yip's attendances with Dr. Leung were much less frequent, and stopped altogether in June 2008. Dr. Leung's last written confirmation that Mr. Yip was unable to return to work is dated March 11, 2008 and it excused Mr. Yip from work for a period of five weeks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Yip also had surgery for a retinal tear on March 23, 2008. That surgery required him to rest for a period of approximately four weeks during which time he was unable to continue with his usual exercise regimen with Dr. Leung. I find that during this four week period Mr. Yip would not have been able to perform his usual job functions at Budget in any event and this four week period should be deducted from the award that I would otherwise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calculate Mr. Yip's wage loss from the date of the Accident until Friday, May 2, 2008 to be $62,495.80. From this sum I have deducted the amount of $2,666.63 for the hours Mr. Yip actually worked subsequent to the Accident. I've deducted a further amount of $2,676.80 for the four weeks, or 160 hours, that Mr. Yip would have lost from work during the period he was recovering from eye surgery. Thus, Mr. Yip's income loss, adjusted for these two amounts, is $57,152.37.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the court said at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including that of Dr. Schweigel, confirms that there are certain functions such as crouching, lifting, and raising his arms over his shoulders that Mr. Yip may have difficulty performing. These are all functions required of Mr. Yip on a daily basis. Having said that, Mr. Yip is presently 61 years old, is well regarded at work, and apparently intends to work to the age of 65. There is no suggestion that he will not be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recognize that it is impairment that is being redressed and that it is not lost earnings but rather loss of earning capacity that gives rise to compensation. In the circumstance of this case, I find that $5,000 is an appropriate sum to compensate the plaintiff for his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claimed special damages in the amount of $2,386.78. This amount reflects various categories of expenses including medication, physiotherapy treatments, chiropractic treatments, and the parking at various relevant facilities. A small portion of these expenses post-date the time when I determined that Mr. Yip was able to return to work. Nevertheless, in my view, some modest level of ongoing treatment after Mr. Yip's return to work was appropriate. I would allow special damages, as claimed, in the total amount of $2,386.78.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Adjustments to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seeks to have two adjustments made to any damages awarded to Mr. Yip. The first such adjustment arises from the assertion that Mr. Yip, in not pursuing the exercise treatments prescribed for him as diligently as he should have, failed to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Middletown v. Morcke</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2007 BCSC 804</w:t>
        </w:r>
      </w:hyperlink>
      <w:r>
        <w:rPr>
          <w:rFonts w:ascii="arial" w:eastAsia="arial" w:hAnsi="arial" w:cs="arial"/>
          <w:color w:val="000000"/>
          <w:sz w:val="20"/>
          <w:lang w:val="en-US" w:eastAsia="en-US" w:bidi="ar-SA"/>
        </w:rPr>
        <w:t xml:space="preserve"> at para. 37, this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required to act reasonably to mitigate or lessen her loss and whether she did act reasonably is a question of fact. If the plaintiff did not act reasonably, no damages are recoverable for any loss the plaintiff could have avoided through reasonable action. On this issue, the burden rests upon the defendants to demonstrate on a balance of probabilities that the plaintiff did not act reasonably. The plaintiff is not held to a high standard of conduct in mitigation; the law is satisfied if the plaintiff takes steps that a reasonable person would take in the circumstances to reduce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this case, various reports from the Canadian Back Institute suggest that Mr. Yip did not participate in certain exercises as fully or vigorously as he might have. In fact, Mr. Yip was discharged three sessions early from a program of 25 visits because of a lack of progress. Mr. Yip claimed that the weightlifting portion of the program that was prescribed for him caused him significant pain and exacerbated his symptoms. Mr. Yip was of the view that more passive forms of treatment such as massage or physiotherapy were more helpful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appears to be the form of treatment contemplated by Dr. Lui and given effect to by Dr. Leung later in 2007. This course of treatment began gradually and with significant passive assistance. With improvement in Mr. Yip's symptoms and an increased range of motion, weightlifting, stretching, and other similar activities were later introduced on a gradual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Mr. Yip did generally attend the various treatments prescribed for him, including those established by the Canadian Back Institute, and did generally endeavour to fulfill the requirements that were laid out for him. It may be that his tolerance to pain is not as great as that of others. Nevertheless, I do not believe that it could be said that Mr. Yip did not act reasonably to reduce the loss he suffered as a result of the Accident. Over an approximately two-year period he attended for various forms of treatment and exercises at various institutions on more than 110 occasions. This includes attending at the Canadian Back Institute for most of his scheduled appointments. While Mr. Yip may have missed the odd session over this period and while he may not have fully embraced all of the exercises required of him, it cannot be said that Mr. Yip failed to act reasonably in mitigating his losses or that his conduct requires any adjustment from any award that I might otherwise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second potential ground urged by the defendant in support of a reduction of Mr. Yip's award is based on the argument that there was a measurable risk of Mr. Yip experiencing problems with his neck or cervical spine even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473,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[Emphasis in the original,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There's no question that Mr. Yip had degenerative arthritis of the cervical spine prior to the Accident. He had also seen Dr. Kwok on three occasions between 2003 and 2005 for neck pain. Dr. Schweigel's report expresses the view that innocuous activities performed on a daily basis can cause patients with cervical arthritis to become symptomatic. On that basis, in Dr. Schweigel's view, Mr. Yip was predisposed to having neck pain regardless of the Accident. Again, this evidence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Notwithstanding this evidence, I do not believe that there was a measurable risk that even without the Accident Mr. Yip's cervical spine would have been affected in any meaningful way by the events of day-to-day life. While Mr. Yip had seen Dr. Kwok for neck pain on three occasions between 2003 and 2005, these incidents, Mr. Yip said, were caused by having slept awkwardly. There's no evidence that these incidents ever caused Mr. Yip to miss work. Mr. Yip had not encountered any episode of neck pain in the 15 months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my view, these episodic and relatively benign incidents of neck pain were fundamentally different in nature, severity and duration from those complaints which post-dated the Accident. The comments of Dr. Schweigel which assert a predisposition to neck pain do so without any discussion of severity or consequence. Nor do they quantify or address the likelihood of such neck pain. Furthermore, Dr. Schweigel's opinion appears to be expressed in the context of Mr. Yip's actual past experience with neck pain. If such prospective events were similar in nature to Mr. Yip's actual experiences with neck pain in the years preceding the Accident, they would not constitute the kind of measurable risk of a pre-existing condition "detrimentally affecting the plaintiff in the future" contemplated by the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More precisely, such intermittent and benign concerns would not detrimentally affect Mr. Yip in the future and do not warrant any adjustment to the damages I have found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823"/>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Income Loss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$ 57,152.37</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56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Opportunity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$ 2,386.78</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$109,539.15</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reaching the award totalling $109,539.15, I have assessed the evidence and determined that such an award represents a fair and reasonable amount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parties have indicated that they anticipate they will be able to agree on the appropriate tax deductions to be made. If the parties are unable to agree on these calculations they are free to return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Subject to any submissions by counsel, the plaintiff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Alvaro v. InsureBC (Lee &amp; Porter) Insurance Services Inc., [2019] B.C.J. No. 2249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17-21, 24,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S144301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2249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2019 BCSC 2017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Giuseppe Alvaro and Giovanni Franco Gagliardi, Plaintiffs, and InsureBC (Lee &amp; Porter) Insurance Services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(166 paras.)</w:t>
      </w:r>
    </w:p>
    <w:p>
      <w:pPr>
        <w:jc w:val="both"/>
        <w:rPr>
          <w:rFonts w:ascii="arial" w:eastAsia="arial" w:hAnsi="arial" w:cs="arial"/>
          <w:sz w:val="20"/>
          <w:lang w:val="en-US" w:eastAsia="en-US" w:bidi="ar-SA"/>
        </w:rPr>
      </w:pPr>
      <w:bookmarkStart w:id="109" w:name="Counsel_11"/>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K.F. Gourlay, M. Li,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 Moran, E. Grant.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1"/>
      <w:bookmarkEnd w:id="110"/>
      <w:r>
        <w:pict>
          <v:line id="_x0000_s1088"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WAS CONTAINED IN THE SEPTEMBER 2012 RENEWAL PACKAGE?</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Renewal Letter</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Renewal Declaration</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for $922</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Your Information"</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Institution Act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APRIL 5, 2013 DISCUSSION</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Mr. Alvaro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Ms. Yuen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regarding the April 5, 2013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DEFENDANT FULFILL THE DUTY OF CARE OWED TO THE PLAINTIFFS?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 on an insurance agent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imposed on an insured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of Monica A.K. Woldring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of Cary Augustini</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(e) Conclusion regarding whether the Plaintiffs fulfilled their obligations to the Defendant 34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(f) Conclusion regarding whether the Defendant fulfilled the duty of care owed to the Plaintiffs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QUANTUM OF THE LOSS OF THE PLAINTIFFS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of the Plaintiffs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of the Defendant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regarding the quantum of the loss of the Plaintiffs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G.D. BURNYEAT J."/>
            <w:bookmarkEnd w:id="111"/>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arises from a fire that occurred in June of 2013 on a dwelling owned by the Plaintiffs ("Property"). The Property was insured through The Wawanesa Mutual Insurance Company ("Wawanesa"). After the fire, Wawanesa denied coverage relying on a "vacancy exclusion provision" in the policy ("Policy"). The Policy in evidence is 56 pages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 Notice of Civil Claim filed in June of 2015, the Plaintiffs claimed against Wawanesa on the basis that it had "...wrongfully refused to indemnify the Plaintiffs for their losses arising out from the Fire in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claim, the allegation is that the Defendant was negligent in failing to "...place proper insurance coverage on the Property and in failing to take reasonable steps to bring gaps in the coverage to the attention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Response to the Notice of Civil Claim, the Defendant admits that it owed a duty of care to the Plaintiffs to exercise reasonable care in providing insurance brokerage services but that, at all times, the Defendant provided insurance brokerage services to the Plaintiffs in accordance with the "...standard of care of a reasonable and prudent insurance broker then providing similar services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is an insurance broker with a number of branches within British Columbia. The Plaintiffs own multiple properties including the principal residence of Mr. Alvaro. The Plaintiffs arranged for insurance through the insurance brokerage services of the Defendant for many years. Among their rental properties was the Property located in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insurance coverage for the Property was up for renewal on September 28, 2012. Melanie Yuen of the Defendant contacted Mr. Alvaro on September 7, 2012 and, after some discussion, coverage for the Property was renewed through Wawanesa with the approval of Mr. Alvaro. The Defendant sent a renewal package to Mr. Alvaro and the Policy was renewed for one year from September 28,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tenant at the Property signed a residential tenancy agreement with a term beginning on November 1, 2011. Rent was $1,400/month excluding utilities. In late 2012 and early 2013, the Plaintiffs began having problems with their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Plaintiffs began eviction proceedings in early 2013 as a result of repeated failures of the tenant to pay rent on time, of garbage piling up, and of other complaints. A ten day notice to end the tenancy for unpaid rent was given on February 5, 2013. On an application pursuant to s. 55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R.S.B.C. 2002, c. 78, an order was made that the tenant pay the sum of $370 to the Plaintiffs. The Residential Tenancy Branch issued a decision confirming that the Plaintiffs were entitled to an Order of Possession effective two days after the service of the Order on the tenant. The tenant sought a reconsideration of the Order. The reconsideration was denied on March 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Alvaro states that, on or about April 5, 2013, while discussing a policy renewal in respect of a separate rental property owned by the Plaintiffs ("Cotton Drive Property"), he mentioned to Ms. Yuen that the Plaintiffs were going to be evicting the tenants and then undertaking renovations at the Property. Ms. Yuen denies that any such statements were made by Mr. Alvaro or anyone else to her or to anyone else associated with the Defendant. It is the position of the Plaintiffs that the Defendant should have advised Mr. Alvaro at that time regarding the "vacancy exclusion provision" in the Policy and what coverage would be available to deal with the anticipated vacancy at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8, 2013, Mr. Gagliardi personally served the Order for Possession on the tenant. Bailiffs effected the eviction on April 16, 2013. In an April 17, 2013 report from the Bailiffs, the Plaintiffs were advised that the Writ of Possession was served and that the tenant: "...gathered their personal belongings and left". There was an indication that two adults and two children occupied the Property at the time. At Trial, Mr. Alvaro confirmed that the electricity for the Property had been cut off prior to the eviction.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no dispute that the Plaintiffs did not notify the Defendant or Wawanesa of these eviction proceedings other than in the alleged April 5, 2013 telephone conversation with Ms. Yuen.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Immediately after the eviction, the Plaintiffs began the process of renovating the house on the Property, of cleaning up garbage, of maintaining the large lot, and of patching holes in and priming the walls. Once a friend finished a different project, it was expected that he would go to the Property to do some of the more skilled labour required for the contemplated renovations. The Plaintiffs state their final step would have been to remove the carpets and re-finish the hardwood floors before attempting to rent the Property again. After the eviction on April 16, 2013, the Plaintiffs went to the Property to undertake renovations and a general clean up and also allege that, from time to time, both of them stayed at the Property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his October 15, 2018 Examination for Discovery, Mr. Gagliardi confirmed that he had not been in the Property for about 16 months prior to the eviction of the tenant. At his May 29, 2015 Examination for Discovery, Mr. Gagliardi was asked whether he was staying at the Property overnight because of a concern that the tenants might come back and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you know, I thought, you know, the type of people they were -- I thought, you never know if they're going to come back and do some stupid thing; right? And I was being cautious to see if, you know, they would. And I figure, okay, after the days that I stayed there, didn't see nothing, so I kind of, you know, I thought, okay, these guys are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Property was damaged by fire on June 3, 2013. Mr. Alvaro called the Defendant and reported the fire to Ms. Yuen the same day. After speaking with Mr. Alvaro, Ms. Yuen completed a Notice of Loss. That document states that Mr. Alvaro "noted that he had evicted tenants three weeks ago and was in the process of cleaning up the property for new tenants". There are no contemporaneous notes by Ms. Yuen in evidence relating to the June 3rd conversation that she had with Mr. Alvaro other than what she set out in the Notice of Loss she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June 5, 2013, Mr. Alvaro met with Adam Basaldella, a representative of Wawanesa. Mr. Alvaro signed a statement handwritten prepared by Mr. Basaldella ("Statement"). In the Statement, Mr. Alvaro indicated that the last time he was at the Property was on May 26, 2013 when he was there with Mr. Gagliardi "...to clean up the garbage left by our former tenants". He also stated that the tenants were evicted on April 16, 2013 "...after we had issues with collecting rent and garbage being left at the Property". Included within the Statement was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April 16, 2013 and June 3 my brother and I had tended the house about once a week to clean up the property and do minor repairs to get the property ready for a new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6, 2013, Ms. Yuen sent an email to Wawanesa confirming that Mr. Alvaro has met with her following his meeting with Mr. Basaldella. That email also confirms that she spoke with Mr. Basaldella that day and it "sound[ed] like unfortunately, the claim is going to be denied due to the vacancy exclusion". In her email, Ms. Yuen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5, 2015, Mr. Alvaro came to our office after meeting with the claims adjuster. He mentioned that Adam [Basaldella] had pointed out that the risk was vacant for more than 30 days, and that their could be coverage issues with this claim. Mr. Alvaro told me he didn't realize he had to contact us between tenants. He thought he had time to clean up his rental property and prepare it for new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June 6, 2013 email to Wawanesa from Ms. Yuen makes it clear that more information was discussed between Mr. Alvaro and Ms. Yuen on June 3 than is evident in the Notice of Loss that Ms. Yuen prepared. In the email, Ms. Yuen recounts the June 3rd telephone call with Mr. Alvaro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3, 2013, I received a call from Mr. Alvaro that there had been a fire at his rental home ... earlier that morning. I took the details and forwarded the information to our internal claims department who contacted Wawanesa. Mr. Alvaro did mention in our conversation that the risk had been empty and thankfully no one was hurt. He had been spending a lot of time in the evenings and on weekends at the risk cleaning up the yard and inside the home (painting, sanding floors) before he put it up for rent again. The state the home was left in by previous tenants was not ideal (requiring many trips to the dump). He was hoping to attract a higher quality of tenant as his last tenant had to be evicted with the assistance of a bailiff.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Alvaro has been a loyal client of Lee &amp; Porter for over 30 years and has recommended many of his family members and friends to us for business. We have never had an issue with him as a client. He is a conscientious, responsible landlord who collects the rent cheque in person every month at the location. He currently has two policies with Wawanesa since 2006 (no claims on either).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writing to see if there is some way that we can honour this claim? According to Adam [Basaldella], it looks like it is going to be a total loss caused by arson. </w:t>
      </w:r>
      <w:r>
        <w:rPr>
          <w:rFonts w:ascii="arial" w:eastAsia="arial" w:hAnsi="arial" w:cs="arial"/>
          <w:color w:val="000000"/>
          <w:sz w:val="20"/>
          <w:u w:val="single"/>
          <w:lang w:val="en-US" w:eastAsia="en-US" w:bidi="ar-SA"/>
        </w:rPr>
        <w:t>Would it be possible to backdate the vacancy surcharge on the policy</w:t>
      </w:r>
      <w:r>
        <w:rPr>
          <w:rFonts w:ascii="arial" w:eastAsia="arial" w:hAnsi="arial" w:cs="arial"/>
          <w:color w:val="000000"/>
          <w:sz w:val="20"/>
          <w:lang w:val="en-US" w:eastAsia="en-US" w:bidi="ar-SA"/>
        </w:rPr>
        <w:t>? I am confident that Mr. Alvaro would pay the surcharge without hesitation.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June 6th email also confirms two conversations had occurred on June 5, 2013, a discussion Ms. Yuen had with Mr. Alvaro and a discussion Ms. Yuen had with Mr. Basaldella. While Ms. Yuen testified that she took notes about these discussions, the written notes of neither of those conversations are in evidence. In fact, no written notes of Ms. Yuen were available at Trial. Only the notes kept in the electronic records of the Defendant are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of Mr. Alvaro is that he learned of the decision of Wawanesa to deny coverage in a call he made to Mr. Basaldella and that he then called the Defendant. He was told they had a denial letter so he went to the office of the Defendant to get a copy. The denial letter to the Plaintiffs is dated June 14, 2013. It was sent by Wawanesa to the Defendant by email on June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June 14, 2013 denial letter, Wawanesa confirmed the advice received that the Property was vacant and that it had been vacant "since the previous tenants had been evicted on April 16, 2013." The following provision in the Policy was drawn to the attention of Mr. Alvaro: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"Section 1 Loss or Damage Not Insured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"We" do not insure: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 loss or damage occurring after "your" "dwelling" has, to your knowledge, been "vacant" for more than 30 consecutive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defines "vacant" as follows: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"Vacant refers to the circumstances where, regardless of the presence of furnishings: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(1) all occupants have moved out with no intention of returning and no new occupant has taken up residence; or</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(2) In the case of a newly constructed house, no occupant has yet taken up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of Ms. Yuen is that August 6, 2013 is the first time Mr. Alvaro suggested she would have been aware of the vacancy prior to the fire because of the conversation that they had on April 5, 2013. The electronic notes of Ms. Yuen in this regard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08/06/2013 03:34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Alvaro came in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is brother in law who is also on the policy as an owner. Spoke with DP and I wondering about coverage on home. Wanted to know if Wawa was still on risk for liability and what other coverages they had if any or if Wawa was completely off risk. DP explained her unsuccessful attempts to try and get ahold of We and Alison Bergen to speak to Mr. Alvaro's lawyer. During the time they were here, he mentioned that his lawyers assistant had asked them if they ever stayed at the home and he mentioned that after the eviction, his brother in law stayed there for 3 nights as they felt the tenants may come back to retaliate and vandalize home. Brother in law parked 3 blocks away so it didn't look like anyone was staying in home. </w:t>
      </w:r>
      <w:r>
        <w:rPr>
          <w:rFonts w:ascii="arial" w:eastAsia="arial" w:hAnsi="arial" w:cs="arial"/>
          <w:color w:val="000000"/>
          <w:sz w:val="20"/>
          <w:u w:val="single"/>
          <w:lang w:val="en-US" w:eastAsia="en-US" w:bidi="ar-SA"/>
        </w:rPr>
        <w:t>Mr. Alvaro mentioned again that he was sure he told me the last time he was in that the home was vacant</w:t>
      </w:r>
      <w:r>
        <w:rPr>
          <w:rFonts w:ascii="arial" w:eastAsia="arial" w:hAnsi="arial" w:cs="arial"/>
          <w:color w:val="000000"/>
          <w:sz w:val="20"/>
          <w:lang w:val="en-US" w:eastAsia="en-US" w:bidi="ar-SA"/>
        </w:rPr>
        <w:t>. I did not respond. I know that this information wasn't relayed to me. When he did pop in to chat about his policy, it wasn't to even discuss this policy, it was to discuss Intact policy for rented dwelling on cotton drive.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08/06/2013 04:38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more thing on prev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Joe had mentioned that his brother slept at the house the odd time...I said "but this was after the fact?" no he said, this was before. Left it at that as I hadn't heard that comment before. He said they didn't let anyone know as they wanted to keep it quiet. To see if the tenants would come back to cause further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 September 19, 2013 "Witness Statement", Mr. Alvaro stated that, prior to the eviction, he went to the Property "...on three to four occasions to remove garbage from the property". Mr. Alvaro stated that he was at the Property on April 19 to 21 and 26 to 28, 2013 and May 4, 5, 11, 12, 18, 19, and 26, 2013 and that the work at the Property included: "...fixing the broken sliding glass door area as well as doing some work on the deck of this rental property." Mr. Alvaro also stated that, prior to the fire: "... we had filled nail holes in the wall and sanded. I had brought primer paint to the residence but I had not yet begun applying the primer to the walls. He had not pulled up the carpet by June 3, 2013 as we were not going to do this until after the painting was completed. I was also waiting for a friend of mine to assist us with some carpentry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Witness Statement, Mr. Alvaro indicated that the first priority in re-renting the Property would have been to the previous tenant: "Had she provided us with the rent money that she owed us, we would have allowed her to stay". Mr. Alvaro stated that when he attended after the eviction "...our rental home was still in a livable condition": "It was my impression that, with a vacuum and a shampoo, all would have been fine inside of the home. However, we made a decision to pull up the carpet and go with hardwood as the hardwood was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Trial, Mr. Alvaro stated that, after eviction, it was necessary to "dump" many loads of garbage at the dump. He also stated that: "... we definitely knew that in order to get a decent tenant in there that we had to do quite a bit of work". He also indicated that they were not in a rush to obtain a new tenant because the Property did not have mortgage and, because Mr. Alvaro was working 50 hours a week, it was not necessary to immediately obtain rental income to cover personal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the denial of coverage, the Defendant hired an individual to assist the Plaintiffs in their efforts to obtain coverage. In an October 18, 2013 letter from the Claims Manager for Wawanesa, Mr. Alvaro was advised that the claim of the Plaintiffs was been reopened "...for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the efforts by the Plaintiffs to obtain coverage were unsuccessful, Wawanesa issued another denial letter on January 14, 2014. This letter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these facts, it is clear that no one was living in the premises at the time of the fire, and all of the occupants had moved out of the house with no intention of returning to the property more than 30 consecutive days before the fire. Accordingly, the vacancy exclusion applies and there is no coverage for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vacancy of the house constituted a material change in risk and your failure to report the vacancy to the Wawanesa rendered the Policy void pursuant to Statutory Condition 4. While the vacancy of the house alone constitutes a material change in risk, the neighbor's warning that the evicted tenants might return to damage the property further emphasizes the increased risk the house was exposed to without informing Wawanesa.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 Notice of Civil Claim filed June 2, 2014, the Plaintiffs claimed against the Defendant with the Statement of Facts setting out that the Plaintiffs were undertaking renovations at the Property at the time of the fire, that at no time were the Plaintiffs advised by the Defendant of the "Vacancy Exclusion" under the Policy and its potential to avoid coverage and that Mr. Alvaro: "... specifically told representatives of the defendant that renovations were being undertaken at the Property but no steps were taken to alert the plaintiffs of potential lapses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entered into a Multiple Listing Service listing with Sutton Select Property Mgmt. which is a company which employs Mr. Gagliardi. The March 20, 2015 Listing Agreement provided a listing price of $359,000.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July 22, 2015 offer for $300,000 with a September 2, 2015 closing date was received. That sale completed and the amount of $293,878.50 received. The funds were invested and no other property was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WAS CONTAINED IN THE SEPTEMBER 2012 RENEWAL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Under cross-examination at Trial, Ms. Yuen confirmed that it was not the practice of the Defendant to keep a copy of what had been sent to the client. She also confirmed that an entry was not made in the computer records regarding what had been: "...included with the renewal or the financial disclosure". In this regard, Ms. Yuen stated: "I have an ... entry in the TAM system that the complete renewal package was sent to him and an invoice is part of that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Mr. Alvaro was not certain about what was actually received by him in the renewal package, I find that the Defendant has shown that the renewal package included the following: (a) a renewal letter; (b) a Renewal Declaration relating to policy HPC 1388741; (c) an invoice for the premium owed; (d) a "For Your Information" statement; and (e) a Financial Institution Act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same time, I have concluded that a copy of the Policy was not forwarded to the Plaintiffs by the Defendant at this time. I find that it was the practice of the Defendant that a copy of the Policy in effect was sent to a client whenever a new policy was created but not at the time of each renewal. Rather, any changes to the original policy forwarded would be set out in a Renewal Declaration. In this regard, the Policy on the Property was put in place with Wawanesa as early as 2007. At Trial, under cross-examination, Ms. Yuen was asked about whether the "entire copy" of the Policy would be enclosed and she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"Not-not within a renewal package. The entire policy wordings are sent to customers when the policy is first written, and then once they do a complete update to their wordings, then they would receive another booklet. However, if there were changes to any of those wordings during this renewal, Wawanesa would communicate that on these policy declaration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same time, I conclude that a copy of the Policy was not forwarded to the Plaintiffs by Wawanesa in the Fall of 2012. Accordingly, any reference that the Plaintiffs might have to the Policy would be to what they had received a number of years previously. In these regards, pursuant to a request made at the Examination for Discovery of Ms. Yuen on May 28, 2015, the following response was provided: "The July 2001 Policy Wording Booklet was the copy provided to the Plaintiffs at policy inception for the subject property. Attached are Wawanesa's Policy Wording Booklets dated: July 2001, August 2007 and July 2012 which were sent directly to the Plaintiffs." There is no evidence that Wawanesa sent a copy of the Policy to the Plaintiffs in 2012 or 2013. Similarly, there is no evidence that Wawanesa sent a copy of a 2012 Policy to the Defendant in order that it could be forwarded to the Plaintiffs.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Renewal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September 12, 2012 renewal letter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 Wawanesa Rented Dwelling Insurance Policy # HPC 1388741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pleased to enclose the renewal of your Rented Dwelling insurance policy effective September 28, 2012 for an annual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review the policy to ensure that the limits of coverage are adequate to re-build your home with new materials and replace your personal property. Your insurer has applied a slight increase to protect against Inflation.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confirm, you have declined Earthquake and By-Laws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note municipal </w:t>
      </w:r>
      <w:r>
        <w:rPr>
          <w:rFonts w:ascii="arial" w:eastAsia="arial" w:hAnsi="arial" w:cs="arial"/>
          <w:b/>
          <w:color w:val="000000"/>
          <w:sz w:val="20"/>
          <w:lang w:val="en-US" w:eastAsia="en-US" w:bidi="ar-SA"/>
        </w:rPr>
        <w:t>BY-LAWS</w:t>
      </w:r>
      <w:r>
        <w:rPr>
          <w:rFonts w:ascii="arial" w:eastAsia="arial" w:hAnsi="arial" w:cs="arial"/>
          <w:color w:val="000000"/>
          <w:sz w:val="20"/>
          <w:lang w:val="en-US" w:eastAsia="en-US" w:bidi="ar-SA"/>
        </w:rPr>
        <w:t xml:space="preserve"> are becoming more of a concern in the event of substantial or total loss to your home. We suggest you contact your municipality to determine if any by-laws would apply to the repair or replacement of your residence, and to ensure the coverage limit provided is adequate to meet your requirements. You currently have no by-law coverage on this policy. Quotes are available upon request.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invoice for the annual premium of $922.00 is enclosed along with a self addressed envelope for your convenience in remitting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Please call our office if you have any questions or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renewal letter does not direct Mr. Alvaro to review the wordings in the Policy. While it does state: "Please review the policy to ensure that the limits of coverage are adequate to rebuild your home with new materials and replace your personal property", Ms. Yuen confirmed at Trial that this is a reference to the Renewal Declaration pages and not to the Policy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Under cross-examination at Trial, Ms. Yuen confirmed that Mr. Alvaro phoned her to seek clarification regarding the reference in the letter to "Municipal Bylaws". Regarding the notation in the records of the Defendant that Mr. Alvaro "was fine with the $20,000" coverage relating to municipal costs if there was a substantial or total loss, Ms. Yuen confirmed that Mr. Alvaro did not have that coverage under the Policy and confirmed that when she "allowed him to believe that he had $20,000 in bylaw coverage" that was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expert retained on behalf of the Defendant stated that a renewal letter "normally includes a clause along the lines of a requirement to report to the insurance brokerage any material change to the risk". There was no such warning in the renewal letter which might have caused Mr. Alvaro to ask questions about what a "material change to the risk" might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cross-examination, Ms. Yuen confirmed that the renewal letter did not include a provision that it was important to read the "For Your Information" sheet.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Renewal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"Renewal Declaration effective SEP 28,12" consisted of eight pages with seven of those pages headed "</w:t>
      </w:r>
      <w:r>
        <w:rPr>
          <w:rFonts w:ascii="arial" w:eastAsia="arial" w:hAnsi="arial" w:cs="arial"/>
          <w:b/>
          <w:color w:val="000000"/>
          <w:sz w:val="20"/>
          <w:lang w:val="en-US" w:eastAsia="en-US" w:bidi="ar-SA"/>
        </w:rPr>
        <w:t>YOUR PERSONAL INSURANCE POLICY</w:t>
      </w:r>
      <w:r>
        <w:rPr>
          <w:rFonts w:ascii="arial" w:eastAsia="arial" w:hAnsi="arial" w:cs="arial"/>
          <w:color w:val="000000"/>
          <w:sz w:val="20"/>
          <w:lang w:val="en-US" w:eastAsia="en-US" w:bidi="ar-SA"/>
        </w:rPr>
        <w:t>". The pages in evidence were numbered 5 through 12. For convenience, I have used those page numbers to set out my review of the contents of the Renewal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Page 5 sets out the policy number as HPC 1388741 and the amount of insurance in place as being: (a) Dwelling Building ($285,500); (b) Private Structures ($42,850); (c) Personal Property ($20,100); and (d) Additional Living Expense ($57,100). The "Legal Liability" coverage was $2,000,000 for each occurrence and the "Voluntary Medical Payments" was $5,000 for each person. $100 related for "Optional Coverages Sewer Back-up/Water Damage - Location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the bottom of page 5 was the following notation: "Forms Applicable - YPI ----07/12*, 1008 ---08/07, 3102 --- 08/07, 1019 --- 08/07". The references to the "Forms Applicable" relate to the version of the Policy which would be applicable to the coverage of the Plaintiffs arranged through the Defendant. The reference to "YPI-107/12" refers to the Policy as at July of 2012 whereas the other references relate to the Policy dated August of 2007. Ms. Yuen testified that the initials "YPI" stand for "Your Personal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Page 7 which is also headed "</w:t>
      </w:r>
      <w:r>
        <w:rPr>
          <w:rFonts w:ascii="arial" w:eastAsia="arial" w:hAnsi="arial" w:cs="arial"/>
          <w:b/>
          <w:color w:val="000000"/>
          <w:sz w:val="20"/>
          <w:lang w:val="en-US" w:eastAsia="en-US" w:bidi="ar-SA"/>
        </w:rPr>
        <w:t>YOUR PERSONAL INSURANCE POLICY</w:t>
      </w:r>
      <w:r>
        <w:rPr>
          <w:rFonts w:ascii="arial" w:eastAsia="arial" w:hAnsi="arial" w:cs="arial"/>
          <w:color w:val="000000"/>
          <w:sz w:val="20"/>
          <w:lang w:val="en-US" w:eastAsia="en-US" w:bidi="ar-SA"/>
        </w:rPr>
        <w:t>" sets out the following "Liability Restriction":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Restriction Form 3102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Sewer Back-up / Water Damage Coverage Form 1019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ADDITIONAL CONDITION: WE DO NOT INSURE LOSS OR DAMAGE TO YOUR PROPERTY CAUSED BY DOMESTIC ANIMALS AND/OR PETS OF ANY KIND THAT YOU OWN OR ARE IN YOUR CARE, CUSTODY OR CONTROL.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DECLARATION OF EMERGENCY ENDORSEMENT IS INCLUDED IN THIS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enclosed STATUTORY CONDITIONS replace the SECTION I and SECTION II ADDITIONAL CONDITIONS set out on pages 53 to 55 of your policy booklet dated August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review these conditions carefully and keep them with your policy booklet. Please contact your broker if you have any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references to pages 53 to 55 of "your policy booklet dated August 2007" are references to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Pages 8 through 12 are all headed "</w:t>
      </w:r>
      <w:r>
        <w:rPr>
          <w:rFonts w:ascii="arial" w:eastAsia="arial" w:hAnsi="arial" w:cs="arial"/>
          <w:b/>
          <w:color w:val="000000"/>
          <w:sz w:val="20"/>
          <w:lang w:val="en-US" w:eastAsia="en-US" w:bidi="ar-SA"/>
        </w:rPr>
        <w:t>YOUR PERSONAL INSURANCE POLICY</w:t>
      </w:r>
      <w:r>
        <w:rPr>
          <w:rFonts w:ascii="arial" w:eastAsia="arial" w:hAnsi="arial" w:cs="arial"/>
          <w:color w:val="000000"/>
          <w:sz w:val="20"/>
          <w:lang w:val="en-US" w:eastAsia="en-US" w:bidi="ar-SA"/>
        </w:rPr>
        <w:t>". Those pages deal with various provisions including "Material change in risk", "Termination of insurance", "Subrogation", and "When loss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following paragraph under the heading "</w:t>
      </w:r>
      <w:r>
        <w:rPr>
          <w:rFonts w:ascii="arial" w:eastAsia="arial" w:hAnsi="arial" w:cs="arial"/>
          <w:b/>
          <w:color w:val="000000"/>
          <w:sz w:val="20"/>
          <w:lang w:val="en-US" w:eastAsia="en-US" w:bidi="ar-SA"/>
        </w:rPr>
        <w:t>Material change in risk</w:t>
      </w:r>
      <w:r>
        <w:rPr>
          <w:rFonts w:ascii="arial" w:eastAsia="arial" w:hAnsi="arial" w:cs="arial"/>
          <w:color w:val="000000"/>
          <w:sz w:val="20"/>
          <w:lang w:val="en-US" w:eastAsia="en-US" w:bidi="ar-SA"/>
        </w:rPr>
        <w: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insured must promptly give notice in writing to the insurer or its agent of a change that is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to the risk;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control and knowledge of the insured.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insurer or its agent is not promptly noticed of a change under subparagraph (1) of this condition, the contract is void as to the part affected by the change.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insurer or its agent is noticed of a change under subparagraph (10 of this condition, the insurer may: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terminate the contract in accordance with Statutory Condition 5, or</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notify the insured in writing, that, if the insured desires the contract to continue in force, the insured must, within 15 days after receipt of the notice, pay to the insurer an additional premium specified in the notice.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insured fails to pay an additional premium when required to do so under subparagraphs (3)(b) of this condition, the contract is terminated at that time and Statutory Condition 5(2)(a) applies in respect of the unearned portion of the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no examples given as to what might constitute a "material change in risk". Similarly, there are no examples given in the Policy as to what might constitute a material change in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of Mr. Alvaro was that he would review at least the first two pages of the Renewal Declaration. Regarding the portion dealing with "material change in risk" Mr. Alvaro admitted at Trial that he neglected to read this portion of the Renewal Declaration.</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Invoice for $922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invoice in question was headed "Invoice # 23398" but the invoice number 78894 was also set out in the body of the invoice. The "Type" was showing as "FIRE" and the "Description" was stated as being "12-13 Rented Dwelling Renewal".</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"For Your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one page form sets out the following. The size of the type shown here is reproduced from the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FOR YOUR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Homeowner, Condo &amp; Tenant Policies are written on forms as outlined. Your policy is the __________________________________________form.</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Broad:</w:t>
      </w:r>
      <w:r>
        <w:rPr>
          <w:rFonts w:ascii="arial" w:eastAsia="arial" w:hAnsi="arial" w:cs="arial"/>
          <w:color w:val="000000"/>
          <w:sz w:val="20"/>
          <w:lang w:val="en-US" w:eastAsia="en-US" w:bidi="ar-SA"/>
        </w:rPr>
        <w:t xml:space="preserve"> All Risk on Building (Subject to Exclusions) and Named Perils On Contents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Comprehensive:</w:t>
      </w:r>
      <w:r>
        <w:rPr>
          <w:rFonts w:ascii="arial" w:eastAsia="arial" w:hAnsi="arial" w:cs="arial"/>
          <w:color w:val="000000"/>
          <w:sz w:val="20"/>
          <w:lang w:val="en-US" w:eastAsia="en-US" w:bidi="ar-SA"/>
        </w:rPr>
        <w:t xml:space="preserve"> All Risk On Building and Contents (Subject to Exclusions)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 Policies Contain Limitations, Exclusions &amp; Restrictions Such As The Following: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LIMITS OF INSURANCE APPLY:</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theft of jewelry, watches, furs, silverware, stamp collections &amp; bicycles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theft of contents, tapes/CD s while in a motor vehicle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books, tools, instruments pertaining to a business (on premises only).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samples and/or goods held for sale are not covered.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or bullion, on securities (stocks, bonds, etc.)</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watercraft, including furnishings, equipment, accessories &amp; motors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computer software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ALL RISK FLOATERS ARE AVAILABLE FOR: (AT AN ADDITIONAL PREMIUM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Jewelry/Watches Musical Instruments (non-prof) Stamp/Coin Collections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Cameras Firearms Cellular Phones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Furs Sports Equipment/Bicycles Professional Tools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Rented Dwellings/Condos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OPTIONAL COVERAGES AVAILABLE:</w:t>
      </w:r>
      <w:r>
        <w:rPr>
          <w:rFonts w:ascii="arial" w:eastAsia="arial" w:hAnsi="arial" w:cs="arial"/>
          <w:b/>
          <w:color w:val="000000"/>
          <w:sz w:val="20"/>
          <w:lang w:val="en-US" w:eastAsia="en-US" w:bidi="ar-SA"/>
        </w:rPr>
        <w:t xml:space="preserve"> AT AN ADDITIONAL PREMIUM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Increased Liability Limits Increased Amounts Available For Contents &amp; Outbuildings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Earthquake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Building By-Laws*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Seasonal Residences (Building &amp; Contents)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Sewer/Drain Back-Up Boats &amp; Motors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Business Pursuits From Home Reduced (Nil) Glass Deductible Food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Freezer Waterbed/Aquariums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NOTES: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Motorized vehicles and/or their equipment are not covered on a homeowner policy (recreational vehicles, motorcycles, snow vehicles, mopeds, all terrain vehicles, motor vehicles in storage and/or their parts must be insured elsewhere).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Any home or structure used in whole or in part for </w:t>
      </w:r>
      <w:r>
        <w:rPr>
          <w:rFonts w:ascii="arial" w:eastAsia="arial" w:hAnsi="arial" w:cs="arial"/>
          <w:b/>
          <w:i/>
          <w:color w:val="000000"/>
          <w:sz w:val="20"/>
          <w:lang w:val="en-US" w:eastAsia="en-US" w:bidi="ar-SA"/>
        </w:rPr>
        <w:t>BUSINESS</w:t>
      </w:r>
      <w:r>
        <w:rPr>
          <w:rFonts w:ascii="arial" w:eastAsia="arial" w:hAnsi="arial" w:cs="arial"/>
          <w:color w:val="000000"/>
          <w:sz w:val="20"/>
          <w:lang w:val="en-US" w:eastAsia="en-US" w:bidi="ar-SA"/>
        </w:rPr>
        <w:t xml:space="preserve"> pursuits, either on full or part-time basis, is not covered unless specifically declared.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Rental income Is available, Can be included in Multi-family homeowners.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Vandalism done by tenants in rented dwellings is excluded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Any material change to the risk must be reported to the agency ie: additions to home, finishing basements, installation of wood burning appliances or fireplace inserts, taking in boarders/roomers, starting a </w:t>
      </w:r>
      <w:r>
        <w:rPr>
          <w:rFonts w:ascii="arial" w:eastAsia="arial" w:hAnsi="arial" w:cs="arial"/>
          <w:b/>
          <w:i/>
          <w:color w:val="000000"/>
          <w:sz w:val="20"/>
          <w:lang w:val="en-US" w:eastAsia="en-US" w:bidi="ar-SA"/>
        </w:rPr>
        <w:t>BUSINESS</w:t>
      </w:r>
      <w:r>
        <w:rPr>
          <w:rFonts w:ascii="arial" w:eastAsia="arial" w:hAnsi="arial" w:cs="arial"/>
          <w:color w:val="000000"/>
          <w:sz w:val="20"/>
          <w:lang w:val="en-US" w:eastAsia="en-US" w:bidi="ar-SA"/>
        </w:rPr>
        <w:t xml:space="preserve"> from home &amp; Vacant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Personal property is excluded at any other location you own, rent or lease. Coverage can be arranged.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exclusions may apply, please refer to your policy wordings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YOUR DEDUCTIBLE AMOUNT IS: $_______________________________</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THIS IS A BRIEF SUMMARY ONLY AND ACTUAL POLICY WORDINGS AND CONDITIONS APPLY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*You may be subject to increased construction costs following a loss. For further information regarding By-Law changes, please contact your local Civic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was nothing filled in relating to the "form" of the "policy" and there is no "Deductible Amount" shown. This "For Your Information" form is forwarded for all "Homeowner, Condo &amp; Tenant Policies". However, it is clear that some of the provisions are not applicable to properties that are rented to tenants. For instance, it is not likely that the "jewelry, watches, furs, silverware, stamp collections &amp; bicycles" owned by an insured were likely to be found on rented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Trial, Ms. Yuen was asked about the purpose of the "For Your Information" document and she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 main purpose of this document is to inform our clients that all of the policies contain limits, exclusions and restrictions, and this document is basically a brief summary of important limits, exclusions and restrictions that they should be familiar with. However, as it states below, it's only a brief summary and the actual policy wordings and conditions do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Yuen testified at Trial that the "For Your Information" form was designed to alert the customer to issues that they should discuss with their broker and that it was a ongoing reminder to customers in an easy to read format of various items of concern that may be relevant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Mr. Alvaro did not recall seeing the "For Your Information" document, I am satisfied that this document was forwarded to Mr. Alvaro in September of 2012. At his May 29, 2015 Examination for Discovery, Mr. Alvaro was asked whether he had read the "For Your Information" document and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can't say for sure because I don't remember ever reading this particular homeowner's condo thing, you know. ... I tried once to read one of the policies, and every time I got past the second page I got more confused on the terminologies of what was there. To say that it was in the package? Could be. To say that it wasn't? I don't know. I don't recall ever reading this, to be honest with you.</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Financial Institution Act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Disclosure Statement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TRANSACTION ASSOCIATED WITH THIS DOCUMENT IS BETWEEN THE APPLICANT AND THE APPROPRIATE GENERAL INSURANCE COMPANY. THE AGENT/AGENCY SOLICITING THIS TRANSACTION IS AN INDEPENDENT CONTRACTOR REPRESENTING THE GENERAL INSURANCE COMPANY WHICH HAS NO FINANCIAL INTEREST IN THE AGENT/AGENCY. THE AGENT/AGENCY WILL RECEIVE COMPENSATION FROM THE GENERAL INSURANCE COMPANY UPON COMPLETION OF THIS INSURANCE TRANSACTION. THE APPLICANT IS NOT OBLIGATED TO TRANSACT ANY OTHER BUSINESS WITH THE INSURER OF ANY OTHER PERSON OR CORPORATION AS A CONDITION OF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APRIL 5, 2013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Cotton Drive Property insurance was up for renewal. Ms. Yuen phoned Mr. Alvaro regarding the coverage in place and the renewal of the policy which was also with Wawanesa.</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Mr. Alvaro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of Mr. Alvaro is that he had a discussion on April 5, 2013 with Ms. Yuen regarding the Cotton Drive Property and that he mentioned that they were in the process of evicting the tenant at the Property and that they would have to do renovations once the tenant was evicted. The evidence of Mr. Alvaro regarding this call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called me and at the time, we always, like I previously said, we had small talk. And it was fresh in my mind that we were in the process of evicting [the tenant] ... She asked me how my family was cause that was our typical thing, how are the kids, blah, blah, blah. Because she even knew my son, they had gone to Argyle together. And at the time, I said well we were having some issues at Maple Ridge, we're going to have to evict the people, and that's how that all started.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say anything about what you expected to do at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did tell her we're evicting the people and we're going to have to do some renovation in the place because of the damage that they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Trial, Mr. Alvaro was asked the following questions and gave the following answers regarding what Ms. Yuen had said on April 5,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Do you recall what she said in response to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can't be a hundred percent sure, but she said, "I'm sorry to hear you're having issues", but to tell you the exact words, I can't.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she raise any issues with you in terms of how that may affect your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Why did you tell her those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it was fresh in my mind because I was a bit stressed out with the fact of all the issues that we had to go through. Never had done the fact of evicting people and so on and so forth and that's the reason I brought it up. It just was fresh in my mind and like I said, we were creating small talk and that's what we did -- that's what I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That -- did you tell her because you were mindful of the insurance implications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had no idea that there was implications. As far as my understanding, I had insurance on the house and I didn't know of any implications.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conversation regarding the Cotton Drive property where you said that you mentioned the eviction of the tenant and the fact that you were going to be doing some work at the house. My question is, that was five and a half years ago. Are you able to say how you remember a conversation from five and a half years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how can you forget? Shortly after that, you know, we had the claim and I got denied. I mean, of course you're going to remember something that important.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the fire happened roughly - and I think the evidence will show that the conversation you're referring to happened on April 5th or thereabouts and the fire happens on June 3rd, so approximately two months later. Do you recall when you realized that the vacancy of the property was an important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didn't realize that until the letter from Wawanesa on the denial. When I went -over to Lee &amp; Porter's office and they handed me the particular -- because I never had -- I got it a couple of days after the fact in the mail. That's when -- I when I got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Plaintiffs submits that the Court should accept the evidence of Mr. Alvaro regarding the April 5 discussion because his memory was clear and his evidence was not undermined in cross examination.</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Ms. Yuen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her May 28, 2015 Examination for Discovery, Ms. Yuen was asked whether, in the Spring of 2013 in the context of renewing the Cotton Drive Property, Mr. Alvaro advised her that they were going to be undertaking renovations at the Property. In answer to that question, Ms. Yuen replied: "I don't recall that conversation" "To the best of my knowledge I do not recall having a conversation with Mr. Alvaro stating that." Specifically, Ms. Yuen was asked the following question and gave the following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I'm asking is do you recall having a conversation with Mr. Alvaro in the Spring of 2013 about renewing coverage on the Cotton Drive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recall...I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Yuen stated in her direct examination at Trial that she recalled the Cotton Drive renewal call. She said that she recalled discussing the renewal with him but that they did not talk about any properties other than the Cotton Drive Property. She said she was confident about her recollection that Mr. Alvaro did not mention anything about evicting tenants or potential renovations during this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Trial, Ms. Yuen was taken to the transcript of May 28, 2015 Examination for Discovery where she was repeatedly given the opportunity to confirm whether she recalled that conversation or not. In this regard, Ms. Yuen was asked the following questions and gave the following answers: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I'm expecting that Mr. Alvaro is going to give evidence that he is certain that he, at the time he was renewing the Cotton Drive property in the spring of 2013, advised you that they were going to be undertaking renovations at the Maple Ridge property. And you deny that that took place; is that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recall that conversation.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that's - now you say you don't recall, and what I want to know is do you not recall it or do you deny that it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 the best of my knowledge I do not recall having a conversation with Mr. Alvaro stating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But to be clear, you don't remember having a conversation at all about renewing the Cotton Drive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It's not that I don't remember; it's that I don't have access to the file to confirm the details that were discussed at renewal.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question I'm asking is do you recall speaking with Mr. Alvaro in the spring of 2013 about renewing the coverage on the Cotton Drive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can't recall a specific date of talking to him, but it's my standard practice to review renewals with insureds.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 want to be clear, though. I'm not asking about a specific date. I'm not asking if it occurred on April 5th or May 30th or whatever the specific date might be. What I'm asking is do you recall having a conversation with Mr. Alvaro in the spring of 2013 about renewing coverage on the Cotton Drive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cannot recall.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also submits that the evidence of Mr. Alvaro is in stark contrast to the evidence of Ms. Yuen where, in direct-examination, she claimed to have a recollection of the call but, in cross-examination, it was shown that when she was examined for discovery three-and-a-half years previously she had no such recollection.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Conclusion regarding the April 5, 2013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are many weaknesses in the position of the Defendant regarding the recollection of Ms. Yuen about the April 5, 2013 conversation. First, any written notes Ms. Yuen may have made are no longer available so she is not in a position to refresh her memory regarding what was said. Ms. Yuen testified that, during the 2012-2013 period, the Defendant was in a "transition period" so that either a "handwritten note" or an entry "electronically into our system" would have been made. The only notation in the computer records of the Defendant relating to the Cotton Drive Property was entered on April 9, 2013 at 11:48 a.m. that it was "okay to renew". Second, the answers given at her May 28, 2015 Examination for Discovery contradict the evidence that she gave at Trial as, two years after the alleged conversation, she had no recollection of the conversation but under direct examination at Trial, she was confident that there was no such discussion about evicting tenants or potential renovations. Third, Ms. Yuen had only obtained her Level 2 licence on August 21, 2013 so that it was only then that she could deal directly with clients to place or renew insurance. Her lack of experience may well have resulted in a failure to recognize the importance of Mr. Alvaro telling her about the problems that he was having with tenants. Fourth, the error that Ms. Yuen made regarding whether the Plaintiffs had "Municipal Bylaws" coverage is perhaps indicative of her inexperience and any failure to advise regarding any gaps in coverage that might be present in the Policy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the same time, I find that the evidence of Mr. Alvaro was also inconsistent on the question regarding what he alleged he advised Ms. Yuen on April 5, 2013. While Mr. Alvaro testified that the discussion was "fresh in my mind" even though it had taken place 51/2 years previously, he also indicated that he was "going to remember something that important" after their claim had been denied on or about June 19, 2013. What was "fresh in his mind" was not subsequently reflected in what occurred after the fire:</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Alvaro claims to have a clear memory about making the statements to Ms. Yuen, he has no clear memory of the alleged response of Ms. Yuen to his statement. Mr. Alvaro was unable to describe the conversation in any way other than with the vague generalities of what was "usually" said during such renewal conversations.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Alvaro alleges that he advised Ms. Yuen that they would be performing renovations on the Property after the eviction of tenants, however, both Plaintiffs admitted that they did not know what work, if any, would need to be done to the Property until the eviction of the tenant actually took place.</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June 5, 2013 witness statement after the Loss, Mr. Alvaro did not mention any such discussion or otherwise suggest that he provided the Defendant with notice of a potential vacancy or renovations. At Trial, Mr. Alvaro confirmed that there was nothing in the June 5, 2013 statement that he signed relating to "...evicting tenants or there was going to be renovations..." and he responded: "It's not on here. I was just answering the question that he was asking me." The evidence of Mr. Alvaro is that, although he knew there was a potential issue with coverage as a result of the vacancy at this time, he did not make mention of any previous discussion about an upcoming eviction and anticipated renovations.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December 19, 2013 witness statement, Mr. Alvaro did not mention any discussions with the Defendant about a vacancy or about renovations. At the time of giving that statement, Mr. Alvaro knew that coverage was being denied due to a failure to provide notice of vacancy.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two witness statements and the witness statement of Mr. Gagliardi deal with attempting to dispute that the Property was vacant at the time of the Loss. Both Mr. Alvaro and Mr. Gagliardi went to great lengths to explain why the Property was not vacant at the time of the Loss.</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memory of Mr. Alvaro regarding his statements during the Cotton Drive discussion is vague and inconsistent. While he now insists that the Cotton Drive discussion and his statements about the eviction and renovations happened during a phone call, he agreed on cross-examination that he previously suggested that it happened during an in-person meeting with Ms. Yuen at the offices of the Defendant.</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now claims that he advised Ms. Yuen both that the tenant was being evicted and that renovations would be undertaken, the only notes produced by the Plaintiffs in this matter describe the discussion differently. The undated notes of Mr. Alvaro suggest that he mentioned to "Melanie [that] we were renovating the house", but the notes do not suggest that he advised her of the eviction process.</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 in the June 2, 2014 Notice of Civil Claim is that Mr. Alvaro allegedly told the Defendant that "renovations were being undertaken at the Property" and no reference to any alleged discussion about eviction proceedings.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cross-examination, Mr. Alvaro did not deny that he told Ms. Yuen the tenants had been evicted three weeks prior to the fire whereas they had been evicted almost two months prior to the fire. He stated that this was an error on his part. While I am not prepared to assume that this was an attempt by Mr. Alvaro to come within the period prescribed in the Policy, I believe that it does cast doubt on the ability of Mr. Alvaro to accurately recall events.</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Loss, both Plaintiffs provided statements to the effect that Mr. Gagliardi stayed overnight at the Property on several occasions. At the time, there was no furniture at the Property and the power had been cut off. This was ostensibly because the plaintiffs were worried about the possibility of the tenants returning to the Property and causing "damage". However, it was the evidence of both Plaintiffs that the eviction was not acrimonious and related to finances alone. I find it highly unlikely that either of the Plaintiffs stayed overnight at the Property and, in any event, what was set out in the statements merely attempts to reinforce the theory that the Property was not vacant rather than reinforcing the position that Ms. Yuen was advised of the eviction and vacancy.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If I found that the April 5, 2013 discussion as alleged by Mr. Alvaro had taken place, I would, at the same time, conclude that the Defendant had not fulfilled the duty of care that it owed to the Plaintiffs. I would find the following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 that Ms. Yuen should have advised regarding the potential loss of coverage if the Property was vacant; (b) Ms. Yuen should have advised that a vacancy because of a termination of a tenancy or because of renovations would result in a lack of coverage; and (c) a failure to advise regarding the type of coverage and the cost of the coverage that would be available if the Property was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I have come to the conclusion that the Plaintiffs have not proven on a balance of probabilities that Ms. Yuen was advised on or about April 5, 2013 that eviction proceedings were ongoing and/or that renovations were contemplated once the eviction process was complete. There are too many inconsistencies in the recollections of the Plaintiffs to meet the obligation that they can show on a balance of probabilities that the alleged discussion took place. In the circumstances, I am satisfied that the recollection of Mr. Alvaro on this question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question then arises is whether the Defendant throughout fulfilled the duty of care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DEFENDANT FULFILL THE DUTY OF CARE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a duty of care imposed on an insurance agent just as there is a duty imposed on an insured.</w:t>
      </w:r>
      <w:r>
        <w:rPr>
          <w:rFonts w:ascii="arial" w:eastAsia="arial" w:hAnsi="arial" w:cs="arial"/>
          <w:sz w:val="20"/>
          <w:lang w:val="en-US" w:eastAsia="en-US" w:bidi="ar-SA"/>
        </w:rPr>
        <w:cr/>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of care on an insurance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leading case regarding the duty of care on an insurance agent is </w:t>
      </w:r>
      <w:r>
        <w:rPr>
          <w:rFonts w:ascii="arial" w:eastAsia="arial" w:hAnsi="arial" w:cs="arial"/>
          <w:i/>
          <w:color w:val="000000"/>
          <w:sz w:val="20"/>
          <w:lang w:val="en-US" w:eastAsia="en-US" w:bidi="ar-SA"/>
        </w:rPr>
        <w:t>Fine's Flowers Ltd. et al. v. General Accident Assurance Co. of Canada et al</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(1977), 81 D.L.R. (3d) 139</w:t>
        </w:r>
      </w:hyperlink>
      <w:r>
        <w:rPr>
          <w:rFonts w:ascii="arial" w:eastAsia="arial" w:hAnsi="arial" w:cs="arial"/>
          <w:color w:val="000000"/>
          <w:sz w:val="20"/>
          <w:lang w:val="en-US" w:eastAsia="en-US" w:bidi="ar-SA"/>
        </w:rPr>
        <w:t xml:space="preserve"> (Ont. C.A.). The reasoning in that case was approved in </w:t>
      </w:r>
      <w:r>
        <w:rPr>
          <w:rFonts w:ascii="arial" w:eastAsia="arial" w:hAnsi="arial" w:cs="arial"/>
          <w:i/>
          <w:color w:val="000000"/>
          <w:sz w:val="20"/>
          <w:lang w:val="en-US" w:eastAsia="en-US" w:bidi="ar-SA"/>
        </w:rPr>
        <w:t>Fletcher v. Manitoba Public Insurance Co</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(1990), 74 D.L.R. (4th) 636</w:t>
        </w:r>
      </w:hyperlink>
      <w:r>
        <w:rPr>
          <w:rFonts w:ascii="arial" w:eastAsia="arial" w:hAnsi="arial" w:cs="arial"/>
          <w:color w:val="000000"/>
          <w:sz w:val="20"/>
          <w:lang w:val="en-US" w:eastAsia="en-US" w:bidi="ar-SA"/>
        </w:rPr>
        <w:t xml:space="preserve"> (S.C.C). The plaintiff in </w:t>
      </w:r>
      <w:r>
        <w:rPr>
          <w:rFonts w:ascii="arial" w:eastAsia="arial" w:hAnsi="arial" w:cs="arial"/>
          <w:i/>
          <w:color w:val="000000"/>
          <w:sz w:val="20"/>
          <w:lang w:val="en-US" w:eastAsia="en-US" w:bidi="ar-SA"/>
        </w:rPr>
        <w:t>Fine's Flowers Ltd</w:t>
      </w:r>
      <w:r>
        <w:rPr>
          <w:rFonts w:ascii="arial" w:eastAsia="arial" w:hAnsi="arial" w:cs="arial"/>
          <w:color w:val="000000"/>
          <w:sz w:val="20"/>
          <w:lang w:val="en-US" w:eastAsia="en-US" w:bidi="ar-SA"/>
        </w:rPr>
        <w:t>. operated a greenhouse. The agent obtained coverage on the boilers but not the water pumps which were part of the heating system. The plaintiff suffered an uninsured loss and brought a claim against its agent. Justice Estey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the duty of the defendant agent to either procure such coverage, or draw to the attention of the plaintiff his failure or inability to do so and the consequent gap in coverage. Having done neither, the defendant agent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whether or not the instructions to insure all "insurable" risks or to see that the plaintiff was "adequately covered with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Fletcher, supra</w:t>
      </w:r>
      <w:r>
        <w:rPr>
          <w:rFonts w:ascii="arial" w:eastAsia="arial" w:hAnsi="arial" w:cs="arial"/>
          <w:color w:val="000000"/>
          <w:sz w:val="20"/>
          <w:lang w:val="en-US" w:eastAsia="en-US" w:bidi="ar-SA"/>
        </w:rPr>
        <w:t xml:space="preserve">, involved individuals injured in a car accident. The at-fault party was underinsured. The plaintiffs brought claims against their insurance agent for failing to sell them underinsured motorist coverage. They had been successful at trial but the Ontario Court of Appeal allowed the appeal and dismissed the claim on behalf of the Court. On appeal, Justice Wilson on behalf of the Court confirmed the principles set out in </w:t>
      </w:r>
      <w:r>
        <w:rPr>
          <w:rFonts w:ascii="arial" w:eastAsia="arial" w:hAnsi="arial" w:cs="arial"/>
          <w:i/>
          <w:color w:val="000000"/>
          <w:sz w:val="20"/>
          <w:lang w:val="en-US" w:eastAsia="en-US" w:bidi="ar-SA"/>
        </w:rPr>
        <w:t>Fines Flowers Ltd. v. General Accident Assurance Co</w:t>
      </w:r>
      <w:r>
        <w:rPr>
          <w:rFonts w:ascii="arial" w:eastAsia="arial" w:hAnsi="arial" w:cs="arial"/>
          <w:color w:val="000000"/>
          <w:sz w:val="20"/>
          <w:lang w:val="en-US" w:eastAsia="en-US" w:bidi="ar-SA"/>
        </w:rPr>
        <w:t>. (1979), 9 Man. L.J. 165 and then cited with approval the following passage from an article by Professor H. Snow, "Liability of Insurance Agents for Failure to Obtain Effective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implication of this case and many others like it in recent years seems clear. Consumers who place their faith in insurance agents holding themselves out as competent and find their faith misplaced, will frequently be able to find recourse against the agent. ... </w:t>
      </w:r>
      <w:r>
        <w:rPr>
          <w:rFonts w:ascii="arial" w:eastAsia="arial" w:hAnsi="arial" w:cs="arial"/>
          <w:i/>
          <w:color w:val="000000"/>
          <w:sz w:val="20"/>
          <w:lang w:val="en-US" w:eastAsia="en-US" w:bidi="ar-SA"/>
        </w:rPr>
        <w:t>[T]he extent of the duty owed by an insurance agent, both in placing insurance and in indicating to the insured which risks are covered and which are not, as set out in this case, is a stringent one for the agent</w:t>
      </w:r>
      <w:r>
        <w:rPr>
          <w:rFonts w:ascii="arial" w:eastAsia="arial" w:hAnsi="arial" w:cs="arial"/>
          <w:color w:val="000000"/>
          <w:sz w:val="20"/>
          <w:lang w:val="en-US" w:eastAsia="en-US" w:bidi="ar-SA"/>
        </w:rPr>
        <w:t>. Moreover, given the general situation of the principal relying very heavily on the expertise of the agent, it does not seem to be an unreasonable burden for an insurance agent to bear. [Emphasis added by Justice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Justice Wilson concluded the section on the "Duty on Private Agents and Brokers" with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entirely appropriate to hold private insurance agents and brokers to a stringent duty to provide both information and advice to their customers. They are, after all, licensed professionals who specialize in helping clients with risk assessment and in tailoring insurance policies to fit the particular needs of their customers. Their service is highly personalized, concentrating on the specific circumstances of each client. Subtle differences in the forms of coverage available are frequently difficult for the average person to understand. Agents and brokers are trained to understand these differences and to provide individualized insurance advice. It is both reasonable and appropriate to impose upon them a duty not only to convey information but also to provide counsel and advice.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para. 82, Justice Wilson added that since the insurer chose to communicate by mail, it was "incumbent upon it to make sure the written materials it sent out were cast in the clearest of terms", particularly given that customers of all sorts would receive the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duty owed by an insurance broker was considered more recently by Justice Griffin (as she then was) in </w:t>
      </w:r>
      <w:r>
        <w:rPr>
          <w:rFonts w:ascii="arial" w:eastAsia="arial" w:hAnsi="arial" w:cs="arial"/>
          <w:i/>
          <w:color w:val="000000"/>
          <w:sz w:val="20"/>
          <w:lang w:val="en-US" w:eastAsia="en-US" w:bidi="ar-SA"/>
        </w:rPr>
        <w:t>Beck v. Johnston, Meier Insurance Agencies Ltd.</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2010 BCSC 719</w:t>
        </w:r>
      </w:hyperlink>
      <w:r>
        <w:rPr>
          <w:rFonts w:ascii="arial" w:eastAsia="arial" w:hAnsi="arial" w:cs="arial"/>
          <w:color w:val="000000"/>
          <w:sz w:val="20"/>
          <w:lang w:val="en-US" w:eastAsia="en-US" w:bidi="ar-SA"/>
        </w:rPr>
        <w:t>. Richard and Karen Beck were spouses. Ms. Beck moved out of the family home in 2005. On November 15, 2007, Mr. Beck murdered his wife, set fire to the family home, and then killed himself. Coverage for the fire loss was denied by the insurer on the basis of an intentional act exclusion which excluded coverage for losses resulting from the intentional act of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Justice Griffin concluded that Ms. Beck had never been advised of the intentional act exclusion even though she had been in contact with the broker on at least three occasions prior to the fire. In this regard, Griffin J. added that, even if Ms. Beck had been advised of the exclusion clause when she first purchased the policy in 2001, she was "not persuaded that it would be sufficient to meet the defendant's duty of care in 2006, as it was too far in the past, was not sufficiently connected to the change in living circumstances that occurred when Ms. Beck moved out of the home, and it was never identified that the intentional act of one insured might exclude coverage for the innocent co-insured."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Meadow-North Agencies Ltd. v. Cheecham</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2012 SKCA 123</w:t>
        </w:r>
      </w:hyperlink>
      <w:r>
        <w:rPr>
          <w:rFonts w:ascii="arial" w:eastAsia="arial" w:hAnsi="arial" w:cs="arial"/>
          <w:color w:val="000000"/>
          <w:sz w:val="20"/>
          <w:lang w:val="en-US" w:eastAsia="en-US" w:bidi="ar-SA"/>
        </w:rPr>
        <w:t xml:space="preserve"> involved a rental property that was extensively damaged by vandals shortly after the tenants had moved out. The claim was denied because the policy excluded coverage for losses resulting from vandalism while the property was vacant. The insured brought an action against the insurance agency that sold him the policy. The policy was first purchased from the defendant agency in October of 1993 and renewed annually thereafter. Each year a renewal package was sent consisting of a letter, a copy of the Policy coverage page, and a document described as a "checklist" and a renewal letter with this sentence: "[I]f the house ever goes unoccupied or vacant, please let us know". The enclosed checklist included a provision that said: "Important. Please let us know if at any time your dwelling becomes unoccupied or vacant". It also warned that the checklist was for convenience only and did not include all the limitations and exclusions in policy. Wording booklets were said to be available at the office. Upon vacancy, coverage was immediately excluded for vandalism and, after 30 days, all coverage was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trial judge held private insurance agents have a stringent duty to provide information and advice to their clients and that this duty "extended to drawing to the attention of [the insured] the fact that his vandalism coverage ended immediately upon the property becoming vacant and to provide him with information or advice as to the steps he could take to avoid this loss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upholding the trial judge's finding against the defendant agency, the Court reiterated the statements in </w:t>
      </w:r>
      <w:r>
        <w:rPr>
          <w:rFonts w:ascii="arial" w:eastAsia="arial" w:hAnsi="arial" w:cs="arial"/>
          <w:i/>
          <w:color w:val="000000"/>
          <w:sz w:val="20"/>
          <w:lang w:val="en-US" w:eastAsia="en-US" w:bidi="ar-SA"/>
        </w:rPr>
        <w:t>Fletcher, supra</w:t>
      </w:r>
      <w:r>
        <w:rPr>
          <w:rFonts w:ascii="arial" w:eastAsia="arial" w:hAnsi="arial" w:cs="arial"/>
          <w:color w:val="000000"/>
          <w:sz w:val="20"/>
          <w:lang w:val="en-US" w:eastAsia="en-US" w:bidi="ar-SA"/>
        </w:rPr>
        <w:t xml:space="preserve"> that it is entirely appropriate to hold private insurance agents and brokers to a stringent duty to provide both information and advice to their customers. Applying that duty to the appeal, Justice Richards,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of this case, Mr. Cheecham purchased insurance coverage for a </w:t>
      </w:r>
      <w:r>
        <w:rPr>
          <w:rFonts w:ascii="arial" w:eastAsia="arial" w:hAnsi="arial" w:cs="arial"/>
          <w:i/>
          <w:color w:val="000000"/>
          <w:sz w:val="20"/>
          <w:lang w:val="en-US" w:eastAsia="en-US" w:bidi="ar-SA"/>
        </w:rPr>
        <w:t>rental house</w:t>
      </w:r>
      <w:r>
        <w:rPr>
          <w:rFonts w:ascii="arial" w:eastAsia="arial" w:hAnsi="arial" w:cs="arial"/>
          <w:color w:val="000000"/>
          <w:sz w:val="20"/>
          <w:lang w:val="en-US" w:eastAsia="en-US" w:bidi="ar-SA"/>
        </w:rPr>
        <w:t>. Meadow-North knew that the house was a rental property and knew it was likely to be vacant from time to time. In that situation, the trial judge was entitled to conclude that, as part of its duty to provide counsel an advice, Meadow-North should have drawn Mr. Cheecham's attention to the fact that, the moment the house became vacant, there would be no coverage for vandalism. On the facts here, there would be no speculative or a mere possibility. They were part and parcel of the rental property business. The failure of the Policy to insure against vandalism during periods of vacancy can, in this context, reasonably be seen as being a gap in coverage. It was open to the trial judge to conclude that Mr. Cheecham should have been alerted to that issue. There is no reviewable error in his treatment of the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emphasized the fact that the risk insured was a rental house so it was incumbent on the agent to anticipate that there would be periodic vacancies and draw this issue to the attention of the insured. It should also be noted that the renewal letter at issue specifically contained the warning: "[I]f the house ever goes unoccupied or vacant, please let us know" and that the checklist included a provision that stated: "Important. Please let us know if at any time your dwelling becomes unoccupied or vacant". Despite this clear notice, liability against the agency was found.</w:t>
      </w:r>
      <w:r>
        <w:rPr>
          <w:rFonts w:ascii="arial" w:eastAsia="arial" w:hAnsi="arial" w:cs="arial"/>
          <w:sz w:val="20"/>
          <w:lang w:val="en-US" w:eastAsia="en-US" w:bidi="ar-SA"/>
        </w:rPr>
        <w:cr/>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duty imposed on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Fletcher, supra</w:t>
      </w:r>
      <w:r>
        <w:rPr>
          <w:rFonts w:ascii="arial" w:eastAsia="arial" w:hAnsi="arial" w:cs="arial"/>
          <w:color w:val="000000"/>
          <w:sz w:val="20"/>
          <w:lang w:val="en-US" w:eastAsia="en-US" w:bidi="ar-SA"/>
        </w:rPr>
        <w:t xml:space="preserve">, and the authorities which have applied it, confirm that the customer bears a duty to provide accurate information to the broker and to proactively advise the broker when and where material changes occur in connection with the insured property. Justice Freeman on behalf of the Court in </w:t>
      </w:r>
      <w:r>
        <w:rPr>
          <w:rFonts w:ascii="arial" w:eastAsia="arial" w:hAnsi="arial" w:cs="arial"/>
          <w:i/>
          <w:color w:val="000000"/>
          <w:sz w:val="20"/>
          <w:lang w:val="en-US" w:eastAsia="en-US" w:bidi="ar-SA"/>
        </w:rPr>
        <w:t>Ken Murphy Enterprises Ltd. v. Commercial Union Assurance Co. of Canada</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2005 NSCA 53</w:t>
        </w:r>
      </w:hyperlink>
      <w:r>
        <w:rPr>
          <w:rFonts w:ascii="arial" w:eastAsia="arial" w:hAnsi="arial" w:cs="arial"/>
          <w:color w:val="000000"/>
          <w:sz w:val="20"/>
          <w:lang w:val="en-US" w:eastAsia="en-US" w:bidi="ar-SA"/>
        </w:rPr>
        <w:t xml:space="preserve"> described the duties incumbent on clients of an insurance broker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customer's duty is to provide accurate information respecting the risk, and to pay the premium. The customer is entitled to rely on the skill and expertise of the agency to obtain and deliver a policy which provides the insurance coverage his premium has paid for during the coverage period. If a material change in the risk occurs during the coverage period it is the duty of the customer, the insured, to notify the agency or the insurer.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528852 Ontario Inc. v. Royal Insurance Co</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(2000), 51 O.R. (3d) 470</w:t>
        </w:r>
      </w:hyperlink>
      <w:r>
        <w:rPr>
          <w:rFonts w:ascii="arial" w:eastAsia="arial" w:hAnsi="arial" w:cs="arial"/>
          <w:color w:val="000000"/>
          <w:sz w:val="20"/>
          <w:lang w:val="en-US" w:eastAsia="en-US" w:bidi="ar-SA"/>
        </w:rPr>
        <w:t xml:space="preserve"> establishes the principle that an insured owes a continuing duty to promptly notify the insurer of any material change in risk, including, specifically, vacancy: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whether a fact is material requires consideration of whether or not the fact would influence the insurer in assessing or accepting a risk or in fixing the premium. (See </w:t>
      </w:r>
      <w:r>
        <w:rPr>
          <w:rFonts w:ascii="arial" w:eastAsia="arial" w:hAnsi="arial" w:cs="arial"/>
          <w:i/>
          <w:color w:val="000000"/>
          <w:sz w:val="20"/>
          <w:lang w:val="en-US" w:eastAsia="en-US" w:bidi="ar-SA"/>
        </w:rPr>
        <w:t>Johnson v. British Canadian Insurance Co.</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[1932] S.C.R. 680</w:t>
        </w:r>
      </w:hyperlink>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[1932] 4 D.L.R. 281</w:t>
        </w:r>
      </w:hyperlink>
      <w:r>
        <w:rPr>
          <w:rFonts w:ascii="arial" w:eastAsia="arial" w:hAnsi="arial" w:cs="arial"/>
          <w:color w:val="000000"/>
          <w:sz w:val="20"/>
          <w:lang w:val="en-US" w:eastAsia="en-US" w:bidi="ar-SA"/>
        </w:rPr>
        <w:t>). When property becomes unoccupied or vacant, this is a material change to the risk (</w:t>
      </w:r>
      <w:r>
        <w:rPr>
          <w:rFonts w:ascii="arial" w:eastAsia="arial" w:hAnsi="arial" w:cs="arial"/>
          <w:i/>
          <w:color w:val="000000"/>
          <w:sz w:val="20"/>
          <w:lang w:val="en-US" w:eastAsia="en-US" w:bidi="ar-SA"/>
        </w:rPr>
        <w:t>Melvin v. Pilot Insurance Co.</w:t>
      </w:r>
      <w:r>
        <w:rPr>
          <w:rFonts w:ascii="arial" w:eastAsia="arial" w:hAnsi="arial" w:cs="arial"/>
          <w:color w:val="000000"/>
          <w:sz w:val="20"/>
          <w:lang w:val="en-US" w:eastAsia="en-US" w:bidi="ar-SA"/>
        </w:rPr>
        <w:t>, [1981] 1 L.R. 1-1384 (Ont H.C.)).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There is a continuing duty on the client to promptly notify the agent of any material change as there is an ongoing obligation on an insured to disclose material facts: </w:t>
      </w:r>
      <w:r>
        <w:rPr>
          <w:rFonts w:ascii="arial" w:eastAsia="arial" w:hAnsi="arial" w:cs="arial"/>
          <w:i/>
          <w:color w:val="000000"/>
          <w:sz w:val="20"/>
          <w:lang w:val="en-US" w:eastAsia="en-US" w:bidi="ar-SA"/>
        </w:rPr>
        <w:t>Grafton Connor Property Inc. v. Murphy</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2017 NSCA 54</w:t>
        </w:r>
      </w:hyperlink>
      <w:r>
        <w:rPr>
          <w:rFonts w:ascii="arial" w:eastAsia="arial" w:hAnsi="arial" w:cs="arial"/>
          <w:color w:val="000000"/>
          <w:sz w:val="20"/>
          <w:lang w:val="en-US" w:eastAsia="en-US" w:bidi="ar-SA"/>
        </w:rPr>
        <w:t xml:space="preserve"> at para. 125 as well as </w:t>
      </w:r>
      <w:r>
        <w:rPr>
          <w:rFonts w:ascii="arial" w:eastAsia="arial" w:hAnsi="arial" w:cs="arial"/>
          <w:i/>
          <w:color w:val="000000"/>
          <w:sz w:val="20"/>
          <w:lang w:val="en-US" w:eastAsia="en-US" w:bidi="ar-SA"/>
        </w:rPr>
        <w:t>Ken Murphy Enterprises Ltd., supra</w:t>
      </w:r>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addition to the obligation to provide information on an ongoing basis, the Defendant submits that clients have an obligation to review insurance documents. Counsel summarizes the authorities to support that proposition as follows:</w:t>
      </w:r>
      <w:r>
        <w:rPr>
          <w:rFonts w:ascii="arial" w:eastAsia="arial" w:hAnsi="arial" w:cs="arial"/>
          <w:sz w:val="20"/>
          <w:lang w:val="en-US" w:eastAsia="en-US" w:bidi="ar-SA"/>
        </w:rPr>
        <w:cr/>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the client has responsibilities and cannot ignore or choose to not read the documentation provided by the agent: </w:t>
      </w:r>
      <w:r>
        <w:rPr>
          <w:rFonts w:ascii="arial" w:eastAsia="arial" w:hAnsi="arial" w:cs="arial"/>
          <w:i/>
          <w:color w:val="000000"/>
          <w:sz w:val="20"/>
          <w:lang w:val="en-US" w:eastAsia="en-US" w:bidi="ar-SA"/>
        </w:rPr>
        <w:t>CIA Inspection Inc. v. Dan Lawrie Insurance Brokers;</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2010 ONSC 3639</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87 C.C.L.I. (4th) 159</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Siemens et al v. Unrau et al</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(1989), 44 C.C.L.I. 99</w:t>
        </w:r>
      </w:hyperlink>
      <w:r>
        <w:rPr>
          <w:rFonts w:ascii="arial" w:eastAsia="arial" w:hAnsi="arial" w:cs="arial"/>
          <w:color w:val="000000"/>
          <w:sz w:val="20"/>
          <w:lang w:val="en-US" w:eastAsia="en-US" w:bidi="ar-SA"/>
        </w:rPr>
        <w:t xml:space="preserve"> (B.C.S.C.) at page 6, aff'd (1991) 4. C.C.L.I. (2d) 213 (B.C.C.A.); </w:t>
      </w:r>
      <w:r>
        <w:rPr>
          <w:rFonts w:ascii="arial" w:eastAsia="arial" w:hAnsi="arial" w:cs="arial"/>
          <w:i/>
          <w:color w:val="000000"/>
          <w:sz w:val="20"/>
          <w:lang w:val="en-US" w:eastAsia="en-US" w:bidi="ar-SA"/>
        </w:rPr>
        <w:t>Munro v. Shackleton</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(1993) 21 C.C.L.I. (2d) 102</w:t>
        </w:r>
      </w:hyperlink>
      <w:r>
        <w:rPr>
          <w:rFonts w:ascii="arial" w:eastAsia="arial" w:hAnsi="arial" w:cs="arial"/>
          <w:color w:val="000000"/>
          <w:sz w:val="20"/>
          <w:lang w:val="en-US" w:eastAsia="en-US" w:bidi="ar-SA"/>
        </w:rPr>
        <w:t xml:space="preserve"> (Sask. Q.B.) at para. 9;</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Absent communication from the client about any difficulty in comprehension, it is not necessary for a broker to read every clause in a policy to the client: </w:t>
      </w:r>
      <w:r>
        <w:rPr>
          <w:rFonts w:ascii="arial" w:eastAsia="arial" w:hAnsi="arial" w:cs="arial"/>
          <w:i/>
          <w:color w:val="000000"/>
          <w:sz w:val="20"/>
          <w:lang w:val="en-US" w:eastAsia="en-US" w:bidi="ar-SA"/>
        </w:rPr>
        <w:t>CIA Inspection</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Curry Construction (1973) Ltd. v. Reed Stenhouse Ltd. et al</w:t>
      </w:r>
      <w:r>
        <w:rPr>
          <w:rFonts w:ascii="arial" w:eastAsia="arial" w:hAnsi="arial" w:cs="arial"/>
          <w:color w:val="000000"/>
          <w:sz w:val="20"/>
          <w:lang w:val="en-US" w:eastAsia="en-US" w:bidi="ar-SA"/>
        </w:rPr>
        <w:t xml:space="preserve"> (1988), 35 C.C.L.I. 275 (N.W.T.S.C.) at para. 23.;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client has an obligation to obtain clarification of the terms of the policy or other insurance documents: CIA Inspection at para. 26; </w:t>
      </w:r>
      <w:r>
        <w:rPr>
          <w:rFonts w:ascii="arial" w:eastAsia="arial" w:hAnsi="arial" w:cs="arial"/>
          <w:i/>
          <w:color w:val="000000"/>
          <w:sz w:val="20"/>
          <w:lang w:val="en-US" w:eastAsia="en-US" w:bidi="ar-SA"/>
        </w:rPr>
        <w:t>Strougal v. Coast Capital Insurance Services Ltd</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(2008) 57 C.C.L.I. (4th) 217</w:t>
        </w:r>
      </w:hyperlink>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Regarding the failure of a client to read the wording in a policy and whether that failure will absolve a broker of the duty owed to a client, </w:t>
      </w:r>
      <w:r>
        <w:rPr>
          <w:rFonts w:ascii="arial" w:eastAsia="arial" w:hAnsi="arial" w:cs="arial"/>
          <w:i/>
          <w:color w:val="000000"/>
          <w:sz w:val="20"/>
          <w:lang w:val="en-US" w:eastAsia="en-US" w:bidi="ar-SA"/>
        </w:rPr>
        <w:t>Newfiigging v. M. Butler Insurance Brokers Ltd.</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2012 ONSC 5174</w:t>
        </w:r>
      </w:hyperlink>
      <w:r>
        <w:rPr>
          <w:rFonts w:ascii="arial" w:eastAsia="arial" w:hAnsi="arial" w:cs="arial"/>
          <w:color w:val="000000"/>
          <w:sz w:val="20"/>
          <w:lang w:val="en-US" w:eastAsia="en-US" w:bidi="ar-SA"/>
        </w:rPr>
        <w:t xml:space="preserve"> dealt with an insured who owned a boarding house and insured it through defendant insurance agency in 2006. In 2009, while vacant, the property suffered water damage. Coverage was declined on the basis of a vacancy exclusion. The brokerage argued that the lack of knowledge, by the insured of the vacancy exclusion was solely a result of his own failure to read the insurance policy and that he was willfully blind with respect to it. The insured acknowledged that he did not read the policy and was not aware of the exclusion but stated that he relied on the expertise of the broker when purchasing the policy and was not told about the vacancy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trial judge concluded the agent did not advise of exclusions regarding vacancy in the policy and failed to explain the policy to the insured although the agent had "an obligation and duty to advise of the specific exclusion under the policy". On appeal, the Court concluded that the trial judge had not erred in finding that the insured relied on the broker to ensure coverage and, as the broker failed to advise about the vacancy exclusion in the policy, the broker was responsible even though the insured did not ask questions or read the policy. The Court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correctly found in law that the agent breached his obligation in not telling the Respondent that at any time the premises were vacant, there would be no coverage under the policy. The trial judge thus correctly concluded...I do find that the defendant did breach his obligation in not telling the Plaintiff that at any time this place was vacant, under the definition, that there would be limitations to coverage. It put the Plaintiff at risk of having the place vacant...I do find the loss is directly related to the failure to meet the obligation of the insurance agent to let him know about the vacancy gaps in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Bronfman v. BFL Canada Risk</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2013 ONSC 5372</w:t>
        </w:r>
      </w:hyperlink>
      <w:r>
        <w:rPr>
          <w:rFonts w:ascii="arial" w:eastAsia="arial" w:hAnsi="arial" w:cs="arial"/>
          <w:color w:val="000000"/>
          <w:sz w:val="20"/>
          <w:lang w:val="en-US" w:eastAsia="en-US" w:bidi="ar-SA"/>
        </w:rPr>
        <w:t xml:space="preserve">, at issue was a claim for theft of jewelry and cash valued over $2,300,000 when the coverage was for $10,000 for jewelry and $1,500 for cash. It was acknowledge that Mr. Bronfman paid little attention to the letters he received from his broker "...viewing them as generic form letters and relying on [the broker] to alert him to any problems or gaps" in coverage. The Court refused to apportion any liability to Mr. Bronfman, despite the fact that he was undoubtedly a sophisticated individual. In refusing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Justice Stewart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nevertheless would decline to apportion any liability against the Bronfmans given the facts of this case. [A standard of care expert] testified that few clients read the policies and even fewer understand them, a proposition which I accept in the circumstances of this case. The covering letters are in the nature of "form letters" and are not straightforward or easily understood. The policies themselves contain language and provisions which are complicated and contradictory to the lay reader (and arguably even to someone with a legal background). It is far from probable that Paul [Bronfman] would have clearly understood the implications of those letters and policies or that they would have necessarily triggered any questions or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Goldsmith is the insurance professional who is being compensated for his brokerage role. It is his duty to make such investigations that would have permitted him to discover an obvious coverage gap of this nature and to ensure the Bronfmans were aware of it and provided with appropriate recommendations to remedy it (see: </w:t>
      </w:r>
      <w:r>
        <w:rPr>
          <w:rFonts w:ascii="arial" w:eastAsia="arial" w:hAnsi="arial" w:cs="arial"/>
          <w:i/>
          <w:color w:val="000000"/>
          <w:sz w:val="20"/>
          <w:lang w:val="en-US" w:eastAsia="en-US" w:bidi="ar-SA"/>
        </w:rPr>
        <w:t>Consyns v. Smith</w:t>
      </w:r>
      <w:r>
        <w:rPr>
          <w:rFonts w:ascii="arial" w:eastAsia="arial" w:hAnsi="arial" w:cs="arial"/>
          <w:color w:val="000000"/>
          <w:sz w:val="20"/>
          <w:lang w:val="en-US" w:eastAsia="en-US" w:bidi="ar-SA"/>
        </w:rPr>
        <w:t>, 1983 Carwell Ont. 797 (Ont. C.A.). The real failure of Goldsmith in this case was his lack of appreciation of the likelihood that the Bronfmans owned valuable jewellery worth well in excess of $20,000.00 and his failure to ascertain the true extent of their possessions and to provide them with advice as to how much special coverage they needed, where they could get it and how much it would cost them. This is the proper role of a professional insurance broker and it is Goldsmith's failure to discharge that role which is fully causative of and responsible for the damages suffered by his clients, the Bronfmans.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91-92]</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Expert opinion of Monica A.K. Woldring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the request of counsel for the Plaintiffs, Ms. Woldring was asked to provide an opinion regarding the standard practice for an insurance broker who was renewing a rental property policy, the information the broker should attempt to obtain from an insured when renewing coverage, and the standard practice of an insurance broker with respect to using form letters as a means to explain or bring limitations or warnings to the attention of clients on renewals. In addition to holding General Insurance-Level 3 Licence, Ms. Woldring has been an instructor at both BCIT and Douglas College. She has also been an instructor since 1990 at the Insurance Institute of British Columbia. At Trial, Ms. Woldring was qualified as an expert to provide an opinion regarding the standard of care and standard practices of an insurance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Woldring was of the opinion that the Insurance Council of British Columbia Code of Conduct applied. Section 5 of the Code states that a broker should not fail "... to conduct an adequate fact finding and assessment of a client's insurance needs". In this regard, Ms. Woldring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reasonable broker would have explained to the insured that if the rental house becomes vacant for any time period, there would be no water damage coverage. Further, if the house remains vacant for more than 30 days, no coverage would apply. This explanation is important to explain to all customers, but for owners of rental property it is even more important. Tenanted buildings often have more movement of occupants than owner occupied houses. As well, it is not always possible to find new tenants immediately after a move out by existing tenants. After a tenant leaves a property, owners will often use the time between tenants to repair or renovate the house, in order to maximize their rental income. A reasonable broker would be aware that they should include the information on these exclusions to any clients who rent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Regarding the information a broker should attempt to gather from an insured with rental property when renewing coverage, Ms. Woldring was of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reasonable broker would have collected the following information:</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property currently rented and occupied by the tenant;</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property is a single family home, are the tenants one family unit or are there room-mates occupying the property;</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property is a multi-family home, how many tenant families occupy each suite or are there room-mate situations;</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often does the landlord/owner visit the property to see if the property is being maintained;</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rent being collected, to be able to insure the rental income properly.</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building is over 25 years old, the age of the roof, the condition of the plumbing, heating and electrical systems and dates each was last updated; and</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Lastly, most insurance companies required updated photos of the property and that is sometimes requested from the insured, sometimes brokers have the picture taken by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building is occupied by a long term tenant, only some or even none these questions may be asked annually. They are, however, always required to be asked whenever the policy is new for the property or if the broker changes insurance companies on renewal for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Regarding the standard practice of using form letters as a means to explain and bring limitations or warnings to the attention of clients, Ms. Woldring was of the following opinion that the "For Your Information" form "... does not apply to rental properties, it is designed for a homeowner's policy where the home is occupied by the owner. There is no reference to coverage specific for rental property, so it would have been inappropriate to use this as a checklist to send to the client for their rental property". At Trial under cross-examination, Ms. Woldring had to concede that numerous items in the "For Your Information" document were directly relevant to rental properties including reference to "rental income" and "vandalism done by tenants in rental dwellings".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Expert opinion of Cary Augustini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the request of counsel for the Defendant, Ms. Augustini prepared a November 28, 2018 opinion in response to the opinion of Ms. Woldring. Ms. Augustini is experienced in insurance business having served as an Insurance Manager since July of 2018, a Branch Manager between October of 2015 and July of 2018, a Commercial Account Executive between October of 2012 and October of 2015, a Branch Manager between October of 2008 and October of 2012, and a Commercial Account Executive between 1998 and 2008. At Trial, Ms. Augustini was qualified as an expert to provide an opinion regarding the standard of practice of prudent and reasonable insurance brokers within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Regarding renewals, it was the experience of Ms. Augustini that "standard practice of a reasonable prudent insurance broker" dealing with renewal of insurance policies was "to automatically process the renewal package and send the package out to clients." Regarding the renewal package, Ms. Augustini stated in her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renewal package would typically include an invoice for payment, renewal letter and insurance brokerage specific "information overview" document, (similar to document #6 titled "For Your Information"). The renewal letter normally includes a clause along the lines of a requirement to report to the insurance brokerage any material change to the risk, over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Augustini refers to the CSIO [Centre for Study of Insurance Operations] Industry Form - Habitational Insurance Application as to what sets out in the "standard practice and requirement" for a reasonable prudent insurance broker. The Form relates to the requirements of an insurance company in the "selling process" and Ms. Augustine notes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spent, with a client, in "selling a policy" will typically far exceed the normal time spent in "renewing a policy"--unless, the client "renewing a policy" has changes, questions or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onset of a new policy, the noted exclusions, pointed out by Monica Woldring, document dated October 16, 2017 and to which I referred to earlier in this document, would be part of the "selling process" for a new policy. The purpose, when "selling" a new insurance policy, is to ensure that the client thoroughly understands the policy and to assist the client in providing clear and concise information so that the client can make educated decisions regarding coverage needs and understand how future potential changes could affect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Augustini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renewal packages would include: the actual insurance company renewal documents, a corresponding invoice, renewal letter, a document similar to the "For Your Information" sent by InsureBC and if the Insurance Company workings had been updated, a revised wording booklet.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renewal letter, or similar "For Your Information" document, directs the customer to call with any questions, changes or concerns. In forwarding the renewal package to clients prior to the renewal date, it allows sufficient notice for clients to call or drop by their insurance office, at the most opportune time for them, to review and finalize their renewal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renewal process, in my opinion, is the standard industry practice-completed by reasonably prudent insurance brokers.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setting out her agreement with Ms. Woldring relating to the information to be obtained from a client when "selling a policy" and while indicating the time spent at that time with a client will typically exceed the time spent in "renewing a policy", Ms. Augustini does not set out what a "reasonable prudent insurance broker" would undertake when a policy is being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Under cross-examination at Trial, Ms. Augustini agreed that the Insurance Council of British Columbia was the regulatory authority and not the CSIO. When asked whether it would be "ideal practice" to have different packages sent out depending on whether or not the property was rental property, I record Ms. Augustini as answering: "Yes, but not the industry standard." Regarding the "For Your Information" form used by the Defendant, Ms. Augustini agreed that the format and layout varies depending on the brokerage firm.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Conclusion regarding whether the Plaintiffs fulfilled their obligations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prefer the opinion of Ms. Woldring over the opinion provided by Ms. Augustini. First, Ms. Woldring is much more experienced including being an instructor since 1990 at the Insurance Institute of British Columbia. Second, I am satisfied that the standards set for insurance brokers are set out by the Insurance Council of British Columbia Code of Conduct and not by the CSIO. Third, I cannot conclude that the obligations owed by a broker are different or in any way less onerous during the process relating to a renewal than during the initial placement of insurance. In this regard, I cannot conclude that the renewal of policies could be undertaken by "automatically" processing the renewal package and sending the package out to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During her cross-examination at Trial, Ms. Yuen agreed that her professional responsibility was the same whether it was a new policy or whether there was a renewal of a policy when she was asked the following questions and gave the following answers: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Ms. Yuen, you'll agree that each time - and I'm moving on to a new matter now, each time you're renewing a policy you are in fact selling a new policy, you're selling a policy, anyway?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the Code of Conduct for insurance agents doesn't distinguish between renewing or your obligations on a renewal versus your obligations to the selling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have the Code of Conduct in front of me so I can't confirm.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Is your understanding any different of - I guess my question is do you understand our professional obligations to be different on a renewal than when you're originally selling a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My obligations is - is the same. The documentation that is sent to them varies.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our obligations remain the same, but what's sent out varies?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Because the Policy was written many years ago, there is no current evidence available regarding what may have been discussed with Mr. Alvaro at the time the Policy was placed. Diane Pretty was a retired long-term employee of the Defendant. Ms. Pretty testified regarding the practices at the Defendant at the time of selling a policy to a customer. Regarding the question of whether exclusions were discussed, Ms. Pretty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normally, unless it comes up in the conversation that they were questioning something, a coverage. Such as...I usually went through the coverages rather than the exclusions. And if there was something that came up in conversation such as what do I do if a neighbour's tree falls on me, then I would refer to that exclusion and we would discuss it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From that, I cannot conclude that the duty of care owed by the Defendant to its customers was met when gaps in coverage were not necessarily drawn to the attention of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Regarding the question of whether the Plaintiffs had any obligation they had to read the Policy in any documentation provided by the Defendants, the Plaintiffs have admitted that they disregarded the vast majority of the insurance documents. Mr. Alvaro indicated that he only read the "one or two pages" that he thought were important in the renewal packages. For his part, Mr. Gagliardi did not read any of the insurance documents. At Trial, Mr. Alvaro admitted that he understood that he needed to read and understand his insurance policy but stated: "I have tried to read some of those policies and they're so complicated to read. This is one of the reasons why I was relying on Lee &amp; Porter ... because they are really complicated to read". At Trial under cross-examination, Mr. Alvaro stated: "I did try to read once, but couldn't make heads or tails of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At Trial under cross-examination, Mr. Alvaro was asked whether he had reviewed the "conditions carefully", and he responded: "I probably did not" "and I was hoping that they would tell me what I should be doing without having to go, is there anything that I needed to be doing?" Mr. Alvaro confirmed that he had not asked his brother who was a real estate agent about issues that might be important regarding insurance coverage. However, Mr. Alvaro confirmed that he phoned Ms. Yuen to ask her about the "bylaw coverage" that was raised in the renewal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Trial, Ms. Yuen was asked about the Policy and her answers are indicative of the difficulty that anyone including a person like Ms. Yuen who was more experienced than a lay person would have in deciphering what was in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say that even while looking at the policy, and that's because policies are difficult to read?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They are,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They're very complex, and somebody without training in policies - in reading insurance policies will have a difficult time interpreting policies; you'd agree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would agree, and if they required clarification I would hope that they would call us and ask for us to assist, and if we were unable to assist, then we would definitely go to the company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To the extent that there is an obligation on the Plaintiffs to read the Policy and the documents that were forwarded on the renewal in September of 2012, it must be noted that the it is stated that "...the renewal of your rented Dwelling insurance policy" was enclosed and that the Plaintiffs were urged to "review the policy". However, it is clear that seven out of the eight pages of the Renewal Declaration were headed "</w:t>
      </w:r>
      <w:r>
        <w:rPr>
          <w:rFonts w:ascii="arial" w:eastAsia="arial" w:hAnsi="arial" w:cs="arial"/>
          <w:b/>
          <w:color w:val="000000"/>
          <w:sz w:val="20"/>
          <w:lang w:val="en-US" w:eastAsia="en-US" w:bidi="ar-SA"/>
        </w:rPr>
        <w:t>YOUR PERSONAL INSURANCE POLICY</w:t>
      </w:r>
      <w:r>
        <w:rPr>
          <w:rFonts w:ascii="arial" w:eastAsia="arial" w:hAnsi="arial" w:cs="arial"/>
          <w:color w:val="000000"/>
          <w:sz w:val="20"/>
          <w:lang w:val="en-US" w:eastAsia="en-US" w:bidi="ar-SA"/>
        </w:rPr>
        <w:t xml:space="preserve">". The only reference to the actual Policy was on page 7 of the Renewal Declaration which referred to the "enclosed </w:t>
      </w:r>
      <w:r>
        <w:rPr>
          <w:rFonts w:ascii="arial" w:eastAsia="arial" w:hAnsi="arial" w:cs="arial"/>
          <w:b/>
          <w:color w:val="000000"/>
          <w:sz w:val="20"/>
          <w:lang w:val="en-US" w:eastAsia="en-US" w:bidi="ar-SA"/>
        </w:rPr>
        <w:t>STATUTORY CONDITIONS</w:t>
      </w:r>
      <w:r>
        <w:rPr>
          <w:rFonts w:ascii="arial" w:eastAsia="arial" w:hAnsi="arial" w:cs="arial"/>
          <w:color w:val="000000"/>
          <w:sz w:val="20"/>
          <w:lang w:val="en-US" w:eastAsia="en-US" w:bidi="ar-SA"/>
        </w:rPr>
        <w:t>" which replaced pages 53 through 55 of "your policy booklet dated August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Having described what was enclosed as the Policy, I find that the Defendant is not now in a position to advance the argument that the Plaintiffs failed to meet any obligation that they had to review the Policy. The Defendant is not in a position to rely on any alleged failure of the Plaintiffs to read the Policy when the renewal documents forwarded did not direct the Plaintiffs to do so and the only reference to the Policy was a change to pages 53 through 55 of the Policy dated August of 2007 which was brought about as a result of the enclosed "STATUTORY CONDITIONS" which were enclosed as part of the renewal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also clear to me that it is unrealistic to expect that a customer will have to read through a 54 page document in order to ascertain information about what a "material change in risk" might entail and what might occur if there was a vacancy. A customer is entitled to rely upon the expertise of an insurance broker to provide that advice without the customer raising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Even if I could find an obligation to have read the Policy in relation to the question of vacancy and the obligation to report material changes, the Policy and the renewal documents provide no assistance as to what a "material change in risk" might entail. The only exception is the "Special Note" which does deal with "material change". However, it is not clear whether the phrase "starting a </w:t>
      </w:r>
      <w:r>
        <w:rPr>
          <w:rFonts w:ascii="arial" w:eastAsia="arial" w:hAnsi="arial" w:cs="arial"/>
          <w:b/>
          <w:color w:val="000000"/>
          <w:sz w:val="20"/>
          <w:lang w:val="en-US" w:eastAsia="en-US" w:bidi="ar-SA"/>
        </w:rPr>
        <w:t>BUSINESS</w:t>
      </w:r>
      <w:r>
        <w:rPr>
          <w:rFonts w:ascii="arial" w:eastAsia="arial" w:hAnsi="arial" w:cs="arial"/>
          <w:color w:val="000000"/>
          <w:sz w:val="20"/>
          <w:lang w:val="en-US" w:eastAsia="en-US" w:bidi="ar-SA"/>
        </w:rPr>
        <w:t xml:space="preserve"> from home &amp; Vacant premises" means that a material change is when a business is started from home or vacant premises or whether vacant premises constitute a material change. To rely on this "Special Note" to set out what may constitute a "material change to the risk", the "For Your Information" form must be expressed clearly and highlighted as was the case in </w:t>
      </w:r>
      <w:r>
        <w:rPr>
          <w:rFonts w:ascii="arial" w:eastAsia="arial" w:hAnsi="arial" w:cs="arial"/>
          <w:i/>
          <w:color w:val="000000"/>
          <w:sz w:val="20"/>
          <w:lang w:val="en-US" w:eastAsia="en-US" w:bidi="ar-SA"/>
        </w:rPr>
        <w:t>Meadow-North Agencies Ltd., supra</w:t>
      </w:r>
      <w:r>
        <w:rPr>
          <w:rFonts w:ascii="arial" w:eastAsia="arial" w:hAnsi="arial" w:cs="arial"/>
          <w:color w:val="000000"/>
          <w:sz w:val="20"/>
          <w:lang w:val="en-US" w:eastAsia="en-US" w:bidi="ar-SA"/>
        </w:rPr>
        <w:t xml:space="preserve">. Even with such a phrase as was contained in the </w:t>
      </w:r>
      <w:r>
        <w:rPr>
          <w:rFonts w:ascii="arial" w:eastAsia="arial" w:hAnsi="arial" w:cs="arial"/>
          <w:i/>
          <w:color w:val="000000"/>
          <w:sz w:val="20"/>
          <w:lang w:val="en-US" w:eastAsia="en-US" w:bidi="ar-SA"/>
        </w:rPr>
        <w:t>Meadow-North Agencies Ltd</w:t>
      </w:r>
      <w:r>
        <w:rPr>
          <w:rFonts w:ascii="arial" w:eastAsia="arial" w:hAnsi="arial" w:cs="arial"/>
          <w:color w:val="000000"/>
          <w:sz w:val="20"/>
          <w:lang w:val="en-US" w:eastAsia="en-US" w:bidi="ar-SA"/>
        </w:rPr>
        <w:t>. renewal package, liability against the broker was still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circumstances of this case, I find that nothing flows from an alleged failure of the Plaintiffs to read the Policy or to read the renewal materials that were forwarded and headed "Your Personal Insurance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Conclusion regarding whether the Defendant fulfilled the duty of care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After the fire on June 3, 2013, renewal letters to the Plaintiffs on other of their properties insured through the Defendant contained the following in bold letters: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vacancy of the home must be reported to us. As among other restrictions of coverage when a dwelling is vacant, the following perils and any resulting losses are excluded: theft, vandalism, malicious acts, glass breakage, water damage and sewer backup. Please consult the policy wordings for the complete list of 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subsequent years, this was amended slightly to read: "Please note vacancy and/or renovation to the home ..." This advice was provided in November 2013, November 25, 2015, March 10, 2017, and two October 6, 2017 renewal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 (Guardian ad litem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The Corporation of the District of Maple Ridge</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71 B.C.L.R. (2d) 68</w:t>
        </w:r>
      </w:hyperlink>
      <w:r>
        <w:rPr>
          <w:rFonts w:ascii="arial" w:eastAsia="arial" w:hAnsi="arial" w:cs="arial"/>
          <w:color w:val="000000"/>
          <w:sz w:val="20"/>
          <w:lang w:val="en-US" w:eastAsia="en-US" w:bidi="ar-SA"/>
        </w:rPr>
        <w:t xml:space="preserve"> (C.A.), the Court heard an appeal following the dismissal of a claim by a jury for damages arising out of a motor vehicle accident. At issue at Trial was whether a stop sign was properly positioned in order to be visible. Following the accident, the District had moved the sign and the trial judge had refused to admit evidence of the post-loss decision of the District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Court concluded that it was an error to exclude this evidence. While the act itself cannot be taken as an admission of liability, the evidence was relevant to whether the pre-loss state of the stop sign was negligent or not. On behalf of the Court, Justice Wood stated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noted, the evidence at issue in this case ... was relevant to the question whether the pre-accident location of the stop sign made it difficult to see. The exclusionary rule described in Wigmore [on Evidence (Chadbourn Revision 1979)] does not purport to limit its admissibility for that purpose, so long as the jury are instructed that standing by itself the evidence can not be taken as an admission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That approach was adopted in </w:t>
      </w:r>
      <w:r>
        <w:rPr>
          <w:rFonts w:ascii="arial" w:eastAsia="arial" w:hAnsi="arial" w:cs="arial"/>
          <w:i/>
          <w:color w:val="000000"/>
          <w:sz w:val="20"/>
          <w:lang w:val="en-US" w:eastAsia="en-US" w:bidi="ar-SA"/>
        </w:rPr>
        <w:t>Sandhu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Wellington Place Apartments</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2008 ONCA 215</w:t>
        </w:r>
      </w:hyperlink>
      <w:r>
        <w:rPr>
          <w:rFonts w:ascii="arial" w:eastAsia="arial" w:hAnsi="arial" w:cs="arial"/>
          <w:color w:val="000000"/>
          <w:sz w:val="20"/>
          <w:lang w:val="en-US" w:eastAsia="en-US" w:bidi="ar-SA"/>
        </w:rPr>
        <w:t xml:space="preserve">. The trial judge admitted evidence regarding remedial measures taken by the apartment building after the fall of a 2-year old. After citing </w:t>
      </w:r>
      <w:r>
        <w:rPr>
          <w:rFonts w:ascii="arial" w:eastAsia="arial" w:hAnsi="arial" w:cs="arial"/>
          <w:i/>
          <w:color w:val="000000"/>
          <w:sz w:val="20"/>
          <w:lang w:val="en-US" w:eastAsia="en-US" w:bidi="ar-SA"/>
        </w:rPr>
        <w:t>Anderson, supra</w:t>
      </w:r>
      <w:r>
        <w:rPr>
          <w:rFonts w:ascii="arial" w:eastAsia="arial" w:hAnsi="arial" w:cs="arial"/>
          <w:color w:val="000000"/>
          <w:sz w:val="20"/>
          <w:lang w:val="en-US" w:eastAsia="en-US" w:bidi="ar-SA"/>
        </w:rPr>
        <w:t>, with approval, the Court made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view, the trial judge did not err in admitting the evidence of subsequent remedial measures in this case and she properly directed the jury as to the use that could be made of it... . In considering the probative value of this evidence, the trial judge held that while the evidence could not be used as an admission of liability, it was relevant to the issue of the nature of steps that JT could have been taken to reduce the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changes made by the Defendant to subsequent renewal letters would have cost them nothing. I am satisfied that the post-loss changes to the form of renewal letters of the Defendants are relevant to the issue of the nature of steps that should have been taken by the Defendant but were not. The notice in the subsequent renewal letters was a step which should have been taken by a reasonable and prudent insurance broker in order to draw attention to the cessation of coverage on vacancy so that the clients would have been in a position to seek advice as to the steps it could be taken to avoid the loss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By September 7, 2012, Ms. Yuen of the Defendant had specific knowledge that the Property was rental property. At that time, a reasonable and prudent insurance broker would advise a customer about what additional coverage should be placed in order to protect coverage during a vacancy caused either by an absence of tenants or during renovations. While the reasonable and prudent insurance broker would draw the attention of any customer the effect of vacancy, that duty owed was much more important when rental property was being insured to the knowledge of the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An insurance agent should communicate relevant information directly to the client. To the extent an agent relies on a standardized renewal package, it is incumbent on the agent to ensure that the materials cast important information in the clearest of terms. This would have included spelling out the impact of vacancy on coverage because that is a common concern and one that can void all coverage, particularly with rented dwellings. Where it was known that the dwelling being insured was a rental dwelling, it was particularly important to highlight the impact of vacancy on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Even if there had been a specific "warning" of what would happen with coverage if the Property was unoccupied or vacant as was present in the policy in </w:t>
      </w:r>
      <w:r>
        <w:rPr>
          <w:rFonts w:ascii="arial" w:eastAsia="arial" w:hAnsi="arial" w:cs="arial"/>
          <w:i/>
          <w:color w:val="000000"/>
          <w:sz w:val="20"/>
          <w:lang w:val="en-US" w:eastAsia="en-US" w:bidi="ar-SA"/>
        </w:rPr>
        <w:t>Meadow-North Agencies Ltd., supra</w:t>
      </w:r>
      <w:r>
        <w:rPr>
          <w:rFonts w:ascii="arial" w:eastAsia="arial" w:hAnsi="arial" w:cs="arial"/>
          <w:color w:val="000000"/>
          <w:sz w:val="20"/>
          <w:lang w:val="en-US" w:eastAsia="en-US" w:bidi="ar-SA"/>
        </w:rPr>
        <w:t>, there was still on obligation on the Defendant to provide advice to the Plaintiffs. Even assuming that such advice regarding vacancy was given when the Policy was first put in place, there was an ongoing obligation on the Defendant to provide advice to the Plaintiffs regarding how and at what cost coverage could be obtained to cover a vacancy. The Defendant failed to meet its obligation in that regard even assuming that they provided such information initially. Even if I could be satisfied that any duty of care imposed upon the Defendant was fulfilled when the coverage was first written was too far in the past to be relied upon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As was the case in that </w:t>
      </w:r>
      <w:r>
        <w:rPr>
          <w:rFonts w:ascii="arial" w:eastAsia="arial" w:hAnsi="arial" w:cs="arial"/>
          <w:i/>
          <w:color w:val="000000"/>
          <w:sz w:val="20"/>
          <w:lang w:val="en-US" w:eastAsia="en-US" w:bidi="ar-SA"/>
        </w:rPr>
        <w:t>Bronfman, supra</w:t>
      </w:r>
      <w:r>
        <w:rPr>
          <w:rFonts w:ascii="arial" w:eastAsia="arial" w:hAnsi="arial" w:cs="arial"/>
          <w:color w:val="000000"/>
          <w:sz w:val="20"/>
          <w:lang w:val="en-US" w:eastAsia="en-US" w:bidi="ar-SA"/>
        </w:rPr>
        <w:t>, it was an ongoing duty on the Defendant to investigate and point out any coverage gaps to ensure that the Plaintiffs were aware of them and were provided with appropriate recommendations to remedy any gaps.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What was provided in the renewal documents was unclear at best and misleading at worse. The "Policy" was not enclosed and the renewal documents that were enclosed were not expressed in the clearest of possible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Augustini stated that the "For Your Information" sheets were to assist a client in understanding scenarios that pose a threat to coverage and that an agency such as the Defendant would want these to be as clear as possible. She agreed that, "in a perfect world", the For Your Information form would flag that an insured should notify of a vacancy and of any material changes and would provide an explanation of what the term "Material Change" meant. The For Your Information form used by the Defendants did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Augustin agreed that this would not be a difficult documents to create. However, Ms. Augustini did state that the factor stopping sending out sheets tailored to only rental dwelling policy holders would be that the packages were put together by administrative staff who would not have the experience about individual policies and that this could lead to the wrong letters going out. I am satisfied that her opinion on tailoring information sheets is inapplicable here in determining the duty owed by the Defendant. First, the evidence from Ms. Yuen is that she would put together the renewal packages herself and was not done by an administrative team. Second, even if it was to be done by an administrative team, the first line of the renewal letters could set out: "We are pleased to enclose the renewal of your Rented Dwelling insurance policy..." so that it is unlikely that it would be unworkable to match information sheets to the policy type. In this regard, the Renewal Letter used by the Defendant stated that it was for "Rented Dwelling Insurance" so there is no reason to believe that the Defendant was not capable of sending out a specific form to those customers who were either renting to occupy or who were renting their own property to tenants. It is perhaps indicative of the failure of the Defendant to meet the duty of care owed to its clients and, in particular, to the Plaintiffs that the "For Your Information" form was not filled out as to what "form" of policy was held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"For Your Information" form does not set out what "Special Limits of Insurance" may apply to the various categories set out. At the same time, there is no clarification about whether an "Additional Premium" will be available and, if so, the amount of such a premium relating to "Rented Dwellings/Condos" or whether this additional premium relates to dwellings which are owned by the insured but rented or whether it refers to an insured occupying "Rented Dwellings/ Condos". While there is a reference to "Optional Coverages" relating to "Building By-laws", there is no specific listing of optional coverages which might be available to cover the "vacancy exclusion provision"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Regarding the "Special Notes" dealing with where a home used "in whole or in part for </w:t>
      </w:r>
      <w:r>
        <w:rPr>
          <w:rFonts w:ascii="arial" w:eastAsia="arial" w:hAnsi="arial" w:cs="arial"/>
          <w:b/>
          <w:color w:val="000000"/>
          <w:sz w:val="20"/>
          <w:lang w:val="en-US" w:eastAsia="en-US" w:bidi="ar-SA"/>
        </w:rPr>
        <w:t>BUSINESS</w:t>
      </w:r>
      <w:r>
        <w:rPr>
          <w:rFonts w:ascii="arial" w:eastAsia="arial" w:hAnsi="arial" w:cs="arial"/>
          <w:color w:val="000000"/>
          <w:sz w:val="20"/>
          <w:lang w:val="en-US" w:eastAsia="en-US" w:bidi="ar-SA"/>
        </w:rPr>
        <w:t>, pursuits, either on full or part-time basis" and that coverage not being "covered unless specifically declared", it is not clear whether renting out of a property would be covered only if the rental of a property was "specifically declared".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find that the Plaintiffs have shown on a balance of probabilities that the Defendant was negligent in the provision of insurance brokerage services it provided at the time of the 2012 renewal of the Policy. I am satisfied that the Defendant did fail to conduct an adequate fact finding and assessment of the insurance needs of the Plaintiffs. Knowing that the Property was rented, Ms. Yuen failed to draw to the attention of Mr. Alvaro, the potential gaps in coverage if the Property became vacant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also find that Mr. Alvaro would have contacted the Defendant when he received the September 12, 2012 renewal letter if that renewal letter had highlighted the impact of vacancy on coverage. Mr. Alvaro phoned Ms. Yuen the same day to ask questions about what was highlighted in that letter: "by-law coverage". I have no hesitation in concluding that, had the far more important issue of the effect of vacancy been flagged, Mr. Alvaro would have received that information and sought clarification and vacancy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Defendant submit that there are "clear and compelling grounds"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primary position of the Defendant is that the Plaintiffs are 100% at fault for any damage or loss suffered as a result of their failure to read their insurance documents, provide accurate information about the Property on an ongoing basis, ask questions if there were any portions of the Policy they did not understand, and advise of material changes in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cannot make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cannot conclude that any failure of the Plaintiffs to read the Policy or the renewal documents forwarded which were headed as being "</w:t>
      </w:r>
      <w:r>
        <w:rPr>
          <w:rFonts w:ascii="arial" w:eastAsia="arial" w:hAnsi="arial" w:cs="arial"/>
          <w:b/>
          <w:color w:val="000000"/>
          <w:sz w:val="20"/>
          <w:lang w:val="en-US" w:eastAsia="en-US" w:bidi="ar-SA"/>
        </w:rPr>
        <w:t>YOUR PERSONAL INSURANCE POLICY</w:t>
      </w:r>
      <w:r>
        <w:rPr>
          <w:rFonts w:ascii="arial" w:eastAsia="arial" w:hAnsi="arial" w:cs="arial"/>
          <w:color w:val="000000"/>
          <w:sz w:val="20"/>
          <w:lang w:val="en-US" w:eastAsia="en-US" w:bidi="ar-SA"/>
        </w:rPr>
        <w:t xml:space="preserve">" resulted in any of the damages incurred by the Plaintiffs being attributable to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Plaintiffs had reviewed all documents including the Policy, they would not have been in a position to conclude what might have been a material change and would not have been in a position to fully understand the effect of vacancy on their coverage. Even so, the damages of the Plaintiffs flow from the failure to advise what steps might have been taken to arrange for coverage of that which was not covered by the Policy and not by a failure to read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THERE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Loss occurred on June 3, 2013. The Plaintiffs did not list the Property for sale until March 20, 2015. The listing price was eventually dropped from $359,000 to $339,000 and the Property ultimately sold for $300,000 in September of 2015. Following the sale, the Plaintiffs took no steps to replace the proceeds by purchasing another property. The evidence of Mr. Gagliardi was that the Plaintiffs never considered purchasing a replacement investment property.</w:t>
      </w:r>
      <w:r>
        <w:rPr>
          <w:rFonts w:ascii="arial" w:eastAsia="arial" w:hAnsi="arial" w:cs="arial"/>
          <w:sz w:val="20"/>
          <w:lang w:val="en-US" w:eastAsia="en-US" w:bidi="ar-SA"/>
        </w:rPr>
        <w:cr/>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submits that Mr. Gagliardi, as a real estate agent, would have been aware that there was a "booming" market and that a replacement investment property would have been a profitable venture. The evidence of Mr. Alvaro and Mr. Gagliardi was that they had no interest in continuing to be landlords of a rental property as both had grown tired of this role as they neared retirement. Mr. Gagliardi also asserted that they could not have purchased any property for the amount that the Plaintiffs eventually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However, the Defendant points out that Mr. Gagliardi testified that the original listing price of $359,000 was determined by the listing prices for similar properties with older homes on them. The Defendant submits that the Plaintiffs could have purchased a home on a similar property for a modest investment above the amount they ultimately received from the sale of the Property and that it would not have required a significant "cash outlay" as they Plaintiffs now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cross-examination at Trial, Mr. Alvaro was asked to confirm that no steps were taken to market the Property in 2013 and 2014 and he confirmed that was the case because in "... we didn't wanted to sell it so we wouldn't have the evidence to be able to prove if - because we were going to go to court ...". He confirmed that no steps were taken until the March 20, 2015 Listing Agreement. He also confirmed that they did not consider buying another rental property when they received the money from the sale of the Property. Mr. Alvaro confirmed that the money received from the sale was put into GICs "and things of that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 submits that "Inaction" is a particularly apt description of the decisions with respect to the Property and its eventual sale and that the inaction and failure to replace the Property amounts to a breach of the obligation of the Plaintiffs to mitigate the damages they claim.</w:t>
      </w:r>
      <w:r>
        <w:rPr>
          <w:rFonts w:ascii="arial" w:eastAsia="arial" w:hAnsi="arial" w:cs="arial"/>
          <w:sz w:val="20"/>
          <w:lang w:val="en-US" w:eastAsia="en-US" w:bidi="ar-SA"/>
        </w:rPr>
        <w:cr/>
      </w:r>
    </w:p>
    <w:p>
      <w:pPr>
        <w:numPr>
          <w:numId w:val="5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evidence of Mr. Alvaro was that the Plaintiffs wanted to have evidence that the Property was a "total write off" and so they chose to do nothing with it "until proper authorities assessed it". Mr. Gagliardi stated that the Plaintiffs waited until 2015 because they "didn't want to destroy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Plaintiffs state that Wawanesa was still considering their claim up to the January 14, 2014 denial letter, that the Notice of Civil Claim was filed in June 2014, that the Response to Civil Claim was filed in September 2014, and that a site visit with the engineer of the Defendant occurred on January 20, 2015. The Property was then listed pursuant to a March 19, 2015 multiple listing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submit that, they did not act unreasonably as they waited to try to get coverage and then to allow for the parties to conduct inspections before selling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British Columbia v. Canadian Forest Products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2004 SCC 38</w:t>
        </w:r>
      </w:hyperlink>
      <w:r>
        <w:rPr>
          <w:rFonts w:ascii="arial" w:eastAsia="arial" w:hAnsi="arial" w:cs="arial"/>
          <w:color w:val="000000"/>
          <w:sz w:val="20"/>
          <w:lang w:val="en-US" w:eastAsia="en-US" w:bidi="ar-SA"/>
        </w:rPr>
        <w:t xml:space="preserve"> established that there are two principles underlying the requirement to mitigate: (i) the plaintiff should not recover for a loss that he could reasonably have avoided; and (ii) the defendant should not be forced to pay the plaintiff where the plaintiff has been wasteful after the fact of the wrongdoing. The Court held that "Losses that could reasonably have been avoided are, in effect, caused by the plaintiff's inaction, rather than the defendant's wrong" (at para.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am satisfied that the question of whether there was a failure to mitigate flows from the difference between the parties regarding how to quantify the loss of the Plaintiffs. In view of my conclusion regarding the damages available to the Plaintiffs, I have concluded that it is not necessary to deal with any alleged failure to mitigate damages. In any event, I find that there was no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QUANTUM OF THE LOSS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parties fundamentally disagree about how to quantify the loss alleged by the Plaintiffs. The Plaintiffs submit that the fundamental principle of compensation, </w:t>
      </w:r>
      <w:r>
        <w:rPr>
          <w:rFonts w:ascii="arial" w:eastAsia="arial" w:hAnsi="arial" w:cs="arial"/>
          <w:i/>
          <w:color w:val="000000"/>
          <w:sz w:val="20"/>
          <w:lang w:val="en-US" w:eastAsia="en-US" w:bidi="ar-SA"/>
        </w:rPr>
        <w:t>restitution in integrum</w:t>
      </w:r>
      <w:r>
        <w:rPr>
          <w:rFonts w:ascii="arial" w:eastAsia="arial" w:hAnsi="arial" w:cs="arial"/>
          <w:color w:val="000000"/>
          <w:sz w:val="20"/>
          <w:lang w:val="en-US" w:eastAsia="en-US" w:bidi="ar-SA"/>
        </w:rPr>
        <w:t>, establishes that the Court must consider the sum required to restore the Plaintiffs to their pre-tort position and that this calculation should be done at the time of Trial. The Defendant submits that the damages of the Plaintiffs cannot exceed the limits of the Policy plus a small amount to reflect lost rental income for a reasonable period of time following the fire.</w:t>
      </w:r>
      <w:r>
        <w:rPr>
          <w:rFonts w:ascii="arial" w:eastAsia="arial" w:hAnsi="arial" w:cs="arial"/>
          <w:sz w:val="20"/>
          <w:lang w:val="en-US" w:eastAsia="en-US" w:bidi="ar-SA"/>
        </w:rPr>
        <w:cr/>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Plaintiffs rely on the decision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Grand &amp; Toy Alberta Ltd.</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to consider the proper measure of damages. On behalf of the Court, Justice Dickson considered the comments in </w:t>
      </w:r>
      <w:r>
        <w:rPr>
          <w:rFonts w:ascii="arial" w:eastAsia="arial" w:hAnsi="arial" w:cs="arial"/>
          <w:i/>
          <w:color w:val="000000"/>
          <w:sz w:val="20"/>
          <w:lang w:val="en-US" w:eastAsia="en-US" w:bidi="ar-SA"/>
        </w:rPr>
        <w:t>Admiralty Commissioners v. S.S. Susquehanna</w:t>
      </w:r>
      <w:r>
        <w:rPr>
          <w:rFonts w:ascii="arial" w:eastAsia="arial" w:hAnsi="arial" w:cs="arial"/>
          <w:color w:val="000000"/>
          <w:sz w:val="20"/>
          <w:lang w:val="en-US" w:eastAsia="en-US" w:bidi="ar-SA"/>
        </w:rPr>
        <w:t xml:space="preserve">, [1926] A.C. 655 where Viscount Dunedin made this statement: "... the common law says that the damages due either for breach of contract or for tort are damages which, so far as money can compensate, will give the injured party reparation for the wrongful act.": at p. 661. Justice Dickson went on to cite with approval the statement of Lord Blackburn in </w:t>
      </w:r>
      <w:r>
        <w:rPr>
          <w:rFonts w:ascii="arial" w:eastAsia="arial" w:hAnsi="arial" w:cs="arial"/>
          <w:i/>
          <w:color w:val="000000"/>
          <w:sz w:val="20"/>
          <w:lang w:val="en-US" w:eastAsia="en-US" w:bidi="ar-SA"/>
        </w:rPr>
        <w:t>Livingstone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Rawyards Coal Company</w:t>
      </w:r>
      <w:r>
        <w:rPr>
          <w:rFonts w:ascii="arial" w:eastAsia="arial" w:hAnsi="arial" w:cs="arial"/>
          <w:color w:val="000000"/>
          <w:sz w:val="20"/>
          <w:lang w:val="en-US" w:eastAsia="en-US" w:bidi="ar-SA"/>
        </w:rPr>
        <w:t xml:space="preserve"> (1880), 5 App. Cas. 25,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there is any difference of opinion as to its being a general rule that, where any injury is to be compensated by damages, in settling the sum of money to be given for reparation of damages you should as nearly as possible get at that sum of money which will put the party who has been injured, or who has suffered, in the same position as he would have been in if he had not sustained the wrong for which he is now getting his compensation or reparation.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Plaintiffs rely on the decisions in </w:t>
      </w:r>
      <w:r>
        <w:rPr>
          <w:rFonts w:ascii="arial" w:eastAsia="arial" w:hAnsi="arial" w:cs="arial"/>
          <w:i/>
          <w:color w:val="000000"/>
          <w:sz w:val="20"/>
          <w:lang w:val="en-US" w:eastAsia="en-US" w:bidi="ar-SA"/>
        </w:rPr>
        <w:t>369413 Alberta Ltd. v. Pocklington</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2000 ABCA 307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Lalani v. Wenn Estate</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2011 BCCA 499</w:t>
        </w:r>
      </w:hyperlink>
      <w:r>
        <w:rPr>
          <w:rFonts w:ascii="arial" w:eastAsia="arial" w:hAnsi="arial" w:cs="arial"/>
          <w:color w:val="000000"/>
          <w:sz w:val="20"/>
          <w:lang w:val="en-US" w:eastAsia="en-US" w:bidi="ar-SA"/>
        </w:rPr>
        <w:t xml:space="preserve"> on the question of the proper date for quantification of damages. In considering how to quantify loses, Justice Fruman, on behalf of the Court in </w:t>
      </w:r>
      <w:r>
        <w:rPr>
          <w:rFonts w:ascii="arial" w:eastAsia="arial" w:hAnsi="arial" w:cs="arial"/>
          <w:i/>
          <w:color w:val="000000"/>
          <w:sz w:val="20"/>
          <w:lang w:val="en-US" w:eastAsia="en-US" w:bidi="ar-SA"/>
        </w:rPr>
        <w:t>Pocklington</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this broad latitude, it is not surprising that the date for establishing damages remains flexible. While a court may choose to assess damages that existed on the date of the breach, it instead may elect to compensate the plaintiff for losses that occurred in the years following the breach: </w:t>
      </w:r>
      <w:r>
        <w:rPr>
          <w:rFonts w:ascii="arial" w:eastAsia="arial" w:hAnsi="arial" w:cs="arial"/>
          <w:i/>
          <w:color w:val="000000"/>
          <w:sz w:val="20"/>
          <w:lang w:val="en-US" w:eastAsia="en-US" w:bidi="ar-SA"/>
        </w:rPr>
        <w:t>Unilux Manufacturing Co. v. Prime Boilers Inc</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(1990), 74 O.R. (2d) 270</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and Clarke v. Rossburger</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(1999), 50 B.L.R. (2d) 73</w:t>
        </w:r>
      </w:hyperlink>
      <w:r>
        <w:rPr>
          <w:rFonts w:ascii="arial" w:eastAsia="arial" w:hAnsi="arial" w:cs="arial"/>
          <w:color w:val="000000"/>
          <w:sz w:val="20"/>
          <w:lang w:val="en-US" w:eastAsia="en-US" w:bidi="ar-SA"/>
        </w:rPr>
        <w:t xml:space="preserve"> (Alta. Q.B.).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Lalani, supra</w:t>
      </w:r>
      <w:r>
        <w:rPr>
          <w:rFonts w:ascii="arial" w:eastAsia="arial" w:hAnsi="arial" w:cs="arial"/>
          <w:color w:val="000000"/>
          <w:sz w:val="20"/>
          <w:lang w:val="en-US" w:eastAsia="en-US" w:bidi="ar-SA"/>
        </w:rPr>
        <w:t>, Mr. and Mrs. Lalani, entered a contract to purchase a property for $570,000. Prior to closing, the sons of the deceased owner asserted a binding contract to purchase the property thus prevented the sale to the Lalanis from proceeding. At the time of trial, the property was valued at $810,000. Three months after the original completion date was fixed by the trial judge as the calculation date for damages. The trial judge then looked at the difference between the contract price ($570,000) and value at the time of trial ($810,000), and applied a pro rata approach to determine that the increase over the three months: $40,000. On appeal, the Court held that the Lalanis were entitled to $240,000, being the difference between the contract price and the value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Plaintiffs place particular emphasis on the analysis in </w:t>
      </w:r>
      <w:r>
        <w:rPr>
          <w:rFonts w:ascii="arial" w:eastAsia="arial" w:hAnsi="arial" w:cs="arial"/>
          <w:i/>
          <w:color w:val="000000"/>
          <w:sz w:val="20"/>
          <w:lang w:val="en-US" w:eastAsia="en-US" w:bidi="ar-SA"/>
        </w:rPr>
        <w:t>Lalani</w:t>
      </w:r>
      <w:r>
        <w:rPr>
          <w:rFonts w:ascii="arial" w:eastAsia="arial" w:hAnsi="arial" w:cs="arial"/>
          <w:color w:val="000000"/>
          <w:sz w:val="20"/>
          <w:lang w:val="en-US" w:eastAsia="en-US" w:bidi="ar-SA"/>
        </w:rPr>
        <w:t>, supra. The plaintiffs in that matter lost out on a property because of a breach by the defendant and, by the time of trial, the property was worth significantly more so that the trial judge had erred in assessing damages based only on the initial three months. The Plaintiffs submit that it is implicit in the decision that there is nothing unjust in a plaintiff gaining the benefit of a rising market that they missed out on because of the wrongful act of the defendant. Indeed, it would be unjust to deprive the innocent plaintiff of that gain because that is precisely what has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Plaintiffs submit that the evidence is that it would have cost $267,760 to replace the house on the Property. The Plaintiffs submit that the authorities provide support for assessing damages at the date of trial in a case such as this as this is not a case where the Plaintiffs could have simply turned around and, for example, bought the goods at issue from another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Plaintiffs submit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June 3, 2013 fire would have been a covered loss: (a) the home would have been re-built at the expense of Wawanesa; (b) they had coverage under the Additional Living Expense/Fair Rental Value Coverage form which would have paid them lost rent for the duration of the re-build; (c) it is reasonable to assume that the re-build would have occurred within one year so that, by mid-2014, they would have had a brand new house of like kind and quality on their lot; (d) they would have been able to attract a better quality tenant at a higher rent in a brand new home and would have continued to rent it out, as had initially been the plan prior to the fire; and (e) They would then own a 9,000 square foot lot with a 4.5 year-old rancher on it with a value of $810,000.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submits that their total loss is $624,721.50 made up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Fair Rental Coverage ($1,400 x 12) $16,800 Lost rent since replacement ($1,700 x 54) $91,800 Replacement cost of property $810,000 Less proceeds from sale </w:t>
      </w:r>
      <w:r>
        <w:rPr>
          <w:rFonts w:ascii="arial" w:eastAsia="arial" w:hAnsi="arial" w:cs="arial"/>
          <w:color w:val="000000"/>
          <w:sz w:val="20"/>
          <w:u w:val="single"/>
          <w:lang w:val="en-US" w:eastAsia="en-US" w:bidi="ar-SA"/>
        </w:rPr>
        <w:t>$-293.878.50</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 loss</w:t>
      </w:r>
      <w:r>
        <w:rPr>
          <w:rFonts w:ascii="arial" w:eastAsia="arial" w:hAnsi="arial" w:cs="arial"/>
          <w:color w:val="000000"/>
          <w:sz w:val="20"/>
          <w:lang w:val="en-US" w:eastAsia="en-US" w:bidi="ar-SA"/>
        </w:rPr>
        <w:t xml:space="preserve"> $624.721.50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To account for carrying costs that would have been incurred (primarily property tax and repairs), the Plaintiffs submit that $600,000 is a fair assessment of their loss.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Defendant submits that the central governing principle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that damages are intended to compensate the reasonably foreseeable consequences of the tort. Because the measure of damages is determined on the basis of reasonably foreseeable harm, the Defendant submits that it is necessary to identify the tort and the resulting consequences of that tort precisely.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Defendant submits that, as the claim is based on the alleged failure to bring the vacancy provision to the attention of the Plaintiffs or to otherwise meet the standard of care of the reasonably prudent insurance broker, the reasonably foreseeable harm potentially arising from this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absence of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Beck Estate v. Johnston, Meier Insurance Agencies Ltd.</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2010 BCSC 719</w:t>
        </w:r>
      </w:hyperlink>
      <w:r>
        <w:rPr>
          <w:rFonts w:ascii="arial" w:eastAsia="arial" w:hAnsi="arial" w:cs="arial"/>
          <w:color w:val="000000"/>
          <w:sz w:val="20"/>
          <w:lang w:val="en-US" w:eastAsia="en-US" w:bidi="ar-SA"/>
        </w:rPr>
        <w:t>, the defendant insurance broker was found liable for failing to advise the plaintiff of a gap in coverage despite having specific knowledge of the changed insurance needs of the plaintiff. Justice Griffin (as she then was) held as follows regarding the question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harm which the [defendant brokerage] should have protected against by satisfying its duty of care was a lack of coverage or gap in coverage resulting in an uninsured loss if and when a specific event... should occur.":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Damages were then assessed on the basis of what insurance the plaintiff would have had in place if she had been properly advised by the defendant. I am bound to follow the decision of Justice Griffin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Defendant submits that this approach to damages was confirmed in </w:t>
      </w:r>
      <w:r>
        <w:rPr>
          <w:rFonts w:ascii="arial" w:eastAsia="arial" w:hAnsi="arial" w:cs="arial"/>
          <w:i/>
          <w:color w:val="000000"/>
          <w:sz w:val="20"/>
          <w:lang w:val="en-US" w:eastAsia="en-US" w:bidi="ar-SA"/>
        </w:rPr>
        <w:t>Deloitte &amp; Touche v. Livent Inc. (Receiver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2017 SCC 63</w:t>
      </w:r>
      <w:r>
        <w:rPr>
          <w:rFonts w:ascii="arial" w:eastAsia="arial" w:hAnsi="arial" w:cs="arial"/>
          <w:color w:val="000000"/>
          <w:sz w:val="20"/>
          <w:lang w:val="en-US" w:eastAsia="en-US" w:bidi="ar-SA"/>
        </w:rPr>
        <w:t>. The Defendant submits that the concepts of proximity and reasonable foreseeability form the test of recoverable damages. With respect to proximity, Justices Gascon and Brown set out the applicable scope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cases of pure economic loss arising from negligent misrepresentation or performance of a service, two factors are determinative in the proximity analysis: the defendant's undertaking and the plaintiff's reliance. Where the defendant undertakes to provide a representation or service in circumstances that invite the plaintiff's reasonable reliance, the defendant becomes obligated to take reasonable care. And, the plaintiff has a right to rely on the defendant's undertaking to do so ... These corollary rights and obligations create a relationship of proximity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Here, proximity is obvious. The Defendant undertook to provide advice regarding coverage and gaps in the coverage and the Plaintiffs relied on advice they were receiving. Their reliance was reasonable. Being aware that the coverage related to a property rented to a tenant, the Defendant did not take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the question of reasonable foreseeability, while commenting that, in the abstract, a defendant's negligent performance of a service "could potentially give rise to innumerable injuries tangentially cascading from the originally contemplated service", Justices Gascon and Brown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in cases of negligent misrepresentation or performance of a service, the proximate relationship -- grounded in the defendant's undertaking and the plaintiff's reliance -- informs the foreseeability inquiry. Meaning, the purpose underlying that undertaking and that corresponding reliance limits the type of injury which could be reasonably foreseen to result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Here, it was reasonably foreseeable that, if the coverage that might be available if there was a vacancy was not explained, that damages would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Although the decision in </w:t>
      </w:r>
      <w:r>
        <w:rPr>
          <w:rFonts w:ascii="arial" w:eastAsia="arial" w:hAnsi="arial" w:cs="arial"/>
          <w:i/>
          <w:color w:val="000000"/>
          <w:sz w:val="20"/>
          <w:lang w:val="en-US" w:eastAsia="en-US" w:bidi="ar-SA"/>
        </w:rPr>
        <w:t>Deloitte, supra</w:t>
      </w:r>
      <w:r>
        <w:rPr>
          <w:rFonts w:ascii="arial" w:eastAsia="arial" w:hAnsi="arial" w:cs="arial"/>
          <w:color w:val="000000"/>
          <w:sz w:val="20"/>
          <w:lang w:val="en-US" w:eastAsia="en-US" w:bidi="ar-SA"/>
        </w:rPr>
        <w:t xml:space="preserve"> dealt with an issue of pure economic loss, the Defendant submits Supreme Court of Canada subsequently applied the same analysis outside of the pure economic loss context in </w:t>
      </w:r>
      <w:r>
        <w:rPr>
          <w:rFonts w:ascii="arial" w:eastAsia="arial" w:hAnsi="arial" w:cs="arial"/>
          <w:i/>
          <w:color w:val="000000"/>
          <w:sz w:val="20"/>
          <w:lang w:val="en-US" w:eastAsia="en-US" w:bidi="ar-SA"/>
        </w:rPr>
        <w:t xml:space="preserve">Rankin (Rankin's Garage &amp; Sales) v. J.J., </w:t>
      </w:r>
      <w:hyperlink r:id="rId246" w:history="1">
        <w:r>
          <w:rPr>
            <w:rFonts w:ascii="arial" w:eastAsia="arial" w:hAnsi="arial" w:cs="arial"/>
            <w:i/>
            <w:color w:val="0077CC"/>
            <w:sz w:val="20"/>
            <w:u w:val="single"/>
            <w:shd w:val="clear" w:color="auto" w:fill="FFFFFF"/>
            <w:lang w:val="en-US" w:eastAsia="en-US" w:bidi="ar-SA"/>
          </w:rPr>
          <w:t>2018 SCC 19</w:t>
        </w:r>
      </w:hyperlink>
      <w:r>
        <w:rPr>
          <w:rFonts w:ascii="arial" w:eastAsia="arial" w:hAnsi="arial" w:cs="arial"/>
          <w:i/>
          <w:color w:val="000000"/>
          <w:sz w:val="20"/>
          <w:lang w:val="en-US" w:eastAsia="en-US" w:bidi="ar-SA"/>
        </w:rPr>
        <w:t>, 422</w:t>
      </w:r>
      <w:r>
        <w:rPr>
          <w:rFonts w:ascii="arial" w:eastAsia="arial" w:hAnsi="arial" w:cs="arial"/>
          <w:color w:val="000000"/>
          <w:sz w:val="20"/>
          <w:lang w:val="en-US" w:eastAsia="en-US" w:bidi="ar-SA"/>
        </w:rPr>
        <w:t xml:space="preserve"> L.R. (4th) 317,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Decision regarding the quantum of the loss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is a proximate and well-defined relationship between the parties as insurance broker and customer. The purpose of the undertaking of the broker and the corresponding reliance on it by the customer is to protect against an uninsured loss. The uninsured loss is what constitutes the reasonably foreseeable injury. I am satisfied liability is limited to this type of injury and to the amounts that the insurance under the Policy would have paid if the coverage under the Policy had remained in effect despite the vacancy.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This approach on damages has been taken by courts in other jurisdictions. The Commercial Court of England and Wales held as follows in </w:t>
      </w:r>
      <w:r>
        <w:rPr>
          <w:rFonts w:ascii="arial" w:eastAsia="arial" w:hAnsi="arial" w:cs="arial"/>
          <w:i/>
          <w:color w:val="000000"/>
          <w:sz w:val="20"/>
          <w:lang w:val="en-US" w:eastAsia="en-US" w:bidi="ar-SA"/>
        </w:rPr>
        <w:t>BP plc v. AON Ltd and another</w:t>
      </w:r>
      <w:r>
        <w:rPr>
          <w:rFonts w:ascii="arial" w:eastAsia="arial" w:hAnsi="arial" w:cs="arial"/>
          <w:color w:val="000000"/>
          <w:sz w:val="20"/>
          <w:lang w:val="en-US" w:eastAsia="en-US" w:bidi="ar-SA"/>
        </w:rPr>
        <w:t xml:space="preserve">, [2006] EWHC 424, which was a decision about the scope of damages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insurance broker: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strong authority for the proposition that the normal measure of damages for breach of an insurance broker's duty to procure insurance for the principal is the amount which the insurance would have paid to the assured but for the broker's breach less the cost of the premium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As well, none of the cases cited resulted in damages above policy limits: (a) in </w:t>
      </w:r>
      <w:r>
        <w:rPr>
          <w:rFonts w:ascii="arial" w:eastAsia="arial" w:hAnsi="arial" w:cs="arial"/>
          <w:i/>
          <w:color w:val="000000"/>
          <w:sz w:val="20"/>
          <w:lang w:val="en-US" w:eastAsia="en-US" w:bidi="ar-SA"/>
        </w:rPr>
        <w:t>Fletcher, supra</w:t>
      </w:r>
      <w:r>
        <w:rPr>
          <w:rFonts w:ascii="arial" w:eastAsia="arial" w:hAnsi="arial" w:cs="arial"/>
          <w:color w:val="000000"/>
          <w:sz w:val="20"/>
          <w:lang w:val="en-US" w:eastAsia="en-US" w:bidi="ar-SA"/>
        </w:rPr>
        <w:t xml:space="preserve">, the Court found that the plaintiff had asked for the maximum available coverage and damages were awarded in accordance with the coverage that would have been in place had this been effected; and (b) in </w:t>
      </w:r>
      <w:r>
        <w:rPr>
          <w:rFonts w:ascii="arial" w:eastAsia="arial" w:hAnsi="arial" w:cs="arial"/>
          <w:i/>
          <w:color w:val="000000"/>
          <w:sz w:val="20"/>
          <w:lang w:val="en-US" w:eastAsia="en-US" w:bidi="ar-SA"/>
        </w:rPr>
        <w:t>Bronfman, supra</w:t>
      </w:r>
      <w:r>
        <w:rPr>
          <w:rFonts w:ascii="arial" w:eastAsia="arial" w:hAnsi="arial" w:cs="arial"/>
          <w:color w:val="000000"/>
          <w:sz w:val="20"/>
          <w:lang w:val="en-US" w:eastAsia="en-US" w:bidi="ar-SA"/>
        </w:rPr>
        <w:t>, the Court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appropriate measure of damages should be calculated with general reference to a determination of the extent of coverage that most likely would have been obtained by the Bronfmans had they been properly advised of its availability. This ultimate figure is the total of the amounts for which items of jewellery would have been listed and scheduled, less the cost of purchasing insurance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Counsel for the Plaintiffs has not cited authority in the context of insurance that damages should be assessed as at the date of trial. I am satisfied that it is well established that, where damages are awarded for a loss in relation to real property, absent unique circumstances, the damages are assessed as of the date of the loss. The obvious reason for the rule is to deter plaintiffs from delaying mitigation measures or litigation in the hopes of profiting at a defendant's expense. The majority of the Court in </w:t>
      </w:r>
      <w:r>
        <w:rPr>
          <w:rFonts w:ascii="arial" w:eastAsia="arial" w:hAnsi="arial" w:cs="arial"/>
          <w:i/>
          <w:color w:val="000000"/>
          <w:sz w:val="20"/>
          <w:lang w:val="en-US" w:eastAsia="en-US" w:bidi="ar-SA"/>
        </w:rPr>
        <w:t>Mavretic v. Bowman</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(1993), 76 B.C.L.R. (2d) 61</w:t>
        </w:r>
      </w:hyperlink>
      <w:r>
        <w:rPr>
          <w:rFonts w:ascii="arial" w:eastAsia="arial" w:hAnsi="arial" w:cs="arial"/>
          <w:color w:val="000000"/>
          <w:sz w:val="20"/>
          <w:lang w:val="en-US" w:eastAsia="en-US" w:bidi="ar-SA"/>
        </w:rPr>
        <w:t xml:space="preserve"> (C.A.), stated that the usual approach is to assess damages as at the date of breach and the fact that property value may be higher at the trial date does not constitute circumstances requiring deviation from that position. The Court specifically noted the problems that assessing damages at the date of trial would cause in a volatile real estate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As well, I am also satisfied that the Plaintiffs cannot and should not be in a position to recover more from the Defendant in tort than it could recover from Wawanesa in contract. The Plaintiffs are entitled to be put in the position they would have been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i.e. the Plaintiffs are entitled to the coverage available under the policy. The Plaintiffs are entitled to the coverage available under the Policy that would have been obtained by the Plaintiffs had they been properly advised of it's availability.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Under the Policy, the Plaintiffs could choose replacement/repair cost coverage if they repaired or replaced with the same size, with the same occupancy, with similar quality materials, and "within a reasonable time after the damage". If this was done, the Policy paid 80% of those costs up to the limits of the Policy ($285,500 for the dwelling and $20,100 for the personal property). Based on the expert evidence provided by the Plaintiff, if they elected to replace the house and contents this cost would have been $267,760 and the Plaintiffs would have been entitled to 80% of $267,760 or $214,208.00 without any reduction for inflation. As the Plaintiffs did not take steps to replace the house after the fire, the Plaintiffs would be entitled under the Policy to the actual cash value at the date of the fire which was estimated to be between $138,902 and $164,280.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Taking into account the actual cash value of the house as well as the value of any personal property, I assess the loss available to the Plaintiffs as being $165,000.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At the time of the loss, the Property was being rented for $1400 per month. In addition to the amounts for the actual cash value of the property post-loss, the Plaintiffs will be entitled to compensation for lost rental income for a period of one year of $16,800 (12 months at $1,400).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I have concluded that the Plaintiffs would have paid the "vacancy surcharge" that would have been available if they had known about it, I am satisfied that I should subtract from the award for damages the sum of $147.50 per month which would have been charged from September 28, 2012 through to the date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 assess the loss to the Plaintiffs occasioned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at $180,472.50 made up of $165,000 plus $1,680 minus nine months at $147.50 (or $1,327.50).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Unless the parties wish to speak to the question of costs, the Plaintiff will be entitled to their costs on a Party and Party (Scale 2) basis. If the parties wish to speak to the question of costs, written submissions in that regard our to be received no later than December 13,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parties are to submit the form of Order flowing from these Reasons for Judgment no later than December 13, 2019. If the parties cannot agree regarding the form of an Order, two drafts as well as written submissions regarding the form of Order are to be received no later than December 13,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Beacock v. Moreno, 2019 BREG para. 51,014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S104495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BREG para. 51,014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[2019] B.C.J. No. 1070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2019 BCSC 955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Robert Grant Beacock, Denise Susan Donelly, Adelaide Megan Beacock, an infant, by her Litigation Guardian Robert Grant Beacock, Fabian Robert Beacock, an infant by his Litigation Guardian Robert Grant Beacock; and Aidan Reidar Beacock, an infant, by his Litigation Guardian Robert Grant Beacock v. Fernando Moreno, Janet Moreno, Leo Sabot and Wheeler Cheam Realty Ltd., Inc. No. BC057114; Leo Sabot and Wheeler Cheam Realty Ltd., Inc. No. BC0571414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commentary at </w:t>
      </w:r>
      <w:hyperlink r:id="rId256" w:history="1">
        <w:r>
          <w:rPr>
            <w:rFonts w:ascii="arial" w:eastAsia="arial" w:hAnsi="arial" w:cs="arial"/>
            <w:i/>
            <w:color w:val="0077CC"/>
            <w:sz w:val="20"/>
            <w:u w:val="single"/>
            <w:shd w:val="clear" w:color="auto" w:fill="FFFFFF"/>
            <w:lang w:val="en-US" w:eastAsia="en-US" w:bidi="ar-SA"/>
          </w:rPr>
          <w:t>BREG para. 3528</w:t>
        </w:r>
      </w:hyperlink>
      <w:r>
        <w:rPr>
          <w:rFonts w:ascii="arial" w:eastAsia="arial" w:hAnsi="arial" w:cs="arial"/>
          <w:color w:val="000000"/>
          <w:sz w:val="20"/>
          <w:lang w:val="en-US" w:eastAsia="en-US" w:bidi="ar-SA"/>
        </w:rPr>
        <w:t xml:space="preserve"> and para. 3540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1"/>
      <w:bookmarkEnd w:id="112"/>
      <w:r>
        <w:rPr>
          <w:rFonts w:ascii="arial" w:eastAsia="arial" w:hAnsi="arial" w:cs="arial"/>
          <w:b/>
          <w:color w:val="000000"/>
          <w:sz w:val="20"/>
          <w:lang w:val="en-US" w:eastAsia="en-US" w:bidi="ar-SA"/>
        </w:rPr>
        <w:t xml:space="preserve">Purchase/Sale agreements — Marijuana grow operation — Latent defects — Fraudulent misrepresentation — Negligent misrepresentation — Vendor's duty to disclose — Professional duties and liabilities — Realtor's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purchaser and defendant vendors entered into contract of purchase and sale in August 2005 — In Property Disclosure Statement ("PDS"), vendors indicated property had no moisture issues and was not used as marijuana grow operation — When vendors purchased property, PDS had stated property was used for marijuana grow operation — Inspection report revealed there was potential issue regarding hydroponic activity — Purchaser claimed that defendant realtor assured him there was no marijuana grow operation and he entered into contract as result — After taking possession, purchaser learned property had been used as marijuana grow operation and discovered mould and water ingress issues — Purchaser brought action against realtor alleging fraudulent and negligent misrepresentation,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and against vendors alleging breach of contract and fraudulent misrepresentation - - Action allowed in part — Court found realtor had no knowledge that property had been used as marijuana grow operation — Purchaser did not establish realtor had any special skill in detecting marijuana grow operations or that he failed to meet standard of care — As realtor made no untrue, inaccurate, or misleading representations to purchaser, claim in negligent or fraudulent misrepresentation failed — As claim in contract mirrored that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it failed for same reasons — There was insufficient evidence to establish that moisture problem rendered property dangerous or unfit for habitation — Vendors did not have common law obligation to disclose existing or potential moisture problem to purchaser — Purchaser was put on notice about possibility that property had been used as grow operation by his inspector — Vendors did not have duty to disclose that property had been marijuana grow operation, as this was clearly detectable through reasonable inquiries by purchaser — In making false statement in PDS respecting prior use of property as marijuana grow operation, vendors made false misrepresentation — Purchaser failed to adduce evidence on difference between purchase price and true fair market value of property at date of purchase — Court awarded nominal award of $1,000, recognizing that purchaser's rights were breached.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9"/>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purchaser and defendant vendors entered into a contract of purchase and sale (the "Contract") in August 2005. The defendant realtor acted as a dual agent. The purchaser had viewed the property with the realtor and did not observe anything about the condition of the house that raised concerns. The original Property Disclosure Statement ("PDS") that the vendors had received when they purchased the property in 2004 indicated that the property had been used as a marijuana grow operation. The vendors filled out a new PDS answering "no" to the questions of whether there were any moisture problems in the home and whether they were aware if the home had been used as a marijuana grow operation. The realtor claimed he had not observed anything about the property that called into question the accuracy of the PDS. The inspection report indicated that there was a suspicious vent that could indicate that the property was used as a marijuana grow operation and that there was an issue regarding potential hydroponic activity. The purchaser claimed that the realtor assured him there was no marijuana grow operation and he proceeded to remove the conditions in the Contract.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taking possession, the purchaser was told by a neighbour that the property had been used as a marijuana grow operation. He subsequently discovered mould and water ingress at the property. The purchaser incurred costs for the remediation of the property. He brought an action against the realtor alleging fraudulent and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and against the vendors alleging breach of contract and fraudulent misrepresentation. </w:t>
            </w:r>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Held:</w:t>
            </w:r>
            <w:r>
              <w:rPr>
                <w:rFonts w:ascii="arial" w:eastAsia="arial" w:hAnsi="arial" w:cs="arial"/>
                <w:color w:val="000000"/>
                <w:sz w:val="20"/>
                <w:lang w:val="en-US" w:eastAsia="en-US" w:bidi="ar-SA"/>
              </w:rPr>
              <w:t xml:space="preserve"> The action was allowed in part.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the realtor had no knowledge that the property had been used as a marijuana grow operation. The purchaser did not establish that the realtor had any special skill in detecting marijuana grow operations or that he failed to meet the standard of care. In the alternative, the purchaser did not establish that he relied on the realtor's special skills to discover a marijuana grow operation. As he had retained an inspector, he relied on the inspector in regard to the condition of the property. The Court concluded that the purchaser did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realtor. In the alternative, the purchaser did not establish that he suffered damages as a result of any alleged failures on the realtor's part. As the realtor made no untrue, inaccurate, or misleading representations to the purchaser regarding the prior use of the property as a marijuana grow operation, the claim in negligent or fraudulent misrepresentation against the realtor failed. As the claim in contract against the realtor mirrored that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failed for the same reasons.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insufficient evidence to establish that the moisture problem rendered the property dangerous or unfit for habitation. As a result, the vendors did not have a common law obligation to disclose the existing or potential moisture problem to the purchaser. The purchaser was put on notice about the possibility that the property had been used as a grow operation by his inspector. The vendors thus did not have a duty to disclose that the property had been a marijuana grow operation, as this was clearly detectable through reasonable inquiries by the purchaser. The vendors, however, had an obligation to accurately and truthfully complete the PDS. The Court found that they made a false representation in the PDS respecting the prior use of the property as a marijuana grow operation. The Court accepted that the purchaser was induced to enter into the Contract in part on the basis of that false representation. While the claim against the vendors in fraudulent misrepresentation was proven, the purchaser failed to adduce evidence on the difference between the purchase price and the true fair market value of the property at the date of purchase. As a result, the Court could only award a nominal award of $1,000, recognizing that the purchaser's rights were breached.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Counsel_12"/>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on his own behalf; S. Chern for the defendants Moreno; K. Murray for the defendants and third parties Leo Sabot and Wheeler Cheam Realty Ltd., Inc. No. BC0571414</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12"/>
      <w:bookmarkEnd w:id="115"/>
      <w:r>
        <w:pict>
          <v:line id="_x0000_s1092" style="position:absolute;z-index:2517739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D.J. DARDI J."/>
            <w:bookmarkEnd w:id="116"/>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in the context of the sale of a residential home in Chilliwack, British Columbia (the "Property"). The plaintiff, Robert Beacock, purchased the Property from the defendants, Fernando and Janet Moreno (collectively, the "Morenos"), pursuant to a contract of purchase and sale dated July 13, 2005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Beacock claims that after moving into the Property, he discovered that it previously had been used as a marijuana grow operation. In broad terms, he says that the Property was riddled with moisture problems, contaminated with mould and required extensive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material time, the defendant, Leo Sabot, was a licenced realtor with the defendant, Wheeler Cheam Realty Ltd. The defendant, Wheeler Cheam Realty Ltd., ("Wheeler") is a company duly incorporated under the laws of British Columbia under incorporation number BC 0571414, doing business as Royal LePage Wheeler Cheam Realty. Mr. Sabot was the realtor involved with the real estate transaction that anchors this proceeding. I will refer to these defendants collectively as the "realtor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the Morenos, who had filed a trial brief and appeared at both trial management conferences, attended the commencement of trial. Counsel informed the Court that the last communication they had with their clients was February 2018. Counsel had informed the Court at the July 26, 2018 trial management conference that they could not locate their clients and would be taking steps to withdraw from the record. Counsel also informed this Court at the outset of trial that, despite making efforts to locate their clients, they had been unable to ascertain their current whereabouts. Counsel informed the Court that the Morenos were aware of the trial date. They also confirmed that they were continuing to take steps to withdraw from the record. In all the circumstances, I excused counsel at the outset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evidence before the Court of any explanation, adequate or otherwise, for the Morenos' non-appearance at trial. I have determined that this is an occasion on which it is appropriate for this Court to proceed in the absence of one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2017, the realtor defendants brought a summary trial application seeking an order that the action be dismissed against them. On July 21, 2017, Mr. Justice Riley dismissed the application as it pertained to Mr. Beacock. However, he granted the application in respect of all other plaintiffs. Accordingly, Mr. Beacock is the only plaintiff pursuing a claim against the realtor defendants. Similarly, Mr. Beacock was the only plaintiff who proceeded with a claim against the Morenos.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this proceeding, the Court is being asked to determine Mr. Beacock's claim against the realtor defendants as well as his claim against the Morenos. Mr. Beacock seeks damages against the realtor defendants for fraudulent and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contract. He seeks judgment against the Morenos for fraudulent misrepresentation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realtor defendants assert that the claim against them should be dismissed. They also seek dismissal of the third party claim issued against them by the Morenos.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Sabot was licenced as a realtor in British Columbia in approximately 1997. He practiced as a real estate agent until his retirement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Beacock was formerly a financial advisor. He has been receiving disability payments from a self-purchased plan since approximately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Beacock and Mr. Sabot were the only witnesses who testified at trial. Their respective accounts of what transpired differs significantly on material points. The fact that the parties were recalling material events more than 13 years after those events occurred has compounded the complexity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Although he had been previously represented by counsel, Mr. Beacock appeared in person at trial. While some accommodation for self represented persons may be appropriate, fairness of the trial process is the overarching consideration: </w:t>
      </w:r>
      <w:r>
        <w:rPr>
          <w:rFonts w:ascii="arial" w:eastAsia="arial" w:hAnsi="arial" w:cs="arial"/>
          <w:i/>
          <w:color w:val="000000"/>
          <w:sz w:val="20"/>
          <w:lang w:val="en-US" w:eastAsia="en-US" w:bidi="ar-SA"/>
        </w:rPr>
        <w:t>Berezowski v. British Columbia (Residential Tenancy Branch)</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2014 BCSC 363</w:t>
        </w:r>
      </w:hyperlink>
      <w:r>
        <w:rPr>
          <w:rFonts w:ascii="arial" w:eastAsia="arial" w:hAnsi="arial" w:cs="arial"/>
          <w:color w:val="000000"/>
          <w:sz w:val="20"/>
          <w:lang w:val="en-US" w:eastAsia="en-US" w:bidi="ar-SA"/>
        </w:rPr>
        <w:t xml:space="preserve"> at para. 178.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outset of the trial, I provided Mr. Beacock with a written memorandum that summarized what the trial procedure would be, what his obligations were at trial and some important rules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EVIDENTIARY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Mr. Beacock read evidence into the record from Mr. and Mrs. Moreno's respective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Rule 12-5(46)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Persons against whom discovery evidence is admissible</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otherwise admissible, the evidence given on an examination for discovery by a party or by a person examined under Rule 7-2 (5) to (10) may be tendered in evidence at trial by any party adverse in interest, unless the court otherwise orders, but the evidence is admissible against the following persons only: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adverse party who was examined;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adverse party whose status as a party entitled the examining party to conduct the examination under Rule 7-2 (5) to (10);</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was examined under section 17 of the Class Proceedings Act as a member of a class, the members of that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common ground that pursuant to Rule 12-5(46), the evidence given on the examination for discovery of Mr. and Mrs. Moreno is clearly admissible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Beacock also tendered into evidence the affidavits of each of Mr. and Mrs. Moreno, sworn November 3, 2009 in response to interrogatories dated August 23, 2009 (the "Answers"). Similarly, pursuant to Rule 12-5(58), the answers to interrogatories are admissible against the Morenos.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 issue arose at trial because Mr. Beacock asserted that the evidence from the examination for discovery and the Answers should also be admissible against the realtor defendants. The realtor defendants submit that in all the circumstances and in the absence of any opportunity to cross-examine the Morenos at trial, this evidence should not properly be admissible against them. I determined that I would reserve my ruling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Beacock grounds his submissions on Rule 12-5, which was formerly Rule 40(4). His essential submission is that because the Morenos' attendance at trial could not be secured by subpoena, it would be unfair not to allow the Morenos' evidence to be admitted against the realtor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12-5(54) deals with the evidence of witnesses who are otherwise unavailable. It confers discretion to the court in certain prescribed circumstances to allow the transcript of prior evidence given by a witness to be put in evidence. The rule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Use of pre-trial examination of a witness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tender in evidence at the trial all or part of the examination of a person taken under Rule 7-5</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contradict or impeach the testimony of the person at trial,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necessary in the interests of justice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is dead,</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is unable to attend and testify because of age, infirmity, sickness or imprisonment,</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is out of the jurisdiction, or</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attendance cannot be secured by subpoena.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rule is discretionary in nature. The discretion is not to be exercised arbitrarily. It is to be applied judiciously in the interests of justice dealing fairly with both parties. In determining whether or not to permit the evidence to be submitted, I have considered matters of trial fairness and the relative prejudice to the parties. The paramount consideration is to ensure that there is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First, there is some merit to defence counsel's submission that Mr. Beacock has not established that the Morenos' attendance could not be secured by subpoena. Their counsel advised the Court that they were unable to reach the Morenos by email, mailing address or by telephone. Their last contact with counsel was in February 2018. Counsel had also conducted searches under the </w:t>
      </w:r>
      <w:r>
        <w:rPr>
          <w:rFonts w:ascii="arial" w:eastAsia="arial" w:hAnsi="arial" w:cs="arial"/>
          <w:i/>
          <w:color w:val="000000"/>
          <w:sz w:val="20"/>
          <w:lang w:val="en-US" w:eastAsia="en-US" w:bidi="ar-SA"/>
        </w:rPr>
        <w:t>Personal Property Security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and Land Title Office searches, without success. Mr. Beacock advised the Court that he had searched the obituaries of the local newspaper and that he conducted Google searches. However, there is no evidence that any other investigative efforts, such as skip tracing,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any event and for completeness, in the analysis that follows I have assumed that the Morenos' attendance at trial could not be compelled by subpoena.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Beacock relies on </w:t>
      </w:r>
      <w:r>
        <w:rPr>
          <w:rFonts w:ascii="arial" w:eastAsia="arial" w:hAnsi="arial" w:cs="arial"/>
          <w:i/>
          <w:color w:val="000000"/>
          <w:sz w:val="20"/>
          <w:lang w:val="en-US" w:eastAsia="en-US" w:bidi="ar-SA"/>
        </w:rPr>
        <w:t>Beazley v. Suzuki Motor Corporation</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2009 BCSC 1575</w:t>
        </w:r>
      </w:hyperlink>
      <w:r>
        <w:rPr>
          <w:rFonts w:ascii="arial" w:eastAsia="arial" w:hAnsi="arial" w:cs="arial"/>
          <w:color w:val="000000"/>
          <w:sz w:val="20"/>
          <w:lang w:val="en-US" w:eastAsia="en-US" w:bidi="ar-SA"/>
        </w:rPr>
        <w:t>. In that case, Mr. Justice Goepel (when he was a member of this Court) considered the former Rule 40(4). He concluded that the evidence given at examinations for discovery of representatives of the defendant, who could not be compelled to attend trial because they lived in the United States, was admissible as against the other parties. In my view, the facts in that case are distinguishable from the facts in this case. Mr. Justice Goepel concluded there would be minimal prejudice to the remaining defendants if the evidence was admitted because there was no reason to believe they would not voluntarily attend the trial if their attendance was requested. Accordingly, the other defendants could call them to explain any admissions they may have made.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that Mr. Beacock seeks to have admissible against the realtor defendants relates to Mr. Sabot's alleged discussion with the Morenos regarding completing the disclosure statement; in particular, how to answer the question about whether there had been a marijuana grow operation at the Property. Mrs. and Mr. Moreno both deposed separately in the Answers that "Mr. Sabot advised us that we were only to be concerned about whether the property had been used as a grow operation while we had owned the Property". This is a matter on which the realtor defendants should have a full and fair opportunity to cross-examine the Morenos.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weighing the relative prejudice to the parties, the greater prejudice falls to the realtor defendants in not having any opportunity to cross-examine the Morenos on a material point. That prejudice militates against finding that the affidavit evidence as provided in the Answers and the examination for discovery evidence of the Morenos should be admissible as against the realtor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summary on this issue, I conclude that both the Answers and the examination for discovery evidence of the Morenos tendered by Mr. Beacock at trial are not admissible as against the realtor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Before delineating the issues and addressing each issue on the merits, I will summarize the pertinent facts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these Reasons, the summary of facts reflects evidence that was either not in dispute, or, where it was in dispute, the factual findings I have made based on the consideration of the evidence as a whole. I have explained the reasoning underlying my findings where the evidence conflicted in a significant way on material points, or a party has urged that a particular inference be drawn from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Sabot met Mr. and Mrs. Moreno on or about June 27, 2005, and then again when he viewed the Property on July 2, 2005. The Morenos agreed that Mr. Sabot would act as their agent in listing the Property for sale, as well as in assisting them in the search and purchase of two other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Sabot described the Property as having been a beautiful home. He did not observe anything about the condition of the Property that caused him any concern. The evidence, as a whole, supports a finding that, at this time, there was no reasonably visible indication that the Property had been used as a marijuana grow operation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doing a comparative market analysis, Mr. Sabot prepared the listing agreement. He met with the Morenos again on July 4, 2005, at which time they signed the listing agreement. On July 4, 2005, Mr. Sabot walked around the Property, taking dimensions of each room. He also gathered other information in order that he could complete the Residential Data Input Form. This document recorded various details of the Property, such as lot size and the square footage of each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listing price for the Property was $299,900.00.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property disclosure statement that Mr. and Mrs. Moreno received when they purchased the Property in 2004, which was admitted at trial pursuant to the agreement of the other parties, disclosed that the Property had been used as a marijuana grow operation (the "Prior PDS"). Based on this objective evidence, the only reasonable and logical inference is that when the Morenos listed the Property for sale in 2005, they knew full well that the Property had been used as a marijuana grow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July 4, 2005, Mr. Sabot provided the Morenos with a blank copy of a property disclosure statement (the "PDS"). At trial, he specifically recalled that he asked them to review it and, to the best of their knowledge, answer each question truthfully. Mr. Sabot did not observe the vendors completing the PDS. Neither of the Morenos asked him any questions about the PDS. He reviewed the PDS to ensure each question had been answered and that it was appropriately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Morenos answered no to the following questions in the PDS: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additions or alterations made without a required permit and final inspection? Answer: No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moisture and/or water problems in the walls, basement or crawl space? Answer: No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if the premises or property have been used as a marijuana grow operation or to manufacture illegal drugs? Answer: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Sabot had no reasonable basis to suspect that any of the answers provided by the vendors in the PDS were untrue in any respect. He had not observed anything about the Property that called into question the answers on the PDS. Neither of the vendors ever told Mr. Sabot that prior to their acquisition of the Property, the Property had been used as a marijuana grow operation. Moreover, there was nothing that he observed at the Property that reasonably ought to have raised any red flags about a prior marijuana grow operation. The evidence does not support a finding that Mr. Sabot ever saw the Prior PDS prior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Morenos told Mr. Sabot that they had done some work finishing the basement, including putting in a bathroom and a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completeness, if I am incorrect and the examination for discovery and the Answers are admissible against the realtor defendants, I make the following findings. Mr. Sabot denies that he had any discussion whatsoever with the Morenos regarding the question on the PDS pertaining to the use of the Property as a marijuana grow operation. Given the way the question is framed on the PDS, the Morenos' evidence that Mr. Sabot told them that they were only to be concerned about whether the Property had been used as a grow operation while they owned the Property is implausible.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trial, Mr. Sabot refuted the Morenos' version of events and stated that he would never make such a statement because he maintains that "once a grow-op, always a grow-op". In cross-examination, Mr. Sabot confirmed that he never instructed vendors on the contents of the PDS nor reviewed the accuracy of the contents because it is the vendors that know the condition of the Property. He emphasized that it is the vendors who are assuming responsibility for the accuracy of the representations in the PDS. I accept Mr. Sabot's evidence on this point. It accords with the preponderance of the probabilities that a reasonable person would recognize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any case, the evidence of the Morenos adduced in evidence at trial does not establish that Mr. Sabot knew about the previous use of the Property as a marijuana grow operation. Mr. Moreno admitted on his examination for discovery that, prior to the completion of the sale to Mr. Beacock, he did not tell Mr. Sabot that the Property previously had been used as a marijuana grow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Offer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July 12, 2005, Mr. Beacock contacted Mr. Sabot to make inquiries about the Property. Mr. Beacock told Mr. Sabot that he would not bother to come and view the Property unless the vendors were prepared to accept $290,000.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Sabot contacted Mr. Moreno, who indicated that he would accept $290,000 for the Property. Mr. Sabot then contacted Mr. Beacock to pass on this information and arrangements were made for Mr. Beacock to view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July 13, 2005, Mr. Beacock viewed the Property with Mr. Sabot. Mr. Beacock did not observe anything about the condition of the house that raised any concerns and he confirmed there "was nothing you could see wrong with it". According to Mr. Beacock, the house looked "exceptional" and appeared to be sparklingly clean and in extremely good condition. Mr. Sabot told him at this viewing that the Morenos had renovated the unfinished basement. After the viewing, Mr. Beacock did not raise any concerns or ask any specific questions about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the viewing, Mr. Sabot asked Mr. Beacock if he was interested in buying the Property. Mr. Beacock advised he did want to make an offer of $290,000 for the Property. Mr. Sabot asked if Mr. Beacock was working with a realtor. When he responded that he did not, Mr. Sabot told him he could draft the offer. Mr. Sabot explained that this would make him a dual agent. He went on to explain to Mr. Beacock what a dual agency was and that Mr. Beacock would have to sign a document confirming their arrangement. Mr. Sabot told Mr. Beacock that he could not advise him on price nor disclose any personal information about one party to the other, including the motivation for purchasing or selling. Mr. Beacock expressed no concerns regarding Mr. Sabot acting for both the vendors and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common ground that Mr. Sabot did not provide Mr. Beacock with a history of the Property's past sales or any other comparative MLS listings. However, as I stated earlier when Mr. Beacock first contacted Mr. Sabot about the Property, he indicated that he had already decided what his price would be if he proceeded with making an offer. Mr. Beacock admits that he never asked Mr. Sabot any questions regarding what the Morenos had paid for the Property or about the history of the Property's past sales. Nor did he make any inquiries on whether Mr. Sabot had a relationship with the Morenos beyond the listing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Later the same day, July 13, 2005, Mr. Sabot drafted the contract of purchase and sale. Mr. Sabot faxed the contract of purchase and sale and the limited dual agency agreement to Mr. Beacock on July 14, 2005. Mr. Beacock executed the offer to purchase and faxed it back to Mr. Sabot on July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Contract included the following provision:</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REPRESENTATIONS AND WARRANTIES</w:t>
      </w:r>
      <w:r>
        <w:rPr>
          <w:rFonts w:ascii="arial" w:eastAsia="arial" w:hAnsi="arial" w:cs="arial"/>
          <w:color w:val="000000"/>
          <w:sz w:val="20"/>
          <w:lang w:val="en-US" w:eastAsia="en-US" w:bidi="ar-SA"/>
        </w:rPr>
        <w:t>. There are no representations, warranties, guarantees, promises or agreements other than those set out in this Contract and the representations contained in the Property Disclosure Statement if incorporated into and forming part of this Contract,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Contract contained a number of condition precedent clauses, including reading and approving the PDS, obtaining financing and obtaining and approving a home inspection report. The condition precedent clause regarding the PDS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READING AND APPROVING THE PROPERTY DISCLOSURE STATEMENT ON OR BEFORE JULY 20, 2005, SUCH STATEMENT, IF APPROVED, TO BE INCORPORATED INTO AND FORM PART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limited dual agency agreement executed by Mr. Beacock and the Morenos on July 14, 2005, (the "Agreement") is entitled "Consent to Brokerage Acting for Both Buyer/Tenant and Seller/Landlord and to Limiting the Scope of the Agency Relationship" and includes the following provisions: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Buyer/Tenant and the Seller/Landlord acknowledge and agree that with respect to the purchase and sale or lease of the Property the Brokerage and its Licences (as defined below) will be the agent for both the Buyer/Tenant and the Seller/Landlord and will represent the parties as a limited dual agent with the following changes and limitations to its duties as agent: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Brokerage will deal with the Buyer/Tenant and the Seller/Landlord impartially;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Brokerage will have a duty of disclosure to both the Buyer/Tenant and the Seller/Landlord except that: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Brokerage will not disclose that the Buyer/Tenant is willing to pay a price or agree to terms other than those contained in the Offer or that the Seller/Landlord is willing to accept a price or terms other than those contained in the Listing;</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Brokerage will not disclose the motivation of the Buyer/Tenant to buy or lease or the Seller/Landlord to sell or lease unless authorized in writing by the Buyer/Tenant or the Seller/Landlord;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Brokerage will not disclose personal information, not otherwise necessarily disclosed in the transaction documentation, about Buyer/Tenant or Seller/Landlord to the other party unless authorized in writing.</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Clause 3B, the Brokerage will disclose to the Buyer/Tenant defects about the physical condition of the Property known to the Brokerage.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Beacock acknowledges that he received the Agreement from Mr. Sabot. I found Mr. Beacock's evidence on cross-examination on whether he read the Agreement to be vague and somewhat evasive. In any case, he signed the offer to purchase and the Agreement and faxed it back to Mr. Sabot on July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Beacock's offer to purchase the Property was accepted by the vendors on July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Beacock paid the deposit by cheque dated July 15, 2005. According to Mr. Sabot, he met with Mr. Beacock at his office on July 15, 2005, and provided him with the fully executed Contract, the Agreement with the signature of all parties, the PDS that had been filled out by the vendors, a title search, and three brochures for property inspection companies. His assertions are supported by the notes in his daytimer that reference a meeting with Mr. Beacock on July 15, 2005, "Re deposit and give him copies of contract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Beacock acknowledges that Mr. Sabot provided him with the names of three home inspection firms but denies meeting with Mr. Sabot at his office in July 15, 2005. Mr. Beacock maintains that he gave the deposit cheque to Sergio, another realtor from Mr. Sabot's firm, when he drove to Chilliwack for another viewing of the Property. He did not explain when he would have received the names of the inspection firms from Mr. Sabot.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Beacock viewed the Property with the vendors on July 15, 2005. At that time, Mr. Moreno told him that he had finished the basement. When Mr. Beacock viewed the Property, the basement consisted of a media room, a games room, a wet bar, a bathroom and a storage utility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Beacock maintains that he did not receive and review the PDS until after the inspection on July 19, 2005, which is the date upon which his signature was affixed as having received and read the PDS. According to Mr. Beacock, he had to provide the bank with the paperwork for mortgage approval the next morning and most offices were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Sabot credibly explained that his standard practice had been that the purchaser typically executed the PDS (as having received and read it) at the time of the subject removal of the contract of purchase and sale because that is when the purchaser formally approves the PDS. Further, Mr. Sabot's standard practice was to immediately provide all documents in his possession about a property to a buyer upon the offer to purchase being accepted by the vendor. He testified that he did that in this case. I found his explanation on this point persuasive. Furthermore, Mr. Beacock testified at his examination for discovery that he reviewed the PDS "again" after the inspection, which suggests he had reviewed it before the inspection. Notably, Mr. Beacock's statement of claim, filed on May 17, 2007, by his then counsel, states in paragraph 9 that the Morenos provided the PDS to Mr. Beacock on July 13, 2005. The original pleading contains no allegations regarding the late provision of the PDS. The allegation of the late disclosure statement first appeared in the pleadings in the Amended Notice of Civil Claim filed on November 30,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Mr. Sabot and Mr. Beacock also signed a document entitled "Your Relationship with a Realtor", which is a page from the "Working with a Realtor" brochure acknowledging that a client has read and received the brochure. The brochure explains the obligations of a realtor. The acknowledgement page with their respective signatures is undated. Mr. Beacock maintains he did not receive this document until July 19, 2005. Mr. Sabot candidly admits he cannot be certain when he gave the brochure to Mr. Beacock, but he believes, based on his usual practice, it would have been when they first met on July 13, 2005. Both the Agreement and the Contract reference the "Working with a Realtor" brochure.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Morenos signed a separate acknowledgment page on July 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Balancing the evidence as a whole, I find that it is more probable than not that Mr. Sabot provided Mr. Beacock the PDS when they met on July 15, 2005, and that Mr. Sabot gave Mr. Beacock the "Working with a Realtor" brochure on July 13,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Home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Beacock chose and retained the firm Pillar To Post to conduct an inspection of the Property on July 19,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July 19, 2005, sometime in the early afternoon, Mr. Sabot met the inspector in order to permit him access to the Property. Mr. Sabot then left the Property. Mr. Beacock met with the inspector, Ron Parsons, at the Property at the beginning of the inspection and then again upon completion at approximately 4:00 p.m. At that time, Mr. Parsons reviewed the findings in his report (the "Inspection Report") with Mr. Beacock. Mr. Beacock candidly admitted that he recognized that there were limitations to the report because it was based on a visual inspection of the accessible features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 to Mr. Beacock, Mr. Parsons told him that he had found what could have been a vent (a board with a hole in it covering what had previously been a window) that was larger than a drier vent, which could have signified that the Property had previously been used as a marijuana grow operation. The inspection report in the section entitled Other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Evidence of past hydroponic activities</w:t>
      </w:r>
      <w:r>
        <w:rPr>
          <w:rFonts w:ascii="arial" w:eastAsia="arial" w:hAnsi="arial" w:cs="arial"/>
          <w:color w:val="000000"/>
          <w:sz w:val="20"/>
          <w:lang w:val="en-US" w:eastAsia="en-US" w:bidi="ar-SA"/>
        </w:rPr>
        <w:t>. These types of situations can result in mould growth in wall components. Not able to determine condition of sealed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report, the inspector noted under the section entitled Exterior: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FOUNDATION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Parts of foundation walls are not exposed.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Visible foundation cracks are typical from shrinkage.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Monitor cracks for water intrusion and seal as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WALL SURFACE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Gaps in exterior walls should be sealed reducing chance of water intrusion into wall components resulting in water damage/rot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noted under the section entitled Basement/Structure: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Basement/structure is finished. Checked perimeter walls every 6'-8' for moisture. </w:t>
      </w:r>
      <w:r>
        <w:rPr>
          <w:rFonts w:ascii="arial" w:eastAsia="arial" w:hAnsi="arial" w:cs="arial"/>
          <w:color w:val="000000"/>
          <w:sz w:val="20"/>
          <w:u w:val="single"/>
          <w:lang w:val="en-US" w:eastAsia="en-US" w:bidi="ar-SA"/>
        </w:rPr>
        <w:t>No abnormal moisture levels were noted on date of inspection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inspector was not called as a witness at trial and the Inspection Report was not tendered in accordance with the rules for the admission of expert evidence. Accordingly, it is admissible only for the fact that these statements were made by the inspector and not for the truth of those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According to Mr. Beacock, the inspector told him that he was "98 percent sure" the Property was safe and that "if I was his son, he would probably feel comfortable with me moving my family into this house". He also told Mr. Beacock that he would have no problem recommending the Property to anyone. I find Mr. Beacock's version of this meeting implausible. It is unlikely that a professional inspector who has prepared an inspection report would make these alleged representations to a prospective purchaser. This would directly contravene the terms of the Visual Inspection Agreement that provides that the inspector "does not offer an opinion as to the advisability or inadvisability of the purchase of a property". Notably, Mr. Beacock did not call the inspector as a witness nor name the inspection firm or the inspectors as defendants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central controversy at trial is what transpired between Mr. Sabot and Mr. Beacock after the inspector left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this paragraph, I summarize Mr. Beacock's version of the allegedly material events. Mr. Beacock maintains that Mr. Sabot was waiting outside for him at the Property. Mr. Beacock told Mr. Sabot about the suspicious vent and the possibility that the Property could have been used as a marijuana grow operation. According to Mr. Beacock, Mr. Sabot told him he would check into it and left the Property for an hour and a half. He then called Mr. Beacock and arranged to meet him back at the Property. Upon returning to the Property, Mr. Sabot told Mr. Beacock that the Property "definitely" had not been used as a marijuana grow operation and that he had nothing to worry about. Mr. Sabot also directed Mr. Beacock's attention to the answer in the PDS, wherein the Morenos had indicated that, to their knowledge, the Property had not been used as a marijuana grow operation. Mr. Beacock apparently asked no questions about how Mr. Sabot made his determination that the Property was not a marijuana grow operation or what investigations he had made when he left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For his part, Mr. Sabot denies there was any such discussion with Mr. Beacock on July 19, 2005, or for that matter at any time prior to completion, about the inspector having raised an issue regarding potential hydroponic activity. Mr. Sabot says in the three meetings he had with Mr. Beacock prior to completion, July 13, 15 and 19, 2005, he and Mr. Beacock never discussed the possibility that the Property had been used as a marijuana grow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Sabot maintains that he never saw the Inspection Report prior to the completion of the sale of the Property. According to Mr. Sabot, he returned to the Property later in the day on July 19, 2005. When he arrived, Mr. Beacock was reviewing the Inspection Report with the inspector. When they were finished, Mr. Sabot asked him how it went and Mr. Beacock said it went "fine". He then asked Mr. Beacock if he was willing to remove the condition precedent clauses. Mr. Beacock confirmed that he would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will return to this discussion between Mr. Sabot and Mr. Beacock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Beacock maintains that in reliance on the assurances Mr. Sabot had made that the Property had not been used as a marijuana grow operation, the representations in the PDS, and the information he received from the inspector, he decided to proceed with the purchase of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 Removal and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July 19, 2005, Mr. Sabot delivered the document entitled "Contract of Purchase and Sale Addendum" to Mr. Beacock. The addendum had been executed by the Morenos. Mr. Sabot says that no issues having been raised, Mr. Beacock signed this document after the inspection was completed. By executing this document on July 19, 2005, Mr. Beacock removed the condition precedent or "subject clauses" from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purchase and sale completed on August 31,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Sabot went away on holidays in August 2005. In his absence, Sergio, another realtor with his firm, met with Mr. Beacock about changing the date for possession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Beacock took possession of the Property on September 4, 2005. Mr. Sabot was present when Mr. Beacock and his family took possession of the Property. The Property, which had been vacated, appeared to be in the same condition as when he previously had viewed it. Mr. Sabot did not observe any evidence of mould or water ingress, or any other matters that raised concerns about the condition of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that post date Mr. Beacock's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October 31, 2005, Mr. Beacock was told by a neighbour that the Property had been used as a marijuana grow operation. Two to three months after that, mould began to appear on the walls in the basement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When the mould was discovered, Mr. Beacock contacted two environmental companies regarding testing and remediation. Mr. Beacock also contacted Mr. Moreno and Mr. Sabot. The evidence supports a finding that in February 2006, Mr. Beacock left three telephone messages for Mr. Sabot.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paragraph summarizes Mr. Beacock's recollection of the events that followed. According to Mr. Beacock, when Mr. Sabot attended the Property, he walked over the side of the house, looked at the electrical stack, turned to Mr. Beacock and confirmed that "of course it was a grow-op before". Mr. Beacock maintains that Mr. Sabot then suggested that they go to his office, where Mr. Sabot told him that he had not been able to tell him about the use of the Property as a marijuana grow operation because of an "agreement". Mr. Sabot also purportedly told Mr. Beacock that he had never had any problems with the previous marijuana grow operation properties he had sold and then suggested that Mr. Sabot's insurance might cover the costs of remediating the Property. However, thereafter, Mr. Sabot did not return any of Mr. Beacock's calls. Sometime later, Mr. Beacock had a chance encounter with Mr. Sabot at a mall. A day or two after their chance meeting at the mall, Mr. Sabot telephoned Mr. Beacock to inform him that his insurance would not cover any repair costs and he would not be able to do anything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Sabot's recollection of events differs significantly from that of Mr. Beacock. Mr. Sabot says: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 early in 2006, he met Mr. Beacock by chance in the local shopping mall;</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Mr. Beacock told him about the mould problem at the Property;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Sabot did visit the Property and observed the mould;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visit, Mr. Beacock told him that the Property had been used as a marijuana grow operation;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Sabot then contacted Mr. Moreno.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Moreno attended the Property. Mr. Moreno provided no explanation about the condition of the Property and denied that the Property had been used as a marijuana grow operation. Mr. Sabot does not recall any discussions about water ingress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 to Mr. Beacock, at that time, Mr. Moreno agreed to pay for an environmental report to be done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Sabot denies making any of the statements about the marijuana grow operation attributed to him by Mr. Beacock. Specifically, Mr. Sabot maintains that he never stated that he had observed evidence of the Property having been a former marijuana grow operation. Nor did Mr. Sabot say that he had known that the Property previously had been used as a marijuana grow operation. Prior to this meeting in early 2006, Mr. Sabot had never observed anything at the Property that had raised suspicion or concern that it may have been used as a marijuana grow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this case there were significant disputes in relation to material facts and it is appropriate, therefore, to now comment on the credibility of the parties. My findings on other essential facts are addressed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Sabot was forthright when he could not recall details about any particular event or discussion. I found his imperfect memory to be consistent with events and discussions having transpired some 13 years ago. He did not embellish or exaggerate his evidence. While he relied on the notes in his daytimer and the documentation to refresh his memory on the details of this property purchase transaction, I accept that he had a clear recollection of the key discussions he had with Mr. Beacock. His experience as a realtor and reliance on his usual and customary practice as to some of the details of the transaction enhanced the weight to be accorded to his evidence. I am satisfied that he followed his usual practice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Overall, I found him to be a credible witness whose evidence was reliable. I accept his evidence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With the passage of over thirteen years since the material events, Mr. Beacock may have unconsciously indulged in the human tendency to reconstruct and distort history in a way that favours a desired outcome: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 In any case, I find that overall, Mr. Beacock's evidence lacks probative reliability. Where his evidence conflicts with Mr. Sabot's, Mr. Sabot's must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Balancing the evidence as a whole, I find that prior to completion, Mr. Sabot and Mr. Beacock never discussed the possibility that the Property had been used as a marijuana grow operation. I found Mr. Sabot's version of events to have the ring of truth. I find Mr. Sabot's version of the pertinent events is more reliable and accords with the preponderance of the probabilities a reasonable person would recognize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Moreover, I find it implausible that prior to completion, Mr. Sabot would have assured Mr. Beacock that there had been no past hydroponic activity and then subsequent to the sale, attended the Property and quickly confirmed that based on the electrical stack, it clearly had been used as a marijuana grow operation. Crucially, in the Inspector's Report, the inspector had pointed out evidence of past hydroponic activities but noted that he was not able to determine "the condition of sealed components". On Mr. Beacock's own evidence, the inspector had pointed out that what was in the crawl space had been difficult to observe. I find it more likely than not that if the electrical stack had supported a conclusion that there had been past hydroponic activity at the Property, the inspector would have noted that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short, I find that, prior to completion of the purchase of the Property, Mr. Sabot had no knowledge about the Property previously having been used as a marijuana grow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uncontroversial that problems associated with mould and water ingress developed at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After the mould was discovered, Mr. Beacock obtained a copy of an installation permit that was issued by the Safety Authority in 2003 for the repairs to the electrical system on the Property that had been required because of the previous use of the Property as a marijuana grow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 to Mr. Beacock, after Mr. Moreno was served with these proceedings, he attended at the Property visibly upset and stated that the lawsuit would ruin his retirement. At this time, Mr. Moreno admitted that the Property had been used as a marijuana grow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order to address the problems associated with toxic mould, Mr. Beacock incurred costs associated with environmental remediation and repair to the Property. According to Mr. Beacock, in approximately January 2007, he took out a $25,000 loan to pay for repair and remediation expenses. Mr. Beacock also claims that he incurred other expenses related to the Property, including costs for damage to the contents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Beacock produced no receipts or other documentation related to the repair and remediation costs or other costs he incurred. He says that some of the pertinent documentation was lost in the 2009 fire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Beacock produced a report entitled Fungal Inspection Report dated February 26, 2007, and prepared by IAQ Mould Experts, which included a quotation of $16,377.00 for the professional remediation required for the main floor and basement. The report does not meet the admissibility criterion for an expert report and was not properly tendered as an expert opinion. Moreover, the author was not called as a witness and could not be cross-examined by defence counsel. The report was admissible only as evidence showing that Mr. Beacock received the quotation and undertook certain repairs and remediation based upon the contents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Mr. Beacock removed some of the flooring and walls to remediate the mould, he discovered that there were water ingress problems that he attributed to issues with the water table and hydrostatic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bears emphasis that there was no cogent evidence tendered, expert or otherwise, that proved on a balance of probabilities that the water ingress and moisture problems were caused by the past hydroponic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Unfortunately for all involved, in 2009 the Property was subsequently damaged by fire and was rendered uninhabitable. Mr. Beacock had renewed his insurance for the Property on several occasions by the time the fire occurred, some four years after initial purchase of the Property. The insurer took the position that the home insurance was voided on the grounds that there had been material non-disclosure by Mr. Beacock of the prior use of the Property as a marijuana grow operation and extensive contamination of mould. Mr. Beacock issued proceedings against the insurer and the insurance brokers in 2010. Mr. Beacock has not taken any steps to advance the litigation in the last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note that in this action Mr. Beacock claims for the costs of alternate accommodation and the alleged voiding of his insurance when the Property was subsequently damaged by the fire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2013, Mr. Beacock defaulted on his mortgage payments on the Property and the Property was eventually sold pursuant to foreclosure proceedings. There was a $60,000 shortfall, for which Mr. Beacock remains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will analyse the issues under the following headings: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against the realtor defendants: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realtor defendants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realtor defendants liable for negligent misrepresentation?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Beacock established a claim against the realtor defendants for breach of contract?</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realtor defendants liable for fraudulent misrepresentation?</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against the Morenos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Claim by the Morenos against the realtor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AGAINST THE REALTOR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original statement of claim filed May 17, 2007, Mr. Beacock, who was then represented by counsel, claimed against the realtor defendants that:</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realtor was aware the Property had been used as a marijuana grow operation in the past but failed to disclose that information to Mr. Beacock;</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of the Property having been used as a marijuana grow operation in the past was vital information and the realtor had a duty of care or contractual duty to disclose this to Mr. Beacock;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principal employees and agents of the defendant, Wheeler Cheam Realty Ltd. knew that the Property had been used as a marijuana grow operation and had an independent duty to disclose that information to potential purchasers of the Property and/or supervise the realtor to ensure disclosure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December 16, 2015, Mr. Beacock, who by then was acting in person, filed an amended notice of civil claim, expanding his claims against the realtor defendants. The expanded claims include that the realtor defendants were either negligent or fraudulent in that they:</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duty to deliver all pertinent information to the plaintiffs with respect to the Property in a timely manner, and failed to deliver pertinent information to the plaintiffs until it became too late for the plaintiffs to act on it, including that the Applicants:</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advise the plaintiff there was no site survey for the Property until after subjects were removed.</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provide the plaintiffs with a copy of the brochure "Your Relationship with a Realtor" until after subjects were removed.</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provide the plaintiffs with timely delivery of a copy of the Property Disclosure Statement by waiting until after the house inspection, after most offices were closed when subject removal had to be done and sent to the bank for approval in the morning.</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duty to make sure all representations of material facts are accurate and truthful and breached this duty by making a false representation as to the price that the vendors would be willing to accept for the Property, prior to an offer being made, inducing the plaintiffs to come and view the Property.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duty to make sure all representations of material facts are accurate and truthful and breached this duty by making a false representation regarding electrical permits pertaining to the Property.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with self interest in that the [Morenos] wanted to close the sale of two properties to the vendors which were contingent on the sale of the Property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will address each of the causes of action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Douglas</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2010 BCSC 1059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SC</w:t>
      </w:r>
      <w:r>
        <w:rPr>
          <w:rFonts w:ascii="arial" w:eastAsia="arial" w:hAnsi="arial" w:cs="arial"/>
          <w:color w:val="000000"/>
          <w:sz w:val="20"/>
          <w:lang w:val="en-US" w:eastAsia="en-US" w:bidi="ar-SA"/>
        </w:rPr>
        <w:t xml:space="preserve">], rev'd on other grounds </w:t>
      </w:r>
      <w:hyperlink r:id="rId261" w:history="1">
        <w:r>
          <w:rPr>
            <w:rFonts w:ascii="arial" w:eastAsia="arial" w:hAnsi="arial" w:cs="arial"/>
            <w:i/>
            <w:color w:val="0077CC"/>
            <w:sz w:val="20"/>
            <w:u w:val="single"/>
            <w:shd w:val="clear" w:color="auto" w:fill="FFFFFF"/>
            <w:lang w:val="en-US" w:eastAsia="en-US" w:bidi="ar-SA"/>
          </w:rPr>
          <w:t>2011 BCCA 521</w:t>
        </w:r>
      </w:hyperlink>
      <w:r>
        <w:rPr>
          <w:rFonts w:ascii="arial" w:eastAsia="arial" w:hAnsi="arial" w:cs="arial"/>
          <w:color w:val="000000"/>
          <w:sz w:val="20"/>
          <w:lang w:val="en-US" w:eastAsia="en-US" w:bidi="ar-SA"/>
        </w:rPr>
        <w:t>, Willcock J. (when he was a member of this Court) summarized the governing principles regarding the duty of care of a real estate agent: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To some extent a common duty of care is implied from the relation of principal and agent and from a basic appreciation of the role of the agent in the market. Expert evidence is not necessary to establish a standard of care based on common experience: </w:t>
      </w:r>
      <w:r>
        <w:rPr>
          <w:rFonts w:ascii="arial" w:eastAsia="arial" w:hAnsi="arial" w:cs="arial"/>
          <w:i/>
          <w:color w:val="000000"/>
          <w:sz w:val="20"/>
          <w:lang w:val="en-US" w:eastAsia="en-US" w:bidi="ar-SA"/>
        </w:rPr>
        <w:t>Burbank v. R.T.B.</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2007 BCCA 215</w:t>
        </w:r>
      </w:hyperlink>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279 D.L.R. (4th) 573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Summit Staging Ltd. v. 596373 B.C. Ltd.</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2008 BCSC 198</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68 R.P.R. (4th) 280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w:t>
      </w:r>
      <w:r>
        <w:rPr>
          <w:rFonts w:ascii="arial" w:eastAsia="arial" w:hAnsi="arial" w:cs="arial"/>
          <w:i/>
          <w:color w:val="000000"/>
          <w:sz w:val="20"/>
          <w:lang w:val="en-US" w:eastAsia="en-US" w:bidi="ar-SA"/>
        </w:rPr>
        <w:t>Phelan v. Realty World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[1994] 38 R.P.R. (2d) 128</w:t>
        </w:r>
      </w:hyperlink>
      <w:r>
        <w:rPr>
          <w:rFonts w:ascii="arial" w:eastAsia="arial" w:hAnsi="arial" w:cs="arial"/>
          <w:color w:val="000000"/>
          <w:sz w:val="20"/>
          <w:lang w:val="en-US" w:eastAsia="en-US" w:bidi="ar-SA"/>
        </w:rPr>
        <w:t xml:space="preserve"> (S.C.), Baker J. adopted the following description of the duty of care of an agent to his principal set out in Fridman, </w:t>
      </w:r>
      <w:r>
        <w:rPr>
          <w:rFonts w:ascii="arial" w:eastAsia="arial" w:hAnsi="arial" w:cs="arial"/>
          <w:i/>
          <w:color w:val="000000"/>
          <w:sz w:val="20"/>
          <w:lang w:val="en-US" w:eastAsia="en-US" w:bidi="ar-SA"/>
        </w:rPr>
        <w:t>Studies in Canadian Business Law</w:t>
      </w:r>
      <w:r>
        <w:rPr>
          <w:rFonts w:ascii="arial" w:eastAsia="arial" w:hAnsi="arial" w:cs="arial"/>
          <w:color w:val="000000"/>
          <w:sz w:val="20"/>
          <w:lang w:val="en-US" w:eastAsia="en-US" w:bidi="ar-SA"/>
        </w:rPr>
        <w:t>, at 334: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agent who is receiving a reward must not only exercise reasonable care, but he is also deemed to possess reasonable skill, thus as real estate brokers hold themselves out to the public as being experts in property valuation and sale, they must display the qualities which are generally associated with their calling and in offering advice and information must use due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clear that there is an implied duty of care between a realtor and a client to possess reasonable skill related to property valuation and sales. A realtor is to exercise the skill of a reasonably prudent realtor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Justice Willcock also addressed the legal test for establishing a broader duty of care between a real estate agent and a client: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w:t>
      </w:r>
      <w:r>
        <w:rPr>
          <w:rFonts w:ascii="arial" w:eastAsia="arial" w:hAnsi="arial" w:cs="arial"/>
          <w:color w:val="000000"/>
          <w:sz w:val="20"/>
          <w:u w:val="single"/>
          <w:lang w:val="en-US" w:eastAsia="en-US" w:bidi="ar-SA"/>
        </w:rPr>
        <w:t>One who seeks to impose a broader duty, for example, a duty to make specific enquiries on behalf of a purchaser or to warn of particular risks of a transaction, bears the evidentiary burden of establishing the nature and extent of that duty</w:t>
      </w:r>
      <w:r>
        <w:rPr>
          <w:rFonts w:ascii="arial" w:eastAsia="arial" w:hAnsi="arial" w:cs="arial"/>
          <w:color w:val="000000"/>
          <w:sz w:val="20"/>
          <w:lang w:val="en-US" w:eastAsia="en-US" w:bidi="ar-SA"/>
        </w:rPr>
        <w:t xml:space="preserve">. For example, the allegation made by the plaintiff in </w:t>
      </w:r>
      <w:r>
        <w:rPr>
          <w:rFonts w:ascii="arial" w:eastAsia="arial" w:hAnsi="arial" w:cs="arial"/>
          <w:i/>
          <w:color w:val="000000"/>
          <w:sz w:val="20"/>
          <w:lang w:val="en-US" w:eastAsia="en-US" w:bidi="ar-SA"/>
        </w:rPr>
        <w:t>Summit Staging Ltd</w:t>
      </w:r>
      <w:r>
        <w:rPr>
          <w:rFonts w:ascii="arial" w:eastAsia="arial" w:hAnsi="arial" w:cs="arial"/>
          <w:color w:val="000000"/>
          <w:sz w:val="20"/>
          <w:lang w:val="en-US" w:eastAsia="en-US" w:bidi="ar-SA"/>
        </w:rPr>
        <w:t xml:space="preserve">. that the agent ought to have done a market analysis was dismissed because no evidence was adduced with respect to what was customarily required of the agent: see para. 46 and the cases cited therein, as well as the similar decision in </w:t>
      </w:r>
      <w:r>
        <w:rPr>
          <w:rFonts w:ascii="arial" w:eastAsia="arial" w:hAnsi="arial" w:cs="arial"/>
          <w:i/>
          <w:color w:val="000000"/>
          <w:sz w:val="20"/>
          <w:lang w:val="en-US" w:eastAsia="en-US" w:bidi="ar-SA"/>
        </w:rPr>
        <w:t>Phelan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Similarly the plaintiffs' case against their realtors in </w:t>
      </w:r>
      <w:r>
        <w:rPr>
          <w:rFonts w:ascii="arial" w:eastAsia="arial" w:hAnsi="arial" w:cs="arial"/>
          <w:i/>
          <w:color w:val="000000"/>
          <w:sz w:val="20"/>
          <w:lang w:val="en-US" w:eastAsia="en-US" w:bidi="ar-SA"/>
        </w:rPr>
        <w:t>Perrault v. North Vancouver (District)</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2010 BCSC 382</w:t>
        </w:r>
      </w:hyperlink>
      <w:r>
        <w:rPr>
          <w:rFonts w:ascii="arial" w:eastAsia="arial" w:hAnsi="arial" w:cs="arial"/>
          <w:color w:val="000000"/>
          <w:sz w:val="20"/>
          <w:lang w:val="en-US" w:eastAsia="en-US" w:bidi="ar-SA"/>
        </w:rPr>
        <w:t>, was dismissed because the plaintiff's allegation that the realtors had not verified accuracy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information disclosed by the sellers for completeness was not supported by evidence of the existence of the duty of care alleged. The Court held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difficulty with this submission of the plaintiffs is that there is no evidence before me as to what information is usual or customary for brokers to verify. Put another way, is searching the Municipal Planning Department or the Public Library for notices or claims issued by a public body over two decades earlier a usual or customary step taken by a reasonable and prudent realtor?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authorities establish that in order to succeed in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realtor defendants, the plaintiff must prove on a balance of probabilities that:</w:t>
      </w:r>
      <w:r>
        <w:rPr>
          <w:rFonts w:ascii="arial" w:eastAsia="arial" w:hAnsi="arial" w:cs="arial"/>
          <w:sz w:val="20"/>
          <w:lang w:val="en-US" w:eastAsia="en-US" w:bidi="ar-SA"/>
        </w:rPr>
        <w:cr/>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realtor defendants were possessed a special skill;</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realtor defendants undertook to apply that skill for the assistance of the plaintiff;</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relied upon such skill;</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realtor defendants fell below the requisite standard of care of a reasonably prudent brokerage and real estate agent at the material time; and</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as a result of the breach of the standard of care by the realtor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Longshaw v. Houghton</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(1993), 29 R.P.R. (2d) 190</w:t>
        </w:r>
      </w:hyperlink>
      <w:r>
        <w:rPr>
          <w:rFonts w:ascii="arial" w:eastAsia="arial" w:hAnsi="arial" w:cs="arial"/>
          <w:color w:val="000000"/>
          <w:sz w:val="20"/>
          <w:lang w:val="en-US" w:eastAsia="en-US" w:bidi="ar-SA"/>
        </w:rPr>
        <w:t xml:space="preserve"> (B.C.S.C.) at 198-199, citing </w:t>
      </w:r>
      <w:r>
        <w:rPr>
          <w:rFonts w:ascii="arial" w:eastAsia="arial" w:hAnsi="arial" w:cs="arial"/>
          <w:i/>
          <w:color w:val="000000"/>
          <w:sz w:val="20"/>
          <w:lang w:val="en-US" w:eastAsia="en-US" w:bidi="ar-SA"/>
        </w:rPr>
        <w:t>Shulist v. Hunt</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(1987), 78 A.R. 188</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51 Alta. L.R. (2d) 69</w:t>
        </w:r>
      </w:hyperlink>
      <w:r>
        <w:rPr>
          <w:rFonts w:ascii="arial" w:eastAsia="arial" w:hAnsi="arial" w:cs="arial"/>
          <w:color w:val="000000"/>
          <w:sz w:val="20"/>
          <w:lang w:val="en-US" w:eastAsia="en-US" w:bidi="ar-SA"/>
        </w:rPr>
        <w:t xml:space="preserve"> (Q.B.); </w:t>
      </w:r>
      <w:r>
        <w:rPr>
          <w:rFonts w:ascii="arial" w:eastAsia="arial" w:hAnsi="arial" w:cs="arial"/>
          <w:i/>
          <w:color w:val="000000"/>
          <w:sz w:val="20"/>
          <w:lang w:val="en-US" w:eastAsia="en-US" w:bidi="ar-SA"/>
        </w:rPr>
        <w:t>Houweling v. Imperial Equestrian Centre Ltd.</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2001 BCSC 1551</w:t>
        </w:r>
      </w:hyperlink>
      <w:r>
        <w:rPr>
          <w:rFonts w:ascii="arial" w:eastAsia="arial" w:hAnsi="arial" w:cs="arial"/>
          <w:color w:val="000000"/>
          <w:sz w:val="20"/>
          <w:lang w:val="en-US" w:eastAsia="en-US" w:bidi="ar-SA"/>
        </w:rPr>
        <w:t xml:space="preserve"> at para. 30, aff'd </w:t>
      </w:r>
      <w:hyperlink r:id="rId269" w:history="1">
        <w:r>
          <w:rPr>
            <w:rFonts w:ascii="arial" w:eastAsia="arial" w:hAnsi="arial" w:cs="arial"/>
            <w:i/>
            <w:color w:val="0077CC"/>
            <w:sz w:val="20"/>
            <w:u w:val="single"/>
            <w:shd w:val="clear" w:color="auto" w:fill="FFFFFF"/>
            <w:lang w:val="en-US" w:eastAsia="en-US" w:bidi="ar-SA"/>
          </w:rPr>
          <w:t>2004 BCCA 119</w:t>
        </w:r>
      </w:hyperlink>
      <w:r>
        <w:rPr>
          <w:rFonts w:ascii="arial" w:eastAsia="arial" w:hAnsi="arial" w:cs="arial"/>
          <w:color w:val="000000"/>
          <w:sz w:val="20"/>
          <w:lang w:val="en-US" w:eastAsia="en-US" w:bidi="ar-SA"/>
        </w:rPr>
        <w:t xml:space="preserve"> at para. 5; </w:t>
      </w:r>
      <w:r>
        <w:rPr>
          <w:rFonts w:ascii="arial" w:eastAsia="arial" w:hAnsi="arial" w:cs="arial"/>
          <w:i/>
          <w:color w:val="000000"/>
          <w:sz w:val="20"/>
          <w:lang w:val="en-US" w:eastAsia="en-US" w:bidi="ar-SA"/>
        </w:rPr>
        <w:t>Brown SC</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overarching submissions of the realtor defendants is that the constituent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Beacock bears the burden of establishing the duty of care he seeks to impose upon the realtor defendants, both as to its nature and its extent. If he establishes that a duty of care exists, he must prove the standard of care and that the realtor defendants breached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realtor defendants acknowledge that they possessed special skills regarding real property sales and that they undertook to apply that skill for the assistance of Mr. Beacock. However, they submit that they had no special skills regarding the detection of marijuana grow operations. I agree.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Marijuana Grow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Prior to the completion of Mr. Beacock's purchase of the Property, Mr. Sabot had no knowledge that the Property previously had been used as a marijuana grow operation. There are only three ways in which the realtor defendants might have been expected to acquire that information:</w:t>
      </w:r>
      <w:r>
        <w:rPr>
          <w:rFonts w:ascii="arial" w:eastAsia="arial" w:hAnsi="arial" w:cs="arial"/>
          <w:sz w:val="20"/>
          <w:lang w:val="en-US" w:eastAsia="en-US" w:bidi="ar-SA"/>
        </w:rPr>
        <w:cr/>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any prior dealings with the Property;</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Morenos as vendors; and</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any obvious signs the Property was or had been a marijuana grow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the evidence, Mr. Sabot had no prior dealings with the Property or the Morenos. The Morenos did not tell Mr. Sabot about the previous use of the Property as a marijuana grow operation. There is no evidence the realtor defendants had any information that would or should have led Mr. Sabot to suspect the Property had been a marijuana grow operation. In fact, Mr. Beacock's evidence was that the Property appeared to be in exceptional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Beacock has not established that the realtor defendants had any special skill respecting the discovery of the marijuana grow operations or that they failed to meet the applicable standard of care in the circumstances.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Mr. Beacock did not rely on Mr. Sabot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Even if Mr. Sabot had possessed a special skill with respect to discovery of marijuana grow operations, Mr. Beacock has failed to prove that he relied upon such special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Mr. Beacock hired an inspector to conduct an inspection of the Property prior to the removal of the condition precedent clauses. Although a potential purchaser may be reliant upon the representations of the vendors or a realtor at an initial stage of the purchasing process, the special skill of an independent inspector may operate to prevent the purchaser from asserting ongoing reliance upon the lesser specialized skills of the vendor and realtor: </w:t>
      </w:r>
      <w:r>
        <w:rPr>
          <w:rFonts w:ascii="arial" w:eastAsia="arial" w:hAnsi="arial" w:cs="arial"/>
          <w:i/>
          <w:color w:val="000000"/>
          <w:sz w:val="20"/>
          <w:lang w:val="en-US" w:eastAsia="en-US" w:bidi="ar-SA"/>
        </w:rPr>
        <w:t>Lamontagne v. Andersen</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2005 BCSC 343</w:t>
        </w:r>
      </w:hyperlink>
      <w:r>
        <w:rPr>
          <w:rFonts w:ascii="arial" w:eastAsia="arial" w:hAnsi="arial" w:cs="arial"/>
          <w:color w:val="000000"/>
          <w:sz w:val="20"/>
          <w:lang w:val="en-US" w:eastAsia="en-US" w:bidi="ar-SA"/>
        </w:rPr>
        <w:t xml:space="preserve"> at paras. 60-62; </w:t>
      </w:r>
      <w:r>
        <w:rPr>
          <w:rFonts w:ascii="arial" w:eastAsia="arial" w:hAnsi="arial" w:cs="arial"/>
          <w:i/>
          <w:color w:val="000000"/>
          <w:sz w:val="20"/>
          <w:lang w:val="en-US" w:eastAsia="en-US" w:bidi="ar-SA"/>
        </w:rPr>
        <w:t>Liversidge v. Wang</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2013 BCSC 930</w:t>
        </w:r>
      </w:hyperlink>
      <w:r>
        <w:rPr>
          <w:rFonts w:ascii="arial" w:eastAsia="arial" w:hAnsi="arial" w:cs="arial"/>
          <w:color w:val="000000"/>
          <w:sz w:val="20"/>
          <w:lang w:val="en-US" w:eastAsia="en-US" w:bidi="ar-SA"/>
        </w:rPr>
        <w:t xml:space="preserve"> at paras. 34-36.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This proposition, however, is not applicable in all cases. The question of reliance is at its core a question of fact: </w:t>
      </w:r>
      <w:r>
        <w:rPr>
          <w:rFonts w:ascii="arial" w:eastAsia="arial" w:hAnsi="arial" w:cs="arial"/>
          <w:i/>
          <w:color w:val="000000"/>
          <w:sz w:val="20"/>
          <w:lang w:val="en-US" w:eastAsia="en-US" w:bidi="ar-SA"/>
        </w:rPr>
        <w:t>Hanslo v. Barry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2011 BCSC 1624</w:t>
        </w:r>
      </w:hyperlink>
      <w:r>
        <w:rPr>
          <w:rFonts w:ascii="arial" w:eastAsia="arial" w:hAnsi="arial" w:cs="arial"/>
          <w:color w:val="000000"/>
          <w:sz w:val="20"/>
          <w:lang w:val="en-US" w:eastAsia="en-US" w:bidi="ar-SA"/>
        </w:rPr>
        <w:t xml:space="preserve"> at paras. 124-128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the alleged defect was with respect to a culvert on the property, not the home itself. The inspector provided an opinion on the condition of the home, not the land. The Court found that in all the circumstances, the inspection would not have discovered the culvert or the past history of the flooding. The Court concluded that the purchaser was entitled to continue to rely on the vendor's representations on the PDS and the plaintiff purchaser was entitled to recover damages against the vendor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I mentioned, Mr. Beacock retained a home inspector who performed the inspection on July 19, 2005. In his examination in chief, Mr. Beacock maintained that given the inspector's experience, which was primarily in construction and boat building, he did not regard him as a very knowledgeable person. He says he accorded more weight to Mr. Sabot's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cross-examination, however, Mr. Beacock admitted that he expected that the building inspector had a different skill set than a realtor. He expected that the building inspector would identify visible potential or existing deficiencies. Mr. Beacock admitted that the inspector warned him that the home inspection would not identify any issues that were not visible, such as moisture issues behind the walls. Mr. Beacock met with the home inspector following the inspection and discussed the home inspector's findings, including the comment "evidence of past hydroponic activity". The Inspection Report also noted cracks in the exterior of the home and recommended sealing to reduce the "chance of water infusion into wall components resulting in water damage/rot". Mr. Beacock acknowledges that he relied on the inspector in making his decision to remove the condition precedent clauses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Balancing the evidence as a whole, I find that Mr. Beacock relied upon the home inspector (and for that matter, the PDS), not Mr. Sabot, for determining the condition of the Property. Mr. Beacock decided to remove the condition precedent clauses and complete the purchase despite the disclosure in the Inspection Report.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realtor defendants provided all relevant information in a timely manner - no negligent failure to apply specialized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defendants submit that there was no evidence regarding the standard of care with respect to the timing of the provision of pertinent documents and information at the material time. The authorities establish that expert evidence is not necessary to establish a standard of care based on common experience: </w:t>
      </w:r>
      <w:r>
        <w:rPr>
          <w:rFonts w:ascii="arial" w:eastAsia="arial" w:hAnsi="arial" w:cs="arial"/>
          <w:i/>
          <w:color w:val="000000"/>
          <w:sz w:val="20"/>
          <w:lang w:val="en-US" w:eastAsia="en-US" w:bidi="ar-SA"/>
        </w:rPr>
        <w:t>Brown SC</w:t>
      </w:r>
      <w:r>
        <w:rPr>
          <w:rFonts w:ascii="arial" w:eastAsia="arial" w:hAnsi="arial" w:cs="arial"/>
          <w:color w:val="000000"/>
          <w:sz w:val="20"/>
          <w:lang w:val="en-US" w:eastAsia="en-US" w:bidi="ar-SA"/>
        </w:rPr>
        <w:t xml:space="preserve"> at para. 38. If a court is able to say that a breach is egregious and obvious based on the experience of an ordinary person, expert evidence is not required; </w:t>
      </w:r>
      <w:r>
        <w:rPr>
          <w:rFonts w:ascii="arial" w:eastAsia="arial" w:hAnsi="arial" w:cs="arial"/>
          <w:i/>
          <w:color w:val="000000"/>
          <w:sz w:val="20"/>
          <w:lang w:val="en-US" w:eastAsia="en-US" w:bidi="ar-SA"/>
        </w:rPr>
        <w:t>Cosway v. Boorman's Investment Co. Ltd.</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2008 BCSC 1482</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not satisfied that the evidence establishes that the manner or timing of the provision of the real estate documents and other information by Mr. Sabot fell below the applicable standard of care of a reasonably prudent real estate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Beacock's claim fails either because there is no expert evidence on the point or on the grounds that Mr. Beacock has not established that the realtor defendants breached their duty of care based on common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so far as Mr. Beacock makes any allegation about not being provided with a site survey, there is no evidence that a site survey was available, expected, or relevant to the Property. In any case, I accept Mr. Sabot's evidence, as refreshed by his notes, that, on July 5, 2005, he checked with the City of Chilliwack and there was no site survey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Balancing the evidence as a whole, I find that the PDS and the brochure entitled Your Relationship with A Realtor were provided to Mr. Beacock well in advance of the home inspection. The timing of Mr. Sabot's provision of documents relating to the Property, and in particular the PDS and the "Working With a Realtor" brochure was reasonable in all the circumstances. Furthermore, even if these documents were delivered to Mr. Beacock on July 19, 2005 as he alleges, the evidence does not establish that would have materially changed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so far as Mr. Beacock alleges that he should have been provided with the MLS listings so he could compare room sizes, the evidence establishes that, Mr. Beacock knew prior to making any offer to purchase the Property, that the Morenos had renovated the basement. As for price, as I stated earlier, Mr. Beacock indicated in his first communication with Mr. Sabot that he had formulated a price if he decided to proceed with making an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To the extent Mr. Beacock advances a claim against the realtor defendants that the Morenos performed renovations to the Property without the requisite permits, I find that Mr. Sabot had no knowledge regarding permits on the Property nor did he make any representations to Mr. Beacock in this regard. Moreover, the evidence does not establish that the Morenos in fact performed renovations without the requisite permits or that updated permits had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Beacock also alleges that Mr. Sabot did not have authority from the vendors to accept an offer of $290,000 at the time Mr. Beacock first viewed the Property. This allegation is of no moment because the vendors ultimately accepted Mr. Beacock's offer to purchase the Property for $290,000.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After the completion of the sale of the Property, the Morenos did purchase two townhouses with Mr. Sabot acting as their real estate agent. Mr. Sabot acknowledged that he never told Mr. Beacock that the Morenos had another contract to purchase a different property, which was subject to the sale of the Property. If Mr. Sabot had disclosed that information to Mr. Beacock, this would have constituted a breach of the Agreement, as clause 3B.(ii) states that the dual agent "will not disclose the motivation of the ...Seller...to sell...unless authorized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summary, balancing the evidence as a whole, I find that Mr. Beacock has not established that the realtor defendants negligently failed to apply their specialized skills regarding the sale of real property.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Did Mr. Beacock suffer damage as a result of the alleged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have concluded that Mr. Beacock has not established that the realtor defendants negligently failed to apply their specialized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For completeness, I will nevertheless address the final constituent element in proving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Mr. Beacock established that he suffered damage as a result if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realtor defendants? For the reasons that follow, I find that he has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so far as Mr. Beacock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realtor defendants regarding the previous use of the Property as a marijuana grow operation, I am not persuaded Mr. Beacock suffered any damage as a result of any alleged failures on the part of the realtor defendants. The plain fact is that Mr. Beacock was informed by the home inspector that there was evidence of past hydroponic activity and yet he chose to remove the condition precedent clauses and complete the purchase of the Property. Put another way and to the same effect, Mr. Beacock has failed to prove on a balance of probabilities that but for Mr. Sabot's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would not have suffered the loss 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is no cogent evidence establishing that Mr. Beacock suffered damage as a result of any alleged failures regarding the delivery of documents pertaining to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sum, having not proved its constituent elements, Mr. Beacock's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realtor defendants cannot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legal framework for establishing a claim for negligent misrepresentation was articulated by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The Supreme Court of Canada articulated a five-part test for determining liability in a negligent misrepresentation claim. The five constituent elements are:</w:t>
      </w:r>
      <w:r>
        <w:rPr>
          <w:rFonts w:ascii="arial" w:eastAsia="arial" w:hAnsi="arial" w:cs="arial"/>
          <w:sz w:val="20"/>
          <w:lang w:val="en-US" w:eastAsia="en-US" w:bidi="ar-SA"/>
        </w:rPr>
        <w:cr/>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representee;</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inaccurate, or misleading;</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they suffered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test bears some similarity to the test for fraudulent misrepresentation. Crucially, however, there is a key additional requirement of reasonable reliance. In </w:t>
      </w:r>
      <w:r>
        <w:rPr>
          <w:rFonts w:ascii="arial" w:eastAsia="arial" w:hAnsi="arial" w:cs="arial"/>
          <w:i/>
          <w:color w:val="000000"/>
          <w:sz w:val="20"/>
          <w:lang w:val="en-US" w:eastAsia="en-US" w:bidi="ar-SA"/>
        </w:rPr>
        <w:t>Hamilton v. Callaway</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2016 BCCA 189</w:t>
        </w:r>
      </w:hyperlink>
      <w:r>
        <w:rPr>
          <w:rFonts w:ascii="arial" w:eastAsia="arial" w:hAnsi="arial" w:cs="arial"/>
          <w:color w:val="000000"/>
          <w:sz w:val="20"/>
          <w:lang w:val="en-US" w:eastAsia="en-US" w:bidi="ar-SA"/>
        </w:rPr>
        <w:t xml:space="preserve"> at para. 51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 Madam Justice MacKenzie explained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...negligent misrepresentation requires the purchaser to have </w:t>
      </w:r>
      <w:r>
        <w:rPr>
          <w:rFonts w:ascii="arial" w:eastAsia="arial" w:hAnsi="arial" w:cs="arial"/>
          <w:i/>
          <w:color w:val="000000"/>
          <w:sz w:val="20"/>
          <w:lang w:val="en-US" w:eastAsia="en-US" w:bidi="ar-SA"/>
        </w:rPr>
        <w:t>reasonably</w:t>
      </w:r>
      <w:r>
        <w:rPr>
          <w:rFonts w:ascii="arial" w:eastAsia="arial" w:hAnsi="arial" w:cs="arial"/>
          <w:color w:val="000000"/>
          <w:sz w:val="20"/>
          <w:lang w:val="en-US" w:eastAsia="en-US" w:bidi="ar-SA"/>
        </w:rPr>
        <w:t xml:space="preserve"> relied on the misrepresentation, whereas fraudulent misrepresentation requires only that the purchaser was induced to enter the contract in reliance upon the 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this case, the first element of the legal test is clearly satisfied. The realtor defendants acknowledge that they undertook to apply a special skill for the benefit of Mr. Beacock regarding the purchase of the Property. It is well-established that a real estate agent is under a legal obligation to exercise due care and skill in the performance of the duties which they have undertaken: see </w:t>
      </w:r>
      <w:r>
        <w:rPr>
          <w:rFonts w:ascii="arial" w:eastAsia="arial" w:hAnsi="arial" w:cs="arial"/>
          <w:i/>
          <w:color w:val="000000"/>
          <w:sz w:val="20"/>
          <w:lang w:val="en-US" w:eastAsia="en-US" w:bidi="ar-SA"/>
        </w:rPr>
        <w:t>Charter-York Ltd. v. Hurst</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[1978], 2 R.P.R. 272</w:t>
        </w:r>
      </w:hyperlink>
      <w:r>
        <w:rPr>
          <w:rFonts w:ascii="arial" w:eastAsia="arial" w:hAnsi="arial" w:cs="arial"/>
          <w:color w:val="000000"/>
          <w:sz w:val="20"/>
          <w:lang w:val="en-US" w:eastAsia="en-US" w:bidi="ar-SA"/>
        </w:rPr>
        <w:t xml:space="preserve"> (Ont. H.C.), leave to appeal to S.C.C. ref'd </w:t>
      </w:r>
      <w:hyperlink r:id="rId277" w:history="1">
        <w:r>
          <w:rPr>
            <w:rFonts w:ascii="arial" w:eastAsia="arial" w:hAnsi="arial" w:cs="arial"/>
            <w:i/>
            <w:color w:val="0077CC"/>
            <w:sz w:val="20"/>
            <w:u w:val="single"/>
            <w:shd w:val="clear" w:color="auto" w:fill="FFFFFF"/>
            <w:lang w:val="en-US" w:eastAsia="en-US" w:bidi="ar-SA"/>
          </w:rPr>
          <w:t>(1979), 28 N.R. 616</w:t>
        </w:r>
      </w:hyperlink>
      <w:r>
        <w:rPr>
          <w:rFonts w:ascii="arial" w:eastAsia="arial" w:hAnsi="arial" w:cs="arial"/>
          <w:color w:val="000000"/>
          <w:sz w:val="20"/>
          <w:lang w:val="en-US" w:eastAsia="en-US" w:bidi="ar-SA"/>
        </w:rPr>
        <w:t xml:space="preserve"> (note) (S.C.C.). A professional implicitly promises to use reasonable care and skill: </w:t>
      </w:r>
      <w:r>
        <w:rPr>
          <w:rFonts w:ascii="arial" w:eastAsia="arial" w:hAnsi="arial" w:cs="arial"/>
          <w:i/>
          <w:color w:val="000000"/>
          <w:sz w:val="20"/>
          <w:lang w:val="en-US" w:eastAsia="en-US" w:bidi="ar-SA"/>
        </w:rPr>
        <w:t>Oliver v. Ellison</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2001 BCCA 359</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Although a duty of care exists between the parties, I have found earlier in these Reasons that Mr. Sabot made no untrue, inaccurate or misleading representations to Mr. Beacock regarding the prior use of the Property as a marijuana grow operation. Therefore, Mr. Beacock's claim in negligent misrepresentation against the realtor defendants fails at the second stage of the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 next address Mr. Beacock's claim in contract. While this point was not developed in his submissions, the claim for breach of contract mirrors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 implied term of a real estate agent's contract is the exercise of reasonable care and skill: </w:t>
      </w:r>
      <w:r>
        <w:rPr>
          <w:rFonts w:ascii="arial" w:eastAsia="arial" w:hAnsi="arial" w:cs="arial"/>
          <w:i/>
          <w:color w:val="000000"/>
          <w:sz w:val="20"/>
          <w:lang w:val="en-US" w:eastAsia="en-US" w:bidi="ar-SA"/>
        </w:rPr>
        <w:t>Charter-York Ltd. v. Hurst</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(1978) 2 R.P.R. 272</w:t>
        </w:r>
      </w:hyperlink>
      <w:r>
        <w:rPr>
          <w:rFonts w:ascii="arial" w:eastAsia="arial" w:hAnsi="arial" w:cs="arial"/>
          <w:color w:val="000000"/>
          <w:sz w:val="20"/>
          <w:lang w:val="en-US" w:eastAsia="en-US" w:bidi="ar-SA"/>
        </w:rPr>
        <w:t xml:space="preserve"> (Ont. H.C.J.); </w:t>
      </w:r>
      <w:r>
        <w:rPr>
          <w:rFonts w:ascii="arial" w:eastAsia="arial" w:hAnsi="arial" w:cs="arial"/>
          <w:i/>
          <w:color w:val="000000"/>
          <w:sz w:val="20"/>
          <w:lang w:val="en-US" w:eastAsia="en-US" w:bidi="ar-SA"/>
        </w:rPr>
        <w:t>Phelan v. Realty World</w:t>
      </w:r>
      <w:r>
        <w:rPr>
          <w:rFonts w:ascii="arial" w:eastAsia="arial" w:hAnsi="arial" w:cs="arial"/>
          <w:color w:val="000000"/>
          <w:sz w:val="20"/>
          <w:lang w:val="en-US" w:eastAsia="en-US" w:bidi="ar-SA"/>
        </w:rPr>
        <w:t xml:space="preserve"> (1994), </w:t>
      </w:r>
      <w:hyperlink r:id="rId264" w:history="1">
        <w:r>
          <w:rPr>
            <w:rFonts w:ascii="arial" w:eastAsia="arial" w:hAnsi="arial" w:cs="arial"/>
            <w:i/>
            <w:color w:val="0077CC"/>
            <w:sz w:val="20"/>
            <w:u w:val="single"/>
            <w:shd w:val="clear" w:color="auto" w:fill="FFFFFF"/>
            <w:lang w:val="en-US" w:eastAsia="en-US" w:bidi="ar-SA"/>
          </w:rPr>
          <w:t>[1994] B.C.J. No. 752</w:t>
        </w:r>
      </w:hyperlink>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Given that the claim in contract mirrors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fails for the same reasons set out above. Mr. Beacock has not established that the realtor defendants failed to exercise the skills of a reasonably prudent real estate agent and real estate brokerage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For completeness, I also note that the Agreement, dated July 13, 2005, reads, in part:</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Buyer/Tenant and the Seller/Landlord acknowledge and agree that with respect to the purchase and sale or lease of the Property the Brokerage and its Licensees (as defined below) will be the agent for both the Buyer/Tenant and the Seller/Landlord and will represent both parties as a limited dual agent with the following changes and limitations to its duties as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Clause 3B, the Brokerage will disclose to the Buyer/Tenant defects about the physical condition of the Property known to the Brokerage.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Sabot did not have knowledge of any defects, whether related to mould, the Moisture Problems as I have defined in para.163, or the previous use of the Property as a marijuana grow operation. Therefore, I am not persuaded that the realtor defendants breached clause 3C of the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order to succeed on a claim of fraudulent misrepresentation, the plaintiff must establish the following elements:</w:t>
      </w:r>
      <w:r>
        <w:rPr>
          <w:rFonts w:ascii="arial" w:eastAsia="arial" w:hAnsi="arial" w:cs="arial"/>
          <w:sz w:val="20"/>
          <w:lang w:val="en-US" w:eastAsia="en-US" w:bidi="ar-SA"/>
        </w:rPr>
        <w:cr/>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a representation of fact to the plaintiff;</w:t>
      </w:r>
    </w:p>
    <w:p>
      <w:pPr>
        <w:numPr>
          <w:numId w:val="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false in fact;</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the representation was false when it was made, or made the false representation recklessly, not knowing if it was true or false;</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intended the plaintiff to act on the representation;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induced to enter into the contract in reliance upon the false representation and thereby suffered a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Wang v. Shao</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2018 BCSC 377</w:t>
        </w:r>
      </w:hyperlink>
      <w:r>
        <w:rPr>
          <w:rFonts w:ascii="arial" w:eastAsia="arial" w:hAnsi="arial" w:cs="arial"/>
          <w:color w:val="000000"/>
          <w:sz w:val="20"/>
          <w:lang w:val="en-US" w:eastAsia="en-US" w:bidi="ar-SA"/>
        </w:rPr>
        <w:t xml:space="preserve">, rev'd </w:t>
      </w:r>
      <w:hyperlink r:id="rId280" w:history="1">
        <w:r>
          <w:rPr>
            <w:rFonts w:ascii="arial" w:eastAsia="arial" w:hAnsi="arial" w:cs="arial"/>
            <w:i/>
            <w:color w:val="0077CC"/>
            <w:sz w:val="20"/>
            <w:u w:val="single"/>
            <w:shd w:val="clear" w:color="auto" w:fill="FFFFFF"/>
            <w:lang w:val="en-US" w:eastAsia="en-US" w:bidi="ar-SA"/>
          </w:rPr>
          <w:t>2019 BCCA 130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have found earlier in these Reasons that Mr. Sabot made no false representations to Mr. Beacock regarding the prior use of the Property as a marijuana grow operation. Moreover, and in any event, I find that the evidence does not establish that Mr. Sabot made any false representations whatsoever to Mr. Beacock.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is submitted on behalf of the realtor defendants that Mr. Beacock has failed to establish the constituent elements to succeed a claim for fraudulent misrepresentation.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Finally, other than with Mr. Sabot and a single limited interaction with another realtor, there is no evidence that Mr. Beacock had any communications with any principals, employees, or agents of the defendant Wheeler. Having not proven any liability on the part of Mr. Sabot, the defendant Wheeler cannot be held vicariously liable in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For the reasons set out above, Mr. Beacock's claim against the realtor defendants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AGAINST THE MORENOS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Beacock, who did not have the benefit of the assistance of legal counsel at trial, did not refer to the applicable law or otherwise develop his submissions regarding his claim against the Morenos. To compound the challenges, the Court did not have the benefit of any submissions from the Morenos, who, as I indicated earlier, did not attend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his amended notice of civil claim filed in December 2015, Mr. Beacock primarily framed his claim against the Morenos as a claim for fraud. His pleadings state in part:</w:t>
      </w:r>
      <w:r>
        <w:rPr>
          <w:rFonts w:ascii="arial" w:eastAsia="arial" w:hAnsi="arial" w:cs="arial"/>
          <w:sz w:val="20"/>
          <w:lang w:val="en-US" w:eastAsia="en-US" w:bidi="ar-SA"/>
        </w:rPr>
        <w:cr/>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13th, 2005 the Moreno provided a written Residential Property Disclosure Statement dated July 4th, 2005 to Beacock. In the said Disclosure Statement the Morenos gave the following responses to the following questions in Section 2 of the Disclosure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"STRUCTURAL</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additions or alterations made without a required permit and final inspection? Answer: No</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moisture and/or water problems in the walls, basement or crawl space? Answer: No</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if the premises or property have been used as a marijuana grow operation or to manufacture illegal drugs? Answer: No.</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Morenos knew that each one of their negative responses to the aforesaid Questions F., J., K, and P. were false.</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Morenos knew or ought to have known that the Plaintiff Beacock, in deciding to purchase the Defendants' property was relying upon the truthfulness of the Morenos's responses to the above four questions in the said Disclosure Statement, as well as the remaining answers in the disclosure Statement.</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Morenos knew that any purchaser, in particular the Plaintiff Beacock and his family would likely suffer damages, injury and loss if they acted in reliance upon the answers the Morenos provided to the above four questions.</w:t>
      </w:r>
    </w:p>
    <w:p>
      <w:pPr>
        <w:numPr>
          <w:numId w:val="6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Morenos also committed fraud upon the Plaintiff when selling their property to the plaintiff Beacock. Particulars of such fraud includes:</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Morenos were aware that the house had been used as Marijuana Grow Operation and failed to disclose that fact to the plaintiff Beacock;</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Morenos knew that there were extensive moisture problems in the house particularly in the basement, and failed to disclose that fact to the Plaintiff Beacock;</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Morenos built a raised wooden floor over the basement concrete floor, which to the knowledge of the Morenos [covered up hidden moisture problems underneath that raised wooden floor]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Concealed cracks in the basement cement floor from the plaintiff Beacock, which cracks had been temporarily and improperly repaired by the Morenos and which repairs Morenos knew or ought to have known would not prevent moisture from seeping through the basement floor after the Plaintiff moved in.</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Morenos made temporary repairs to cracks in the basement foundation walls that they knew [would not prevent water ingress into the house after the Plaintiffs moved in:]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or ought to have known would not prevent water ingress into the house through those walls after the Plaintiffs moved in: and the Morenos built walls which concealed those cracks from the view of Beacock.</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Morenos installed electrical wiring in the house and out to the attached garage without obtaining electrical permits from the City of Chilliwack.</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[Fernando Moreno told Beacock before July 13th, 2005 that he had obtained electrical permits from the City of Chilliwack for 220 volt wiring he had installed to the garage and that he had hired a licensed electrician to install the said writing.]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Morenos with their son who was a plumber or is, did plumbing to the house which would require a permit when they installed a wet bar and a washroom in the basement. When they installed the drain from the wet bar it was not hooked up but drained on to the basement floor close to the sump not the sewer system. They had or ought to have known it would cause moisture problems under the floor they installed.</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Morenos knew that the house was not habitable because of the moisture problems or else they knew that the house eventually would be unfit for habitation and that the Plaintiffs would suffer damages and loss including the costs of removing and replacement damaged floors, walls and other structural and non-structural components in the house.</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Morenos knew that it was likely that all of the electrical wiring installed by the Morenos would have to be replaced by a licensed electrician, with proper permits being taken out for the work from the City of Chilliwack.</w:t>
      </w:r>
    </w:p>
    <w:p>
      <w:pPr>
        <w:numPr>
          <w:numId w:val="7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Morenos had to have known or ought to have known that the plaintiff's home insurance would be voided if there was ever a need to make a claim. The Contract of Purchase or Sale had included the subject to be able to buy suitable insurance</w:t>
      </w:r>
      <w:r>
        <w:rPr>
          <w:rFonts w:ascii="arial" w:eastAsia="arial" w:hAnsi="arial" w:cs="arial"/>
          <w:color w:val="000000"/>
          <w:sz w:val="20"/>
          <w:lang w:val="en-US" w:eastAsia="en-US" w:bidi="ar-SA"/>
        </w:rPr>
        <w:t>.</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Morenos because of their fraudulent representation and disclosure caused the home insurance of the plaintiff to be deemed void and there for responsible for an equal amount of compensation as if their insurance had not been voided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house its self, the Plaintiffs have suffered damages including:</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 due to past and continuing moisture ingress into the house through the basement through the basement floors and wall; </w:t>
      </w:r>
      <w:r>
        <w:rPr>
          <w:rFonts w:ascii="arial" w:eastAsia="arial" w:hAnsi="arial" w:cs="arial"/>
          <w:color w:val="000000"/>
          <w:sz w:val="20"/>
          <w:u w:val="single"/>
          <w:lang w:val="en-US" w:eastAsia="en-US" w:bidi="ar-SA"/>
        </w:rPr>
        <w:t>damage from mold to furniture two beds, two dressers and loss of personal effects</w:t>
      </w:r>
      <w:r>
        <w:rPr>
          <w:rFonts w:ascii="arial" w:eastAsia="arial" w:hAnsi="arial" w:cs="arial"/>
          <w:color w:val="000000"/>
          <w:sz w:val="20"/>
          <w:lang w:val="en-US" w:eastAsia="en-US" w:bidi="ar-SA"/>
        </w:rPr>
        <w:t>.</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to drywall and structural components due to the past effects of the Marijuana Grow Operation and/or the past and continuing moisture problems in the house; </w:t>
      </w:r>
      <w:r>
        <w:rPr>
          <w:rFonts w:ascii="arial" w:eastAsia="arial" w:hAnsi="arial" w:cs="arial"/>
          <w:color w:val="000000"/>
          <w:sz w:val="20"/>
          <w:u w:val="single"/>
          <w:lang w:val="en-US" w:eastAsia="en-US" w:bidi="ar-SA"/>
        </w:rPr>
        <w:t>damages to floors, walls and building envelope</w:t>
      </w:r>
      <w:r>
        <w:rPr>
          <w:rFonts w:ascii="arial" w:eastAsia="arial" w:hAnsi="arial" w:cs="arial"/>
          <w:color w:val="000000"/>
          <w:sz w:val="20"/>
          <w:lang w:val="en-US" w:eastAsia="en-US" w:bidi="ar-SA"/>
        </w:rPr>
        <w:t>.</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to flooring due to the past and continuing moisture problems in the house; </w:t>
      </w:r>
      <w:r>
        <w:rPr>
          <w:rFonts w:ascii="arial" w:eastAsia="arial" w:hAnsi="arial" w:cs="arial"/>
          <w:color w:val="000000"/>
          <w:sz w:val="20"/>
          <w:u w:val="single"/>
          <w:lang w:val="en-US" w:eastAsia="en-US" w:bidi="ar-SA"/>
        </w:rPr>
        <w:t>loss of use and enjoyment</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Extensive mold growth throughout the house in the walls, ceilings, floors and structural components caused by the past and continuing moisture problems and the former Marijuana Grow Operation; </w:t>
      </w:r>
      <w:r>
        <w:rPr>
          <w:rFonts w:ascii="arial" w:eastAsia="arial" w:hAnsi="arial" w:cs="arial"/>
          <w:color w:val="000000"/>
          <w:sz w:val="20"/>
          <w:u w:val="single"/>
          <w:lang w:val="en-US" w:eastAsia="en-US" w:bidi="ar-SA"/>
        </w:rPr>
        <w:t>loss of contents due to fire</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extensive mold found to exist throughout the house, the Plaintiffs suffered injury and extensive health problems and continue to suffer injury and health problems all related to the existence of the mold, particulars of which will be provided when known and as requested.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next examine the legal principles that inform the analysis of Mr. Beacock's claim against the Morenos.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the absence of any warranties or guarantees as to the fitness of a property, the starting point in the analysis is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or "buyer beware":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at para.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Although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has evolved in the jurisprudence, the doctrine, subject to certain exceptions, continues to apply to real estate transactions in BC. In </w:t>
      </w:r>
      <w:r>
        <w:rPr>
          <w:rFonts w:ascii="arial" w:eastAsia="arial" w:hAnsi="arial" w:cs="arial"/>
          <w:i/>
          <w:color w:val="000000"/>
          <w:sz w:val="20"/>
          <w:lang w:val="en-US" w:eastAsia="en-US" w:bidi="ar-SA"/>
        </w:rPr>
        <w:t>Nixon v. MacIver</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2016 BCCA 8</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the Court's distillation of the animating principles, is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summary,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remains very much alive in the context of real estate transactions in BC: </w:t>
      </w:r>
      <w:r>
        <w:rPr>
          <w:rFonts w:ascii="arial" w:eastAsia="arial" w:hAnsi="arial" w:cs="arial"/>
          <w:i/>
          <w:color w:val="000000"/>
          <w:sz w:val="20"/>
          <w:lang w:val="en-US" w:eastAsia="en-US" w:bidi="ar-SA"/>
        </w:rPr>
        <w:t>Fraser-Reid; Cardwell CA; Wescan CA</w:t>
      </w:r>
      <w:r>
        <w:rPr>
          <w:rFonts w:ascii="arial" w:eastAsia="arial" w:hAnsi="arial" w:cs="arial"/>
          <w:color w:val="000000"/>
          <w:sz w:val="20"/>
          <w:lang w:val="en-US" w:eastAsia="en-US" w:bidi="ar-SA"/>
        </w:rPr>
        <w:t xml:space="preserve">. In general, purchasers bear the risk of defects in the quality of a property. Liability for this risk may shift to the vendor where there is established: (i) a breach of contract; (ii) active concealment (i.e., fraud); (iii) non-innocent misrepresentation; or (iv) an implied warranty of habitability in the case of newly-constructed homes. Liability for this risk may also shift where latent defects are established that render a property dangerous or uninhabitable. </w:t>
      </w:r>
      <w:r>
        <w:rPr>
          <w:rFonts w:ascii="arial" w:eastAsia="arial" w:hAnsi="arial" w:cs="arial"/>
          <w:color w:val="000000"/>
          <w:sz w:val="20"/>
          <w:u w:val="single"/>
          <w:lang w:val="en-US" w:eastAsia="en-US" w:bidi="ar-SA"/>
        </w:rPr>
        <w:t>In short, a vendor has a common law duty to disclose: (i) a latent defect that is not discoverable through a reasonable inspection or through reasonable inquiries; and (ii) the latent defect renders the property dangerous or unfit for habitation. If a defect does not render a property dangerous or uninhabitable, caveat emptor applies regardless of whether the defect in question is patent or latent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Based upon his pleadings Mr. Beacock seeks to be exempted from the application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due to the Morenos' alleged non-disclosure of two defects: the marijuana grow operation and extensive moisture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Latent or Patent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distinction between a latent and patent defect is central to the analysis of a vendor's common law obligation of disclosure in a real estate transaction. In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aff'd </w:t>
      </w:r>
      <w:hyperlink r:id="rId283"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Madam Justice Ballance explained the difference and the relevance of the distinction to the vendor's obligation to disclose: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distinction between patent and latent defects is central to a vendor's obligation of disclosure under the doctrine. Patent defects are those that can be discovered by conducting a reasonable inspection and making reasonable inquiries about the property. The authorities provide some guidance about the extent of the purchaser's obligation to inspect and make inquiries. The extent of that obligation is, in some respects, the demarcation of the distinction between latent and patent defects. In general, there is a fairly high onus on the purchaser to inspect and discover patent defects. </w:t>
      </w:r>
      <w:r>
        <w:rPr>
          <w:rFonts w:ascii="arial" w:eastAsia="arial" w:hAnsi="arial" w:cs="arial"/>
          <w:color w:val="000000"/>
          <w:sz w:val="20"/>
          <w:u w:val="single"/>
          <w:lang w:val="en-US" w:eastAsia="en-US" w:bidi="ar-SA"/>
        </w:rPr>
        <w:t>This means that a defect which might not be observable on a casual inspection may nonetheless be patent if it would have been discoverable upon a reasonable inspection by a qualified person ... In some cases, it necessitates a purchaser retaining the appropriate experts to inspect the property</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Eberts v. Aitchison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(2000), 4 C.L.R. (3d) 248</w:t>
        </w:r>
      </w:hyperlink>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2000 BCSC 1103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 latent defect is one that is not discoverable by a prospective purchaser through reasonable inspection inquiries: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at para. 34.The distinction between a patent or latent defect is a question of fact, involving the consideration of such issues as the nature of the defect, its importance to the purchaser and the extent of the inspection and inquiry that would be both reasonable in the circumstances and necessary to reveal the defect. The reasonable standard of inspection has been described in the authorities as a fairly high standard of inspection: </w:t>
      </w:r>
      <w:r>
        <w:rPr>
          <w:rFonts w:ascii="arial" w:eastAsia="arial" w:hAnsi="arial" w:cs="arial"/>
          <w:i/>
          <w:color w:val="000000"/>
          <w:sz w:val="20"/>
          <w:lang w:val="en-US" w:eastAsia="en-US" w:bidi="ar-SA"/>
        </w:rPr>
        <w:t>Sahamis v. Lenz</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2014 BCSC 2305</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 vendor has an obligation to disclose a latent defect to a prospective buyer if that defect renders a property dangerous or unfit for habitation. If a latent defect does not render a property dangerous or uninhabitable,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regardless of whether the defect is patent or latent: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If defects are not discovered or known by either party, the imposition of liability is not appropriate. However, an absence of fraudulent intent or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preclude a finding against a vendor who has knowledge of but fails to disclose such a latent defect in the property: </w:t>
      </w:r>
      <w:r>
        <w:rPr>
          <w:rFonts w:ascii="arial" w:eastAsia="arial" w:hAnsi="arial" w:cs="arial"/>
          <w:i/>
          <w:color w:val="000000"/>
          <w:sz w:val="20"/>
          <w:lang w:val="en-US" w:eastAsia="en-US" w:bidi="ar-SA"/>
        </w:rPr>
        <w:t>Cresswell Investments Ltd. v. Pavone</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2011 BCSC 1069</w:t>
        </w:r>
      </w:hyperlink>
      <w:r>
        <w:rPr>
          <w:rFonts w:ascii="arial" w:eastAsia="arial" w:hAnsi="arial" w:cs="arial"/>
          <w:color w:val="000000"/>
          <w:sz w:val="20"/>
          <w:lang w:val="en-US" w:eastAsia="en-US" w:bidi="ar-SA"/>
        </w:rPr>
        <w:t xml:space="preserve"> at paras. 47, 34 [</w:t>
      </w:r>
      <w:r>
        <w:rPr>
          <w:rFonts w:ascii="arial" w:eastAsia="arial" w:hAnsi="arial" w:cs="arial"/>
          <w:i/>
          <w:color w:val="000000"/>
          <w:sz w:val="20"/>
          <w:lang w:val="en-US" w:eastAsia="en-US" w:bidi="ar-SA"/>
        </w:rPr>
        <w:t>Cresswell Investments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Gibb v. Sprague</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2008 ABQB 298</w:t>
        </w:r>
      </w:hyperlink>
      <w:r>
        <w:rPr>
          <w:rFonts w:ascii="arial" w:eastAsia="arial" w:hAnsi="arial" w:cs="arial"/>
          <w:color w:val="000000"/>
          <w:sz w:val="20"/>
          <w:lang w:val="en-US" w:eastAsia="en-US" w:bidi="ar-SA"/>
        </w:rPr>
        <w:t>, a purchaser discovered mould in basement walls after purchasing a home. The home had been subject to a home inspection, which did not detect mould growth or moisture issues. The court found the defect to be latent,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With respect to the Basement Defect, it is highly unlikely that an ordinary purchaser such as the Plaintiffs, could during the course of a reasonable inspection of the House, have uncovered the mould which gives rise to the Basement Defect. In this sense, although the husband Plaintiff affirmed during cross examination, that on the initial inspection of the basement, he thought the basement smelled "musty", and that the wife Plaintiff testified that on such inspection, she observed an undeterminable smell in the basement, this in itself is not sufficient to warrant a finding that the Basement Defect was a patent defect. </w:t>
      </w:r>
      <w:r>
        <w:rPr>
          <w:rFonts w:ascii="arial" w:eastAsia="arial" w:hAnsi="arial" w:cs="arial"/>
          <w:color w:val="000000"/>
          <w:sz w:val="20"/>
          <w:u w:val="single"/>
          <w:lang w:val="en-US" w:eastAsia="en-US" w:bidi="ar-SA"/>
        </w:rPr>
        <w:t>More is required and short of removing the baseboards and dry wall in the basement of the House, there was virtually no way that the Plaintiffs could have, through a reasonable visual inspection, ascertain the presence of mould in the basement. The Basement Defect was therefore a latent defect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Coglon v. Ergas</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2009 BCSC 1170</w:t>
        </w:r>
      </w:hyperlink>
      <w:r>
        <w:rPr>
          <w:rFonts w:ascii="arial" w:eastAsia="arial" w:hAnsi="arial" w:cs="arial"/>
          <w:color w:val="000000"/>
          <w:sz w:val="20"/>
          <w:lang w:val="en-US" w:eastAsia="en-US" w:bidi="ar-SA"/>
        </w:rPr>
        <w:t>, a case involving moisture damage in a crawlspace, Madam Justice Griffin (when she was a member of this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Not only is the evidence clear that Mr. Ergas did not know about defects in the home before signing the PDS, there is no evidence sufficient to persuade me that Mr. Ergas should have known about any defects before filling out the PDS. With respect to the crawl space moisture, I have concluded that there was nothing occurring in the home that should have alerted Mr. Ergas to the fact that there was occasionally moisture on the bedrock in the crawl space. Many others who went into that crawl space and who were more qualified than Mr. Ergas to investigate potential problems did not notice any moisture or evidence of past moisture, including the home inspector, the municipal inspector, and the mechanical and heating contractor. The amount of moisture seen by Mr. Coglon was very small. There was no moisture present in the crawl space on the two days when it was viewed by Mr. Schwartz, in February and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turn to address whether the Morenos, as vendors of the Property, had a common law duty to disclose either the Moisture Problem or the previous marijuana grow operation. I will then address the Morenos' obligations regarding the PDS in the following section of these Reasons.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Moisture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Beacock's overarching submission is that that the Morenos knew of existing and potential water ingress issues at the Property and "extensive moisture problems in the Property particularly in the basement", which I will refer to collectively as the "Moisture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this case, Mr. Beacock hired an inspector prior to the purchase of the Property, who carried out a home inspection. The inspector did not testify and, as noted above, his report was not admitted at trial as an expert report. However, it is common ground that the fact the inspector made those statements to Mr. Beacock was admissible. As I stated earlier, under the heading "Other", the Inspection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past hydroponic activity. These types of situations can result in mold growth in wall components. Not able to determine condition of concealed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Under the heading of "Wall", the Inspection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Basement/structure is finished. Checked perimeter walls every 6'-8' for moisture. No abnormal moisture levels were noted on date of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Under the headings "Limitations", the Inspection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Finished Basements - The finishing of the basement prevents visual inspection of foundation walls, floors, mechanical and structural components - Normal moisture readings found at the time of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Although the evidence before the Court is thin, I find that the Moisture Problem is a latent defect. The finished basement rendered it impractical to inspect the state of the foundation walls and floors in the basement. However, there is an insufficient evidentiary basis for finding that at the material time the Moisture Problem rendered the Property dangerous or unfit for habitation. In all the circumstances, I am not persuaded that the Morenos had a common law obligation to disclose the existing or potential Moisture Problem to Mr. Beacock.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For completeness, I add that even if the Moisture Problem rendered the Property dangerous or unfit for habitation, Mr. Beacock's claim regarding non-disclosure of a latent defect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As I referenced earlier, non-disclosure of a latent defect that was not known to the vendor will not impose liability upon the vendor: </w:t>
      </w:r>
      <w:r>
        <w:rPr>
          <w:rFonts w:ascii="arial" w:eastAsia="arial" w:hAnsi="arial" w:cs="arial"/>
          <w:i/>
          <w:color w:val="000000"/>
          <w:sz w:val="20"/>
          <w:lang w:val="en-US" w:eastAsia="en-US" w:bidi="ar-SA"/>
        </w:rPr>
        <w:t>Cresswell Investments</w:t>
      </w:r>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the Answers, both Mr. and Ms. Moreno deposed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or anyone acting on your instructions or with your consent, do any repair work on the cracks in the foundations of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We didn't know there were any cracks.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or anyone acting on your instructions or with your approval, do repair work on the foundation walls in the Basement?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We did not know that any work was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obtain a permit for the work [done in the basement]?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We were informed by the City that a permit wasn't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respond] negatively to the question, "Are you aware of any additions or alterations made without a required permit and final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 were not aware that a permit or inspection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Beacock's claim is framed as a claim that the Morenos knew about the Moisture Problem and failed to disclose it. He also asserts that they took steps to actively conceal the existing and potential moisture problems. While I accept that the Morenos knew about the former marijuana grow operation, I am not satisfied that they knew about the Moisture Problem. There is an insufficient evidentiary basis for concluding on a balance of probabilities that the Morenos knew about and failed to disclose the Moisture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the result Mr. Beacock's claim regarding non-disclosure of a latent defect cannot succeed.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previous marijuana grow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Earlier in these Reasons, I found that the Morenos knew the Property formerly had been used as a marijuana grow operation. The Morenos plainly did not disclose this to Mr. Beacock.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defect is detectable "by conducting a reasonable inspection and making reasonable inquiries about the property", it constitutes a patent defect, rather than a latent defect: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at para. 122. The vendor is not obliged to disclose a patent defect to a prospective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Although the Inspector's Report was not admitted into evidence for the truth of its contents, Mr. Beacock acknowledged that he was aware there was "evidence of past hydroponic activity", which could result in mould growth. Despite this, Mr. Beacock did not make any further inquiries or investigations. Furthermore, I have found Mr. Sabot provided no assurances to Mr. Beacock that the Property had not been used as a marijuana grow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Beacock was put on notice about the possibility that the Property had been used as a grow operation by his inspector. Accordingly, aside from their obligation to truthfully and accurately complete the PDS, the Morenos did not have a duty to disclose that the Property had been a marijuana grow operation, as this was clearly detectable through reasonable inquiries by Mr. Beacock as a prospective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Before I turn to the claim regarding the PDS, I will address Mr. Beacock's claim in contract against the Morenos. His pleadings include a claim that it was an express or implied term of the Contract that the Property would be reasonably fit for habitation.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There is no such express term in the Contract, nor has Mr. Beacock proven that there was such an implied term. The law imposes on a seller of newly constructed buildings, in favour of a purchaser, that a building will be fit for habitation: </w:t>
      </w:r>
      <w:r>
        <w:rPr>
          <w:rFonts w:ascii="arial" w:eastAsia="arial" w:hAnsi="arial" w:cs="arial"/>
          <w:i/>
          <w:color w:val="000000"/>
          <w:sz w:val="20"/>
          <w:lang w:val="en-US" w:eastAsia="en-US" w:bidi="ar-SA"/>
        </w:rPr>
        <w:t>Strata Plan NW 2294 v. Oak Tree Construction Inc</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(1994), 93 B.C.L.R. (2d) 50</w:t>
        </w:r>
      </w:hyperlink>
      <w:r>
        <w:rPr>
          <w:rFonts w:ascii="arial" w:eastAsia="arial" w:hAnsi="arial" w:cs="arial"/>
          <w:color w:val="000000"/>
          <w:sz w:val="20"/>
          <w:lang w:val="en-US" w:eastAsia="en-US" w:bidi="ar-SA"/>
        </w:rPr>
        <w:t xml:space="preserve"> (C.A.). As the Property was not newly constructed or under construction at the material time, the law does not impose a common law warranty of habitability. As I stated earlier, a vendor does have an obligation to disclose a latent defect to a prospective buyer if that latent defect is known to the vendor and renders a property dangerous or uninhabitable. I have found that was not the case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Property Disclosure Statements ("PDS") /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Morenos had an obligation to accurately and truthfully complete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representations in a PDS may be incorporated into the contract for purchase and sale by reference: </w:t>
      </w:r>
      <w:r>
        <w:rPr>
          <w:rFonts w:ascii="arial" w:eastAsia="arial" w:hAnsi="arial" w:cs="arial"/>
          <w:i/>
          <w:color w:val="000000"/>
          <w:sz w:val="20"/>
          <w:lang w:val="en-US" w:eastAsia="en-US" w:bidi="ar-SA"/>
        </w:rPr>
        <w:t>Liversidge v. Wang</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2013 BCSC 930</w:t>
        </w:r>
      </w:hyperlink>
      <w:r>
        <w:rPr>
          <w:rFonts w:ascii="arial" w:eastAsia="arial" w:hAnsi="arial" w:cs="arial"/>
          <w:color w:val="000000"/>
          <w:sz w:val="20"/>
          <w:lang w:val="en-US" w:eastAsia="en-US" w:bidi="ar-SA"/>
        </w:rPr>
        <w:t xml:space="preserve"> at paras. 32-39. Importantly, however, the representations in a PDS do not become contractual warranties, even though they are incorporated into the contract for purchase and sale. The statements in the PDS are mere representations as to the true state of the knowledge of the vendor: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the vendors indicated on a PDS that they were not aware of any moisture problems in the basement or of any water damage, despite the fact that they had experienced several floods while living at the property. At the time of the sale, the vendors were unaware of any existing moisture problems. Mr. Justice Joyce found that the vendors had not failed to disclose the prior flood damage, as it had been repaired. With respect to whether the representations were contractual warranties, Joyce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Based on these authorities, it is my view that in this case, the incorporation of the PDS into the contract did not turn the representations contained in the PDS into contractual warranties. There was no warranty that the circumstances referred to in the questions, which were answered in the negative, did not exist. They are representations as to the true state of knowledge of the vendor and may support a claim in breach of contract if the statement was untrue </w:t>
      </w:r>
      <w:r>
        <w:rPr>
          <w:rFonts w:ascii="arial" w:eastAsia="arial" w:hAnsi="arial" w:cs="arial"/>
          <w:color w:val="000000"/>
          <w:sz w:val="20"/>
          <w:u w:val="single"/>
          <w:lang w:val="en-US" w:eastAsia="en-US" w:bidi="ar-SA"/>
        </w:rPr>
        <w:t>and did not accord with the vendor's true belief at the time</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This articulation of the governing principles was cited with approval at para. 44 by the Court of Appeal in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this case, the representations in the PDS were incorporated by reference into the terms of the Contract: </w:t>
      </w:r>
      <w:r>
        <w:rPr>
          <w:rFonts w:ascii="arial" w:eastAsia="arial" w:hAnsi="arial" w:cs="arial"/>
          <w:i/>
          <w:color w:val="000000"/>
          <w:sz w:val="20"/>
          <w:lang w:val="en-US" w:eastAsia="en-US" w:bidi="ar-SA"/>
        </w:rPr>
        <w:t>Roberts v. Hutton</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2013 BCSC 640</w:t>
        </w:r>
      </w:hyperlink>
      <w:r>
        <w:rPr>
          <w:rFonts w:ascii="arial" w:eastAsia="arial" w:hAnsi="arial" w:cs="arial"/>
          <w:color w:val="000000"/>
          <w:sz w:val="20"/>
          <w:lang w:val="en-US" w:eastAsia="en-US" w:bidi="ar-SA"/>
        </w:rPr>
        <w:t xml:space="preserve"> at para. 76. In those cases where a representation in a property disclosure statement can properly be characterized as a term of the contract, false representations by vendors in a property disclosure statement can ground a claim for breach of contract: </w:t>
      </w:r>
      <w:r>
        <w:rPr>
          <w:rFonts w:ascii="arial" w:eastAsia="arial" w:hAnsi="arial" w:cs="arial"/>
          <w:i/>
          <w:color w:val="000000"/>
          <w:sz w:val="20"/>
          <w:lang w:val="en-US" w:eastAsia="en-US" w:bidi="ar-SA"/>
        </w:rPr>
        <w:t>413255 B.C. Ltd. v. Jesson et al.</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2006 BCSC 1070</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However, Mr. Beacock's pleadings do not allege breach of contract regarding the Morenos' allegedly false representations in the PDS. His claim is framed in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Accordingly, the legal framework for the analysis of the alleged misrepresentation by the Morenos in the PDS is anchored in the doctrine of fraudulent misrepresentation, which constitutes tortious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set out the legal framework for establishing a claim for fraudulent misrepresentation earlier in these Reasons at para.145.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his amended notice of civil claim Mr. Beacock alleges that the Morenos made three representations to Mr. Beacock, which he alleges were false:</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additions or alterations made without a required permit and final inspection? Answer: No</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moisture and/or water problems in the walls, basement or crawl space? Answer: No</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if the premises or property have been used as a marijuana grow operation or to manufacture illegal drugs? Answer: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These were representations of the Morenos' state of knowledge, and they did not warrant the truth of the circumstances referred to in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Morenos each deposed in the Answers that they did not obtain permits for the work they did on the Property because they had been told by the City that a permit was not required. There is no sufficiently reliable evidence proving on a balance of probabilities that the representations of the Morenos, to the effect that they were unaware of any alterations made without the required permits, was knowingly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have addressed the issue of the Moisture Problem above, and found that the evidence falls short of establishing that the Morenos were aware of those problems when they completed the PDS. In short, Mr. Beacock has not proven that the Morenos knowingly made any false or misleading representations regarding any moisture and water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turn next to the representation made by the Morenos that they were not aware that the Property may have been used as a marijuana grow operation. As I stated earlier in these Reasons at para. 34, the irresistible inference is that the Morenos made this statement knowing it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Balancing the evidence as a whole, I find the Morenos made this false statement with the intention that Mr. Beacock would act on the representation. They had been cautioned by Mr. Sabot to use care in completing the PDS. They must have known that Mr. Beacock would rely on the representation. Therefore, Mr. Beacock has proved on a balance of probabilities that the Morenos made a false representation knowing it was false and that they intended Mr. Beacock to act on the false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appellate authorities establish that where intention, materiality, and loss consistent with the plaintiff having acted on the alleged misrepresentation are proven, the burden of proving non-reliance shifts to the defendant: </w:t>
      </w:r>
      <w:r>
        <w:rPr>
          <w:rFonts w:ascii="arial" w:eastAsia="arial" w:hAnsi="arial" w:cs="arial"/>
          <w:i/>
          <w:color w:val="000000"/>
          <w:sz w:val="20"/>
          <w:lang w:val="en-US" w:eastAsia="en-US" w:bidi="ar-SA"/>
        </w:rPr>
        <w:t>Sidhu Estate v. Bains</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[1996] 25 B.C.L.R. (3d) 41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Sidhu</w:t>
      </w:r>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Roy v. Kretschmer</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2014 BCCA 429</w:t>
        </w:r>
      </w:hyperlink>
      <w:r>
        <w:rPr>
          <w:rFonts w:ascii="arial" w:eastAsia="arial" w:hAnsi="arial" w:cs="arial"/>
          <w:color w:val="000000"/>
          <w:sz w:val="20"/>
          <w:lang w:val="en-US" w:eastAsia="en-US" w:bidi="ar-SA"/>
        </w:rPr>
        <w:t xml:space="preserve"> at paras. 58-59, citing </w:t>
      </w:r>
      <w:r>
        <w:rPr>
          <w:rFonts w:ascii="arial" w:eastAsia="arial" w:hAnsi="arial" w:cs="arial"/>
          <w:i/>
          <w:color w:val="000000"/>
          <w:sz w:val="20"/>
          <w:lang w:val="en-US" w:eastAsia="en-US" w:bidi="ar-SA"/>
        </w:rPr>
        <w:t>Roy v. 1216393 Ontario Inc.</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2011 BCCA 500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Regardless of the law regarding the shifting burden of proof, I am satisfied that Mr. Beacock has established that he was induced to enter into the final Contract in reliance upon the false representation in the PDS and that he thereby suffered a detriment. Balancing the evidence as a whole, I am satisfied that he sustained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Mr. Beacock is not required to prove that the false statement in the PDS was the sole inducement for entering into the final Contract but only that it was a material factor in his decision: </w:t>
      </w:r>
      <w:r>
        <w:rPr>
          <w:rFonts w:ascii="arial" w:eastAsia="arial" w:hAnsi="arial" w:cs="arial"/>
          <w:i/>
          <w:color w:val="000000"/>
          <w:sz w:val="20"/>
          <w:lang w:val="en-US" w:eastAsia="en-US" w:bidi="ar-SA"/>
        </w:rPr>
        <w:t>Sidhu</w:t>
      </w:r>
      <w:r>
        <w:rPr>
          <w:rFonts w:ascii="arial" w:eastAsia="arial" w:hAnsi="arial" w:cs="arial"/>
          <w:color w:val="000000"/>
          <w:sz w:val="20"/>
          <w:lang w:val="en-US" w:eastAsia="en-US" w:bidi="ar-SA"/>
        </w:rPr>
        <w:t xml:space="preserve"> at para. 36. Nor is he required to show that it was reasonable to rely on the false statement: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 xml:space="preserve"> at para. 51. While Mr. Beacock relied on the Inspection Report, based upon the totality of the evidence, I am satisfied that he continued to rely on the false statements in the PDS after his receipt of the Inspection Report. In short, the false statement in the PDS was a material factor in his decision to enter into the final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summary on this issue, I conclude that Mr. Beacock has established a claim against the Morenos for their fraudulent misrepresentation regarding the marijuana grow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Having proven a claim against the Morenos for fraudulent misrepresentation, I turn to the matter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As fraudulent misrepresentation is tortious conduct, Mr. Beacock is entitled to be put in the same position as he would have been in had there been no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measure for damages in tort flowing from a fraudulent or negligent misrepresentation is the difference between the price paid and the actual value of the property at the date of the purchase, taking into account the true condition of the property. The Court of Appeal affirmed this principle in </w:t>
      </w:r>
      <w:r>
        <w:rPr>
          <w:rFonts w:ascii="arial" w:eastAsia="arial" w:hAnsi="arial" w:cs="arial"/>
          <w:i/>
          <w:color w:val="000000"/>
          <w:sz w:val="20"/>
          <w:lang w:val="en-US" w:eastAsia="en-US" w:bidi="ar-SA"/>
        </w:rPr>
        <w:t>Sorensen v. Kaye Holdings Ltd</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(1979), 14 B.C.L.R. 204</w:t>
        </w:r>
      </w:hyperlink>
      <w:r>
        <w:rPr>
          <w:rFonts w:ascii="arial" w:eastAsia="arial" w:hAnsi="arial" w:cs="arial"/>
          <w:color w:val="000000"/>
          <w:sz w:val="20"/>
          <w:lang w:val="en-US" w:eastAsia="en-US" w:bidi="ar-SA"/>
        </w:rPr>
        <w:t xml:space="preserve"> (C.A.)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error of substance is, however, the failure to apply the correct measure of damages in an action for fraud, inducing a sale, which is the difference between the price paid and the actual value of the property purchased: </w:t>
      </w:r>
      <w:r>
        <w:rPr>
          <w:rFonts w:ascii="arial" w:eastAsia="arial" w:hAnsi="arial" w:cs="arial"/>
          <w:i/>
          <w:color w:val="000000"/>
          <w:sz w:val="20"/>
          <w:lang w:val="en-US" w:eastAsia="en-US" w:bidi="ar-SA"/>
        </w:rPr>
        <w:t>Zorzi v. Baker</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(1957), 8 D.L.R. (2d) 164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Hepting v. Schaaf</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[1964] S.C.R. 100</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46 W.W.R. 161</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43 D.L.R. (2d) 168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Parna v. G. &amp; S. Properties Ltd.</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[1971] S.C.R. 306</w:t>
        </w:r>
      </w:hyperlink>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15 D.L.R. (3d) 336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Mr. Justice Sheppard in </w:t>
      </w:r>
      <w:r>
        <w:rPr>
          <w:rFonts w:ascii="arial" w:eastAsia="arial" w:hAnsi="arial" w:cs="arial"/>
          <w:i/>
          <w:color w:val="000000"/>
          <w:sz w:val="20"/>
          <w:lang w:val="en-US" w:eastAsia="en-US" w:bidi="ar-SA"/>
        </w:rPr>
        <w:t>Zorzi v. Barker</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[1957] B.C.J. No. 127</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8 D.L.R. (2d) 164</w:t>
        </w:r>
      </w:hyperlink>
      <w:r>
        <w:rPr>
          <w:rFonts w:ascii="arial" w:eastAsia="arial" w:hAnsi="arial" w:cs="arial"/>
          <w:color w:val="000000"/>
          <w:sz w:val="20"/>
          <w:lang w:val="en-US" w:eastAsia="en-US" w:bidi="ar-SA"/>
        </w:rPr>
        <w:t xml:space="preserve"> (B.C.C.A.) distilled the animating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It further appears that in attempting to assess proven damages the plaintiffs have proceeded on the wrong basis, that is, that the damages to be ascertained by taking the value of the property if the representations had been true and the actual value on the basis of the representations being false and that the difference is damage. </w:t>
      </w:r>
      <w:r>
        <w:rPr>
          <w:rFonts w:ascii="arial" w:eastAsia="arial" w:hAnsi="arial" w:cs="arial"/>
          <w:color w:val="000000"/>
          <w:sz w:val="20"/>
          <w:u w:val="single"/>
          <w:lang w:val="en-US" w:eastAsia="en-US" w:bidi="ar-SA"/>
        </w:rPr>
        <w:t>That may be an appropriate test in certain instances for breach of warranty but it is wholly irrelevant in determining the damage for deceit where the sole question is the difference between the price paid and the actual value</w:t>
      </w:r>
      <w:r>
        <w:rPr>
          <w:rFonts w:ascii="arial" w:eastAsia="arial" w:hAnsi="arial" w:cs="arial"/>
          <w:color w:val="000000"/>
          <w:sz w:val="20"/>
          <w:lang w:val="en-US" w:eastAsia="en-US" w:bidi="ar-SA"/>
        </w:rPr>
        <w:t>. The value on the basis of the representations having been true is wholly irrelevant.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C.R.F. Holdings Ltd. v. Fundy Chemical International Ltd</w:t>
      </w:r>
      <w:r>
        <w:rPr>
          <w:rFonts w:ascii="arial" w:eastAsia="arial" w:hAnsi="arial" w:cs="arial"/>
          <w:color w:val="000000"/>
          <w:sz w:val="20"/>
          <w:lang w:val="en-US" w:eastAsia="en-US" w:bidi="ar-SA"/>
        </w:rPr>
        <w:t xml:space="preserve">. (1982), 39 B.C.L.R. 42 at para. 11 (S.C.), citing </w:t>
      </w:r>
      <w:hyperlink r:id="rId299" w:history="1">
        <w:r>
          <w:rPr>
            <w:rFonts w:ascii="arial" w:eastAsia="arial" w:hAnsi="arial" w:cs="arial"/>
            <w:i/>
            <w:color w:val="0077CC"/>
            <w:sz w:val="20"/>
            <w:u w:val="single"/>
            <w:shd w:val="clear" w:color="auto" w:fill="FFFFFF"/>
            <w:lang w:val="en-US" w:eastAsia="en-US" w:bidi="ar-SA"/>
          </w:rPr>
          <w:t>(1981) 33 B.C.L.R. 291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Beacock's claim against the Morenos is grounded in fraudulent misrepresentation, not breach of contract. Therefore, the proper measure of damages is equal to the difference between the price actually paid for the Property and the true fair market value of the Property at the date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Importantly, no such evidence was led by Mr. Beacock in his case. There was no expert evidence regarding the fair market value of the Property, taking into account its true condition, at the time of purchase. Furthermore, there was no expert evidence adduced at trial probative of the allegation that the presence of mould and other problems was attributable to a previous marijuana grow operation. Nor was there any properly admissible expert evidence that those issues presented a health hazard. However, there was some evidence of physical damage having been caused to the Property by the former marijuana grow operation, namely a vent covering what had previously been a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Douglas</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2011 BCCA 521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CA</w:t>
      </w:r>
      <w:r>
        <w:rPr>
          <w:rFonts w:ascii="arial" w:eastAsia="arial" w:hAnsi="arial" w:cs="arial"/>
          <w:color w:val="000000"/>
          <w:sz w:val="20"/>
          <w:lang w:val="en-US" w:eastAsia="en-US" w:bidi="ar-SA"/>
        </w:rPr>
        <w:t>], the chambers judge had dismissed the plaintiff purchaser's claim on the basis that there was "no evidence" of "damages" resulting from a possible marijuana grow operation. Madam Justice Newbury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While it is true, then, that there was no </w:t>
      </w:r>
      <w:r>
        <w:rPr>
          <w:rFonts w:ascii="arial" w:eastAsia="arial" w:hAnsi="arial" w:cs="arial"/>
          <w:color w:val="000000"/>
          <w:sz w:val="20"/>
          <w:u w:val="single"/>
          <w:lang w:val="en-US" w:eastAsia="en-US" w:bidi="ar-SA"/>
        </w:rPr>
        <w:t>expert</w:t>
      </w:r>
      <w:r>
        <w:rPr>
          <w:rFonts w:ascii="arial" w:eastAsia="arial" w:hAnsi="arial" w:cs="arial"/>
          <w:color w:val="000000"/>
          <w:sz w:val="20"/>
          <w:lang w:val="en-US" w:eastAsia="en-US" w:bidi="ar-SA"/>
        </w:rPr>
        <w:t xml:space="preserve"> evidence at trial probative of the allegation that mildew, fungi and spores were present in the house and were attributable to a previous grow operation, there was evidence of what could have been physical damage caused to the house by a grow operation. Accordingly, I find with respect that the trial judge was clearly wrong in deciding that there was "</w:t>
      </w:r>
      <w:r>
        <w:rPr>
          <w:rFonts w:ascii="arial" w:eastAsia="arial" w:hAnsi="arial" w:cs="arial"/>
          <w:color w:val="000000"/>
          <w:sz w:val="20"/>
          <w:u w:val="single"/>
          <w:lang w:val="en-US" w:eastAsia="en-US" w:bidi="ar-SA"/>
        </w:rPr>
        <w:t>no evidence</w:t>
      </w:r>
      <w:r>
        <w:rPr>
          <w:rFonts w:ascii="arial" w:eastAsia="arial" w:hAnsi="arial" w:cs="arial"/>
          <w:color w:val="000000"/>
          <w:sz w:val="20"/>
          <w:lang w:val="en-US" w:eastAsia="en-US" w:bidi="ar-SA"/>
        </w:rPr>
        <w:t xml:space="preserve"> of causation of [damage]" before the Court and that the chambers judge was also in error in stating that even if Mr. Steinbrunner's evidence was admitted, "There would be before me </w:t>
      </w:r>
      <w:r>
        <w:rPr>
          <w:rFonts w:ascii="arial" w:eastAsia="arial" w:hAnsi="arial" w:cs="arial"/>
          <w:color w:val="000000"/>
          <w:sz w:val="20"/>
          <w:u w:val="single"/>
          <w:lang w:val="en-US" w:eastAsia="en-US" w:bidi="ar-SA"/>
        </w:rPr>
        <w:t>no evidence</w:t>
      </w:r>
      <w:r>
        <w:rPr>
          <w:rFonts w:ascii="arial" w:eastAsia="arial" w:hAnsi="arial" w:cs="arial"/>
          <w:color w:val="000000"/>
          <w:sz w:val="20"/>
          <w:lang w:val="en-US" w:eastAsia="en-US" w:bidi="ar-SA"/>
        </w:rPr>
        <w:t xml:space="preserve"> with respect to damage to the residence resulting from those acts." (My emphasis.) The case before the Court may not have been a strong one, and did not include medical evidence or evidence as to the costs of repairing the alleged damage to the house, but there is no law of which I am aware that requires expert testimony in an uncomplicated case like this. </w:t>
      </w:r>
      <w:r>
        <w:rPr>
          <w:rFonts w:ascii="arial" w:eastAsia="arial" w:hAnsi="arial" w:cs="arial"/>
          <w:color w:val="000000"/>
          <w:sz w:val="20"/>
          <w:u w:val="single"/>
          <w:lang w:val="en-US" w:eastAsia="en-US" w:bidi="ar-SA"/>
        </w:rPr>
        <w:t>It is true that in the absence of evidence as to the cost of repairs, the trial judge might have found himself able to make only a nominal award of damages or to grant only a declaration that one or both sellers had made a misrepresentation to the plaintiffs; but the cause of action could have been made out on the evidence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All things considered I am only able to make a nominal award of damages against the Morenos for their fraudulent misrepresentation. Such an award recognizes in absence of evidence proving quantum, that Mr. Beacock's legal rights were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If I am incorrect and Mr. Beacock has pleaded and established a claim against the Morenos for breach of contract, Mr. Beacock would be entitled to recover damages for the cost of repairs for remediating damage to the Property from the marijuana grow operation: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at para. 132, citing </w:t>
      </w:r>
      <w:r>
        <w:rPr>
          <w:rFonts w:ascii="arial" w:eastAsia="arial" w:hAnsi="arial" w:cs="arial"/>
          <w:i/>
          <w:color w:val="000000"/>
          <w:sz w:val="20"/>
          <w:lang w:val="en-US" w:eastAsia="en-US" w:bidi="ar-SA"/>
        </w:rPr>
        <w:t>Nash v. McMillan</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(1997) 222 A.R. 4</w:t>
        </w:r>
      </w:hyperlink>
      <w:r>
        <w:rPr>
          <w:rFonts w:ascii="arial" w:eastAsia="arial" w:hAnsi="arial" w:cs="arial"/>
          <w:color w:val="000000"/>
          <w:sz w:val="20"/>
          <w:lang w:val="en-US" w:eastAsia="en-US" w:bidi="ar-SA"/>
        </w:rPr>
        <w:t xml:space="preserve"> (Alta. Q.B.) at paras. 39-45. However, in the absence of sufficiently reliable evidence on the point, I am unable to determine, on a balance of probabilities, the cost of repairs associated with remediating the damage to the Property caused by its previous use as a marijuana grow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Moreover, on the evidence, the Court is unable to delineate between the damage to the Property attributable to the Moisture Problem for which the Morenos are not liable, and the damage to the Property attributable to the former marijuana grow operation. Therefore, even if he has established a claim in breach of contract against the Morenos, Mr. Beacock would be entitled to nominal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have considered all of Mr. Beacock's submissions regarding his claim for damages. I am not persuaded that he is entitled to the damages he claims either because they are not properly recoverable on the law or because there is an insufficient evidentiary basis for awarding the damages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Mr. Justice Harris, for a unanimous Court of Appeal, made the following observations regarding nominal damages in </w:t>
      </w:r>
      <w:r>
        <w:rPr>
          <w:rFonts w:ascii="arial" w:eastAsia="arial" w:hAnsi="arial" w:cs="arial"/>
          <w:i/>
          <w:color w:val="000000"/>
          <w:sz w:val="20"/>
          <w:lang w:val="en-US" w:eastAsia="en-US" w:bidi="ar-SA"/>
        </w:rPr>
        <w:t>Sabo v. Canada (Attorney General)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2013 YKCA 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Having said that, I am satisfied the trial judge did err in not awarding nominal damages. Detinue is a cause of action that does not depend on proof of damages: it is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Nominal damages are awarded where a plaintiff's legal rights have been breached. That is the case here, as the trial judge found. Nominal damages affirm the infraction of legal rights in the absence of proof of loss caused by the infraction: see </w:t>
      </w:r>
      <w:r>
        <w:rPr>
          <w:rFonts w:ascii="arial" w:eastAsia="arial" w:hAnsi="arial" w:cs="arial"/>
          <w:i/>
          <w:color w:val="000000"/>
          <w:sz w:val="20"/>
          <w:lang w:val="en-US" w:eastAsia="en-US" w:bidi="ar-SA"/>
        </w:rPr>
        <w:t>The "Mediana"</w:t>
      </w:r>
      <w:r>
        <w:rPr>
          <w:rFonts w:ascii="arial" w:eastAsia="arial" w:hAnsi="arial" w:cs="arial"/>
          <w:color w:val="000000"/>
          <w:sz w:val="20"/>
          <w:lang w:val="en-US" w:eastAsia="en-US" w:bidi="ar-SA"/>
        </w:rPr>
        <w:t>, [1900] A.C. 113 (H.L). I am unable to accept the submission made by the respondents that, on the facts of this case, the declaration of detinue was sufficient to vindicate Mr. Sabo's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More recent cases do not establish a "going rate" for nominal damages, although the Alberta Court of Appeal has said that an award of $5,000 could not be said to be nominal: see, </w:t>
      </w:r>
      <w:r>
        <w:rPr>
          <w:rFonts w:ascii="arial" w:eastAsia="arial" w:hAnsi="arial" w:cs="arial"/>
          <w:i/>
          <w:color w:val="000000"/>
          <w:sz w:val="20"/>
          <w:lang w:val="en-US" w:eastAsia="en-US" w:bidi="ar-SA"/>
        </w:rPr>
        <w:t>Chohan v. Cadsky</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2009 ABCA 334</w:t>
        </w:r>
      </w:hyperlink>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464 A.R. 57</w:t>
        </w:r>
      </w:hyperlink>
      <w:r>
        <w:rPr>
          <w:rFonts w:ascii="arial" w:eastAsia="arial" w:hAnsi="arial" w:cs="arial"/>
          <w:color w:val="000000"/>
          <w:sz w:val="20"/>
          <w:lang w:val="en-US" w:eastAsia="en-US" w:bidi="ar-SA"/>
        </w:rPr>
        <w:t xml:space="preserve"> at para. 145. The Ontario Court of Appeal has also suggested that nominal damages should be set at $1: see </w:t>
      </w:r>
      <w:r>
        <w:rPr>
          <w:rFonts w:ascii="arial" w:eastAsia="arial" w:hAnsi="arial" w:cs="arial"/>
          <w:i/>
          <w:color w:val="000000"/>
          <w:sz w:val="20"/>
          <w:lang w:val="en-US" w:eastAsia="en-US" w:bidi="ar-SA"/>
        </w:rPr>
        <w:t xml:space="preserve">Place Concorde East Limited Partnership et al. v. Shelter Corp. of Canada Ltd. et al. </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(2006), 211 O.A.C. 141</w:t>
        </w:r>
      </w:hyperlink>
      <w:r>
        <w:rPr>
          <w:rFonts w:ascii="arial" w:eastAsia="arial" w:hAnsi="arial" w:cs="arial"/>
          <w:color w:val="000000"/>
          <w:sz w:val="20"/>
          <w:lang w:val="en-US" w:eastAsia="en-US" w:bidi="ar-SA"/>
        </w:rPr>
        <w:t xml:space="preserve"> at para. 78. The courts in British Columbia have taken a different approach. </w:t>
      </w:r>
      <w:r>
        <w:rPr>
          <w:rFonts w:ascii="arial" w:eastAsia="arial" w:hAnsi="arial" w:cs="arial"/>
          <w:color w:val="000000"/>
          <w:sz w:val="20"/>
          <w:u w:val="single"/>
          <w:lang w:val="en-US" w:eastAsia="en-US" w:bidi="ar-SA"/>
        </w:rPr>
        <w:t xml:space="preserve">In Dawydiuk v. Insurance Corporation of British Columbia, </w:t>
      </w:r>
      <w:hyperlink r:id="rId304" w:history="1">
        <w:r>
          <w:rPr>
            <w:rFonts w:ascii="arial" w:eastAsia="arial" w:hAnsi="arial" w:cs="arial"/>
            <w:i/>
            <w:color w:val="0077CC"/>
            <w:sz w:val="20"/>
            <w:u w:val="single"/>
            <w:shd w:val="clear" w:color="auto" w:fill="FFFFFF"/>
            <w:lang w:val="en-US" w:eastAsia="en-US" w:bidi="ar-SA"/>
          </w:rPr>
          <w:t>2010 BCCA 353</w:t>
        </w:r>
      </w:hyperlink>
      <w:r>
        <w:rPr>
          <w:rFonts w:ascii="arial" w:eastAsia="arial" w:hAnsi="arial" w:cs="arial"/>
          <w:color w:val="000000"/>
          <w:sz w:val="20"/>
          <w:u w:val="single"/>
          <w:lang w:val="en-US" w:eastAsia="en-US" w:bidi="ar-SA"/>
        </w:rPr>
        <w:t>, for example, $1,000 has been awarded as nominal damages. In the circumstances of this case I would award $1,000 as nominal damages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All things considered I award Mr. Beacock $1,000 as nominal damages against the Morenos.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THIRD PARTY CLAIM BY THE MORENOS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Given my findings, the Morenos' third party claim against the realtor defendants for contribution and indemnity, pursuant to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claim in third party notice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all the circumstances, it is appropriate to permit the parties to argue the issue of costs after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Because I retired as a judge of this Court effective December 31, 2018, if the parties wish to make submissions concerning costs, they should contact Supreme Court Scheduling to arrange a hearing date before another judge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Finally, I wish to thank counsel for the defendants who demonstrated courtesy to Mr. Beacock at the hearing and comported herself with professionalism throughout. The resulting efficiency in the trial process benefitted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Cranfield v. McKay, [2004] B.C.J. No. 411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27 and 28, and December 11,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3, 2004.</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S0076517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411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291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129 A.C.W.S. (3d) 225</w:t>
      </w:r>
    </w:p>
    <w:p>
      <w:pPr>
        <w:spacing w:before="120" w:line="260" w:lineRule="atLeast"/>
        <w:rPr>
          <w:lang w:val="en-US" w:eastAsia="en-US" w:bidi="ar-SA"/>
        </w:rPr>
      </w:pPr>
      <w:r>
        <w:rPr>
          <w:rFonts w:ascii="arial" w:eastAsia="arial" w:hAnsi="arial" w:cs="arial"/>
          <w:color w:val="000000"/>
          <w:sz w:val="20"/>
          <w:lang w:val="en-US" w:eastAsia="en-US" w:bidi="ar-SA"/>
        </w:rPr>
        <w:t>Between Sarah Cranfield, plaintiff, and Elizabeth Diane McKay,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(44 paras.)</w:t>
      </w:r>
    </w:p>
    <w:p>
      <w:pPr>
        <w:jc w:val="both"/>
        <w:rPr>
          <w:lang w:val="en-US" w:eastAsia="en-US" w:bidi="ar-SA"/>
        </w:rPr>
      </w:pPr>
      <w:bookmarkStart w:id="117" w:name="Counsel_13"/>
      <w:bookmarkEnd w:id="11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4" style="position:absolute;z-index:2516725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 Balakshin, for the plaintiff. C. Bekkering, for the defendant.</w:t>
      </w:r>
      <w:r>
        <w:rPr>
          <w:lang w:val="en-US" w:eastAsia="en-US" w:bidi="ar-SA"/>
        </w:rPr>
        <w:cr/>
      </w:r>
    </w:p>
    <w:p>
      <w:pPr>
        <w:spacing w:after="240"/>
        <w:rPr>
          <w:lang w:val="en-US" w:eastAsia="en-US" w:bidi="ar-SA"/>
        </w:rPr>
      </w:pPr>
      <w:bookmarkStart w:id="118" w:name="Judgment_13"/>
      <w:bookmarkEnd w:id="118"/>
      <w:r>
        <w:pict>
          <v:line id="_x0000_s1095" style="position:absolute;z-index:2517237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9" w:name="SIGURDSON J."/>
            <w:bookmarkEnd w:id="119"/>
            <w:r>
              <w:rPr>
                <w:rFonts w:ascii="arial" w:eastAsia="arial" w:hAnsi="arial" w:cs="arial"/>
                <w:b/>
                <w:color w:val="000000"/>
                <w:sz w:val="30"/>
                <w:lang w:val="en-US" w:eastAsia="en-US" w:bidi="ar-SA"/>
              </w:rPr>
              <w:t>SIGURDSON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Sarah Cranfield was injured when the motor vehicle in which she was a passenger slid on ice on Zero Avenue in Langley, went across the shoulder of the road and collided with a utility pole. The parties agree that Ms. Cranfield is entitled to damages of $25,000 if liability is established. Liability is the only issue at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November 28, 2000, in the early morning, between approximately 6:15 and 6:25 a.m. Ms. Cranfield was being driven to work by the defendant, Elizabeth Diane McKay. Both were employed at Carson's Custom Brokers near the American border and were to start work at 6:30 that morning. Ms. McKay had agreed to pick Ms. Cranfield up at the 7-11 store at the corner of Fraser Highway and 272nd Street and drive her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was a cold morning, although there is an issue about Ms. McKay's knowledge of the actual weather conditions.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Van Ewyk, Ms. Cranfield's common-law husband, drove her from their home on Landing Road to the 7-11. They left at 5:30 in the morning and encountered crunchy frozen grass when they walked across the lawn to get to their car. The car windows had to be scraped and defrosted. They drove about 11 kilometres to the 7-11 store. Ms. Cranfield could hear sand coming up on the Fraser Highway, saw that the shoulders of the road and the fields were frosty and white, and saw that the parking lot in the 7-11 was sanded, something she noticed when she stepped out of her vehicle to get into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McKay lived closer to the 7-11 than Ms. Cranfield did. The defendant got into her vehicle, a 1995 Pontiac LeMans, in the underground parking lot in her apartment. She testified that she did not notice any frost that morning until after the accident when she saw frost on the shoulder of the road near the utility pole. Ms. McKay said it was dark and she could not see the fields.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McKay arrived at the 7-11 between 5:56 and 6:10 a.m. and picked up the plaintiff. They drove along 272nd Street to 16th Avenue, then to 264th Street and then to Zero Avenue. There was no evidence that there was salting or sanding on those roads. The only salting or sanding that the defendant came across was in the 7-11 parking lot and on the Fraser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McKay testified that, after picking up Ms. Cranfield, she traversed the hills along her route to Zero Avenue without incident and was able to handle the turns properly while braking normally.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when the car hit a pole located about 140 metres below the crest of a hill. The hill has an incline of about 4.5%.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as Ms. McKay approached the hill she was driving between 70-75 kilometres per hour and that she maintained that speed. Ms. McKay's evidence was that her speed, before applying her brakes, was between 50-60 kilometres per hour. (I will discuss the question of her speed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trial, the evidence was that the speed limit at the hill on Zero Avenue was 50 kilometres per hour but after trial I received advice from both counsel that the speed limit at the time of the accident was 60 kilometres per hour and was reduced after the accident to 50 kilometres per hour. I heard further submissions from counsel on the significance of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Before reaching the crest of the hill, Ms. McKay saw vehicles ahead that had gone off the driving surface and were on both sides of the road. She says that she tapped her brakes; the plaintiff says that she slammed on her brakes with force. The vehicle slid.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that she believed the vehicle spun around but the defendant testified, and it appears likely based on the expert evidence, that the car did not spin around but simply slid at a 45 degree angle along the road, across the shoulder and into the pole.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vehicle hit the pole on its passenger side with substantial force. Ms. Cranfield was knocked unconscious. She says that later she overheard the defendant talking to a man after the accident and saying "Oh my God, I was going like 80". That was denied by Ms. McKay.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issue is whether the plaintiff has established that the defendant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that the direct and the circumstantial evidence shows that the defendant was negligent by driving too quickly and braking too hard, given all the circumstances, which include, she says, that a reasonably prudent driver should have been aware of the significant possibility of ice on the road and driven accordingly.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 says that there is no proven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argues that the mere fact of a single-vehicle motor vehicle accident, in these circumstances, does not support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Moreover, the defendant says that she has provided an explanation that is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it is not appropriate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all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says there was no reason to suspect unusually treacherous conditions. Her counsel submits that the question is really whether the defendant was "overdriving" given the circumstances which were, she says, that the defendant was not aware of any heightened risk, nor ought she to have been. Tapping the brakes, the defendant suggests, is not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Cases where vehicles leave the travelled surface or slide on ice are sometimes defended as cases of inevitable accident. However, I take the defendant to say that this is a case where there is no direct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should be accepted. Moreover, the defendant says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not be inferred in these circumstances because she has provided an explanation for the accident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counsel on the other hand argues that there is direct evidence such as speed and the manner of braking, coupled with the circumstantial evidence, that should result in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Fontaine v. British Columbia, </w:t>
      </w:r>
      <w:hyperlink r:id="rId312"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(1997), 156 D.L.R. (4th) 577</w:t>
        </w:r>
      </w:hyperlink>
      <w:r>
        <w:rPr>
          <w:rFonts w:ascii="arial" w:eastAsia="arial" w:hAnsi="arial" w:cs="arial"/>
          <w:color w:val="000000"/>
          <w:sz w:val="20"/>
          <w:lang w:val="en-US" w:eastAsia="en-US" w:bidi="ar-SA"/>
        </w:rPr>
        <w:t>, the Supreme Court of Canada discussed that res ipsa loquitur was now an expired maxim and said at [paragraph] 20: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It has been held on numerous occasions that evidence of a vehicle leaving the roadway gives rise to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Whether that will be so in any given case, however, can only be determined after considering the relevant circumstances of the particular case.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mine]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went on to say (at [paragraphs] 23-24):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As in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plaintiff bears the burden of proving on a balance of probabilities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caused the plaintiff's injuries. The invocation of res ipsa loquitur does not shift the burden of proof to the defendant. Rather, the effect of the application of res ipsa loquitur is as described in The Law of Evidence in Canada (1992), by John Sopinka, Sidney N. Lederman and Alan W. Bryant, at p. 81:</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Res ipsa loquitur, correctly understood, means that circumstantial evidence constitutes reasonable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Accordingly, the plaintiff is able to overcome a motion for a non-suit and the trial judge is required to instruct the jury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jury may, but need 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permissible fact inference. If, at the conclusion of the case, it would be equally reasonable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will lose since he or she bears the legal burden on this issue. Under this construction, the maxim is superfluous. It can be treated simply as a case of circumstantial evidence.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Should the trier of fact choose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circumstances, that will be a factor in the plaintiff's favour. Whether that will be sufficient for the plaintiff to succeed will depend on the strength of the inference drawn and any explanation offered by the defendant to negate that inference. If the defendant produces a reasonable explanation that is as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res ipsa loquitur inference is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will effectively neutralize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case must fail. Thus, the strength of the explanation that the defendant must provide will vary in accordance with the strength of the inference sought to be drawn by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mine]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described res ipsa loquitur at [paragraphs] 26-27,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mine]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case is that a reasonably prudent driver ought to have been aware of the potentially icy road conditions. The plaintiff's counsel argues that the slide on the road coupled with excessive speed in the circumstances and pressing down on the brakes too firmly should result in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says that the plaintiff's evidence concerning the defendant's speed and braking should not be accepted. The defendant says that the evidence of Ms. McKay braking and leaving the road and hitting the post should not permit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there is a reasonable explanation for the accident occurring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evidence that should be accepted, the defendant says, is at least equally consistent with the slide on the ice occurring from a speed of 50 to 60 kilometres per hour (Ms. McKay's evidence) and a tapping of the brakes (Ms. McKay's evidence) as it is with the evidence that the accident could have occurred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i.e. excessive speed in the circumstances and hard braking.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noted by the Court of Appeal in Savinkoff v. Seggewiss </w:t>
      </w:r>
      <w:hyperlink r:id="rId313" w:history="1">
        <w:r>
          <w:rPr>
            <w:rFonts w:ascii="arial" w:eastAsia="arial" w:hAnsi="arial" w:cs="arial"/>
            <w:i/>
            <w:color w:val="0077CC"/>
            <w:sz w:val="20"/>
            <w:u w:val="single"/>
            <w:shd w:val="clear" w:color="auto" w:fill="FFFFFF"/>
            <w:lang w:val="en-US" w:eastAsia="en-US" w:bidi="ar-SA"/>
          </w:rPr>
          <w:t>(1996), 77 B.C.A.C. 98</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25 B.C.L.R. (3d) 1</w:t>
        </w:r>
      </w:hyperlink>
      <w:r>
        <w:rPr>
          <w:rFonts w:ascii="arial" w:eastAsia="arial" w:hAnsi="arial" w:cs="arial"/>
          <w:color w:val="000000"/>
          <w:sz w:val="20"/>
          <w:lang w:val="en-US" w:eastAsia="en-US" w:bidi="ar-SA"/>
        </w:rPr>
        <w:t>, at [paragraph] 17: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Whether the slippery road conditions at the scene of the accident were foreseeable is, of course, to be judged objectively, as seen through the eyes of a reasonably prudent motorist, aware of those facts of which the defendant was, or ought to have been, aware at the time.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the defendant suggested that she was not aware of the frosty conditions, the question is whether a reasonably prudent driver ought to have been aware of possible icy conditions on the road and adjusted her driving accordingly.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a very cold morning. The temperature at the closest weather station was below zero at 5:00 o'clock in the morning, and it was just above zero by 6:00 o'clock. Although Ms. McKay did not see sanding or salting on the roads just before Zero Avenue, she would have been aware of sanding when she and Ms. Cranfield crossed the Fraser Highway and would have been aware of the sanding or salting in the parking lot of the 7-11. I accept the evidence of the plaintiff, which I find reasonable, that frosting in the fields and along the side of the road was visible to the two women as they drove from the 7-11 store to Zero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circumstances, I find that a reasonably prudent driver would have been aware of the possibility of some ice on the road given that steps had been taken to guard against it in frequently-travelled places like the Fraser Highway and the 7-11 parking lot. Ms. McKay was cross-examined on a prior statement in which she said, "westbound on Zero, am familiar with road, it was really frosty that morning" which suggests that she indicated at the time that she was aware of the frosty conditions that morning. I find her prior statement does contradict the evidence that she gave at trial about her knowledge of the frosty conditions that morning and I take that into consideration in assessing her credibility. Even though the defendant got into her car that morning in an underground parking lot, I find that she was or ought to have been aware of the near-freezing temperatures and the frost on the side of the road in the early hours of the morning. The defendant's expert not surprisingly agreed with the plaintiff's position that it was not uncommon to have ice on the road at that time of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think that in the circumstances a reasonably prudent driver ought to have been aware, given the cold temperature, the frost and the sanding on a major road and in a parking lot, that there was a possibility of icy conditions on the road, particularly in the early hours of the morning of November 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now turn to the issue of the speed that the defendant was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says that she was driving 50 to 60 kilometres per hour before any hazard presented itself on Zero Avenue. The plaintiff says that the defendant was driving 70 to 75 kilometres per hour and maintained that speed until she applied her brakes somewhere near the crest of the hill. The plaintiff also recalls the defendant telling someone after the accident that she was going 80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McKay said her evidence of her speed was a "rough guess", something on re-examination she described as an approximation. I find that her approximation really was as she initially described - simply a rough guess. Ms. Cranfield testified that she looked at the speedometer of Ms. McKay's LeMans, something that Ms. McKay said she did not notice her doing and something that Ms. McKay testified was difficult for a passenger to do. Ms. McKay said that not only was she not warned about driving too quickly by the plaintiff, but also that her driving and attendant braking and turning was appropriate and done without difficulty in the hills and turns that preceded the accident on Zero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place any weight on Ms. Cranfield's evidence of a conversation that Ms. McKay allegedly had after the accident with a gentleman, described as having a beard and wearing a baseball cap, because Ms. Cranfield was probably quite woozy after just being knocked unconscious. Likewise, any comment the defendant made to a witness at the scene might have been heard by Ms. Cranfield out of context in any event. However, I place some weight on the plaintiff's observation and estimate of the defendant's speed and her view of the speedometer shortly before the accident. I accept the plaintiff's evidence that she observed, from looking at the speedometer and her own assessment, that the defendant was driving around 70 kilometres per hour and I prefer that evidence over the defendant's estimate of her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was no particular evidence about the nature and extent of the ice on the road by anyone who was at the scene but it presumably was what caused the vehicles, which Ms. McKay saw at the sides of the road, to go off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Both sides called experts named Brown who gave evidence about the dynamics of the collision or the possible circumstances under which the vehicle came to collide with the utility pole as it did. The evidence is of some but limited assistance to me because little was introduced in evidence about the particular nature of the icy conditions on the road, the point where the skid began, and the precise location of the vehicles that were off the road, and where Ms. McKay was, when a possible danger ahead was first visible to her and she reacted and applied her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Craig Brown, the defendant's expert, was asked to give an opinion of whether the accident could have occurred with the vehicle travelling between 50 and 60 kilometres per hour. His evidence suggests that the accident could have occurred at a lower speed. He said that the accident could have occurred with the defendant's vehicle going between 50 and 60 kilometres per hour before seeing the hazard ahead. He testified that in his opinion the vehicle was going at a speed in the range of 16 and 30 kilometres per hour when it struck the pole. Given Mr. Robin Brown's description of the severity of the damage to the car, which I found reasonable, I find that the speed, on impact, while in that range was, given the substantial damage to the vehicle, at the higher end of that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Robin Brown, the plaintiff's expert called in rebuttal, indicated that the driveway near the crest of the hill to the east was about 153 metres from the pole, the crest of the hill being 140 metres from the pole.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think it is possible that if Ms. McKay was travelling between 50 and 60 kilometres per hour under extremely icy circumstances, if she reacted at 140 metres from the pole that she may have collided with the pole as the defendant's expert Craig Brown suggests. However, I find that it is more likely, given the likely speed of the vehicle on impact and the fact that vehicles off the road would likely have been visible at a distance greater than 140 metres away from the poles that the defendant was travelling at a speed greater than 50 to 60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upon a consideration of all of the evidence that the defendant was likely travelling at approximately 70 kilometres per hour as she neared the crest of the hill.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terms of braking, I find that the defendant was startled and applied her brakes firmly when she saw vehicles on the side of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Southin J.A. in Redlack v. Vekved </w:t>
      </w:r>
      <w:hyperlink r:id="rId314" w:history="1">
        <w:r>
          <w:rPr>
            <w:rFonts w:ascii="arial" w:eastAsia="arial" w:hAnsi="arial" w:cs="arial"/>
            <w:i/>
            <w:color w:val="0077CC"/>
            <w:sz w:val="20"/>
            <w:u w:val="single"/>
            <w:shd w:val="clear" w:color="auto" w:fill="FFFFFF"/>
            <w:lang w:val="en-US" w:eastAsia="en-US" w:bidi="ar-SA"/>
          </w:rPr>
          <w:t>(1996), 82 B.C.A.C. 313</w:t>
        </w:r>
      </w:hyperlink>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[1996] B.C.J. No. 3040</w:t>
        </w:r>
      </w:hyperlink>
      <w:r>
        <w:rPr>
          <w:rFonts w:ascii="arial" w:eastAsia="arial" w:hAnsi="arial" w:cs="arial"/>
          <w:color w:val="000000"/>
          <w:sz w:val="20"/>
          <w:lang w:val="en-US" w:eastAsia="en-US" w:bidi="ar-SA"/>
        </w:rPr>
        <w:t>, said this about a driver who was on the highway just south of Prince George (at [paragraphs] 20-21):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respondent was an inexperienced driver driving a compact or a subcompact vehicle at or about 55 miles per hour on a highway in northern British Columbia before 8:00 o'clock on a February morning at a time when the temperature was below freezing and, although there was no snow directly on the roads, there was snow along the highway.</w:t>
      </w:r>
    </w:p>
    <w:p>
      <w:pPr>
        <w:spacing w:before="120" w:line="260" w:lineRule="atLeast"/>
        <w:ind w:left="720"/>
        <w:rPr>
          <w:lang w:val="en-US" w:eastAsia="en-US" w:bidi="ar-SA"/>
        </w:rPr>
      </w:pPr>
      <w:r>
        <w:rPr>
          <w:rFonts w:ascii="arial" w:eastAsia="arial" w:hAnsi="arial" w:cs="arial"/>
          <w:color w:val="000000"/>
          <w:sz w:val="20"/>
          <w:lang w:val="en-US" w:eastAsia="en-US" w:bidi="ar-SA"/>
        </w:rPr>
        <w:t>A prudent driver in such circumstances must always bear in mind the possibility of icy patches and drive within his or her own competence, and the capacity of her vehicle, to cope with such patches. Just as the streets of London are crowded and dangerous, so, in the winter, are the roads on the mainland of British Columbia, once one is beyond the Lower Mainland, hazardous. To drive in such circumstances as if it were summer is not the conduct of a prudent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think that given the particular circumstances, the time of year, the early hour in the morning and the apparent freezing or near-freezing conditions revealed by frost and by salt and sand on a main road and parking lot, that a reasonably prudent driver would have foreseen a significant possibility of ice on the road and driven more slowly. In the circumstances, she ought to have been aware of a heightened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on balance that the manner of braking by Ms. McKay coupled with the speed that she was travelling, given the icy conditions, caused the slide that resulted in the plaintiff's injuries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I find that the plaintiff has proven on a balance of probabilities that the defendant was negligent. There will be judgment for the plaintiff in the amount that was agreed by the parties.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SIGURDSON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P.G. Restaurant Ltd. (c.o.b. Mama Panda Restaurant) v. Northern Interior Regional Health Board, [2004] B.C.J. No. 424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11 - 15, 18 - 22, 25 - 27,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15 - 19,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S013887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4 W.W.R. 287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 B.C.L.R. (4th) 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C.C.L.T. (3d) 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626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P.G. Restaurant Ltd. dba Mama Panda Restaurant, plaintiff, and Northern Interior Regional Health Board, Her Majesty The Queen in Right of the Province of British Columbia, Bruce Gaunt, Michelle Lang, Lorne Doerkson, Cameron McAlpine, Cariboo Press (1969) Ltd., Cariboo Press (1969) Ltd. dba The Prince George Free Press, The Prince George Free Press and John Doe Corporation dba The Prince George Free Press,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(263 paras.)</w:t>
      </w:r>
    </w:p>
    <w:p>
      <w:pPr>
        <w:jc w:val="both"/>
        <w:rPr>
          <w:rFonts w:ascii="arial" w:eastAsia="arial" w:hAnsi="arial" w:cs="arial"/>
          <w:sz w:val="20"/>
          <w:lang w:val="en-US" w:eastAsia="en-US" w:bidi="ar-SA"/>
        </w:rPr>
      </w:pPr>
      <w:bookmarkStart w:id="120" w:name="Counsel_14"/>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 Mickelson and S.R. Miller, for the plaintiff. D.T. McKnight and K.R. Zimmer, for the defendant, Northern Interior Regional Health Board. D.W. Burnett and J.L. Williams, for the defendants, Michelle Lang, Lorne Doerkson, Cameron McAlpine, Cariboo Press (1969) Ltd. dba The Prince George Free Press and The Prince George Free Press.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14"/>
      <w:bookmarkEnd w:id="121"/>
      <w:r>
        <w:pict>
          <v:line id="_x0000_s1098" style="position:absolute;z-index:251724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Restaurant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Board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Newspaper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Incident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Clean-up</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Investigation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Interview</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Bruce Gaunt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Evidence of Michelle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Lang</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Article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Aftermath</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Board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Newspaper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Board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Newspaper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Board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Newspaper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Board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Newspaper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Claim in </w:t>
            </w:r>
            <w:r>
              <w:rPr>
                <w:rFonts w:ascii="arial" w:eastAsia="arial" w:hAnsi="arial" w:cs="arial"/>
                <w:b/>
                <w:i/>
                <w:color w:val="000000"/>
                <w:sz w:val="18"/>
                <w:u w:val="single"/>
                <w:lang w:val="en-US" w:eastAsia="en-US" w:bidi="ar-SA"/>
              </w:rPr>
              <w:t>Negligence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Value of the Business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Ongoing Expenses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GOEPEL J."/>
            <w:bookmarkEnd w:id="122"/>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"Vomit serves up virus at buffet" headlined the front page of the July 18, 1999 edition of The Prince George Free Press (the "Free Press"). The accompanying story described an incident that had taken place at the Mama Panda Restaurant in Prince George (the "Restaurant") on June 8, 1999 in which a customer vomited on one of the Restaurant's buffet tables. Unknown to Restaurant staff, the patron was carrying the Norwalk virus. Although the staff cleaned up the area, at least 13 people became ill. The article included comments by Bruce Gaunt, the Chief Environmental Health Officer of the Northern Interior Regional Health Board (the "Board"), that the clean-up was not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Immediately following publication of the story business at the Restaurant collapsed; sales fell by approximately 50 percent. The Restaurant never recovered and ultimately closed; it blames the story for its woes. It brings this action in defamation against the Free Press, certain of its employees (collectively referred to as the "Newspaper") and the Board. It also claims against the Board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seeks damages in excess of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deny that the article was defamatory. In the alternative, they raise the defences of justification, fair comment and qualified privilege. The Board further argues that, as a matter of law, it cannot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statement that damages the plaintiff's reputation. The defendants submit that if they are liable, the plaintiff is entitled to but a fraction of the damages that it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Parties</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operated a buffet-style restaurant in Prince George called Mama Panda. The Restaurant, located in a large mall, opened for business on August 26, 1998. It was an instant success. In its early months of operation, cashiers and seating staff required headsets to manage the crowds and it was not uncommon for customers to line up waiting for seats to become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Restaurant operated as a flat-fee "all you can eat" buffet, serving Chinese and Western cuisine. The Restaurant did not offer a separate menu service, nor did it have a liquor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driving force behind the Restaurant was David Wong. Mr. Wong is an experienced restaurateur with over 25 years of restaurant experience. He had previously opened other Mama Panda restaurants in Fort St. John, Clearbrook, Surrey and Grande Prairie. Subsequent to opening the Restaurant in Prince George, Mr. Wong opened additional Mama Panda restaurants in Kelowna and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Prince George restaurant was 50% larger than the other Mama Panda locations. With the exception of the Surrey restaurant, which is now closed, the other Mama Panda restaurants have been generally successful and continue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Through his company Mama Panda Management Ltd. ("Management"), Mr. Wong owned 50% of the shares of the plaintiff. Management performed administrative duties for all the Mama Panda restaurants for a set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Nancy Wong, David Wong's former wife, was the Restaurant's on-site manager. Ms. Wong has more than 20 years experience in the restaurant industry. Together with her brother, she owned a 30% interest in the plaintiff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its first few months of operation the Restaurant's revenues far exceeded expectations. Although in the months prior to the incident sales had begun to fall off, the Restaurant remained profitable. On July 7, 1999, the Restaurant employees were union certified.</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Board is a public body, formed pursuant to s. 4 of the Health Authorities Act, S.B.C. 1993, c. 47, now </w:t>
      </w:r>
      <w:r>
        <w:rPr>
          <w:rFonts w:ascii="arial" w:eastAsia="arial" w:hAnsi="arial" w:cs="arial"/>
          <w:i/>
          <w:color w:val="000000"/>
          <w:sz w:val="20"/>
          <w:lang w:val="en-US" w:eastAsia="en-US" w:bidi="ar-SA"/>
        </w:rPr>
        <w:t>R.S.B.C. 1996, c. 180</w:t>
      </w:r>
      <w:r>
        <w:rPr>
          <w:rFonts w:ascii="arial" w:eastAsia="arial" w:hAnsi="arial" w:cs="arial"/>
          <w:color w:val="000000"/>
          <w:sz w:val="20"/>
          <w:lang w:val="en-US" w:eastAsia="en-US" w:bidi="ar-SA"/>
        </w:rPr>
        <w:t xml:space="preserve"> and B.C. Reg. 412/1994. The Board oversees one of three regions of the Northern Health Authority; it serves approximately 135,000 people and employs about 2,400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Pursuant to the Health Act, </w:t>
      </w:r>
      <w:r>
        <w:rPr>
          <w:rFonts w:ascii="arial" w:eastAsia="arial" w:hAnsi="arial" w:cs="arial"/>
          <w:i/>
          <w:color w:val="000000"/>
          <w:sz w:val="20"/>
          <w:lang w:val="en-US" w:eastAsia="en-US" w:bidi="ar-SA"/>
        </w:rPr>
        <w:t>R.S.B.C. 1996, c. 179</w:t>
      </w:r>
      <w:r>
        <w:rPr>
          <w:rFonts w:ascii="arial" w:eastAsia="arial" w:hAnsi="arial" w:cs="arial"/>
          <w:color w:val="000000"/>
          <w:sz w:val="20"/>
          <w:lang w:val="en-US" w:eastAsia="en-US" w:bidi="ar-SA"/>
        </w:rPr>
        <w:t xml:space="preserve"> and </w:t>
      </w:r>
      <w:hyperlink r:id="rId322" w:history="1">
        <w:r>
          <w:rPr>
            <w:rFonts w:ascii="arial" w:eastAsia="arial" w:hAnsi="arial" w:cs="arial"/>
            <w:i/>
            <w:color w:val="0077CC"/>
            <w:sz w:val="20"/>
            <w:u w:val="single"/>
            <w:shd w:val="clear" w:color="auto" w:fill="FFFFFF"/>
            <w:lang w:val="en-US" w:eastAsia="en-US" w:bidi="ar-SA"/>
          </w:rPr>
          <w:t>B.C. Reg. 210/1999</w:t>
        </w:r>
      </w:hyperlink>
      <w:r>
        <w:rPr>
          <w:rFonts w:ascii="arial" w:eastAsia="arial" w:hAnsi="arial" w:cs="arial"/>
          <w:color w:val="000000"/>
          <w:sz w:val="20"/>
          <w:lang w:val="en-US" w:eastAsia="en-US" w:bidi="ar-SA"/>
        </w:rPr>
        <w:t>, the Board is responsible for overseeing the Public Health Protection Program, a program designed to monitor and inspect food service premises, including restaurants, grocery stores and meat stores, and to respond to health issues concerning land development, water resources and recreational pools. The Public Health Protection Program is responsible for managing water contamination, communicable diseases, food contamination and sewage.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Lorna Medd is the Board's Medical Health Officer. She testified that the Board's mandate is to promote wellness in the region, ensure the timely treatment of illness, prevent illness and ensure that resources are used efficiently. She testified that the Board is required by legislation to use education to fulfill its role; punitive action is a last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Medd testified that the Board works with the media in order to fulfill the Board's education mandate. This includes educating the public on the prevention of illness and with respect to current health risks, such as the risk posed by food-borne illnesses. Dr. Medd gave evidence that the Board regards each interaction with the media as an opportunity to educate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Gaunt, as the Board's Chief Environmental Health Officer, reports to Dr. Medd. Originally a defendant in these proceedings, the action against him has been discontinued. The Board acknowledges that it is vicariously liable for Mr. Gaunt's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Paul Calzavara was a staff environmental health officer employed in Prince George by the Board from 1996 until 2000. His responsibilities included the inspection of between 100 and 200 restaurants. Mama Panda was one of the restaurants he inspected. He reported to Mr. Gaunt.</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Cariboo Press (1969) Ltd. operates the Free Press. It is distributed free of charge to homes and businesses in Prince George. It is one of two principal newspapers circulated in the Prince George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Michelle Lang is a reporter who in July 1999 was employed at the Free Press. She is the author of the article. In July 1999 Lorne Doerkson was the publisher of the Free Press and Cameron McAlpine was its editor.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Restaurant had a "Hot Buffet" consisting of four buffet tables: two long tables and two short ones, arranged in a rectangular shape. The tables were separated by about a metre so that patrons could obtain food items from either the inside or the outside of the rectangle. One of each of the long and short tables had Chinese food and the other two tables had Western cuisine. The smaller of the two Chinese food tables (the "Table") held ten inserts containing various kinds of Chinese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early afternoon of June 8, 1999, Mel Gordon, an elderly gentleman, attended the Restaurant with his wife, Hazel, who was in a wheelchair, and his wife's daughter-in-law, Dorothy Day. Mr. Gordon was standing inside the rectangle facing the middle of the Table. He vomited towards the food located in the centre of the Table. He then turned and vomited a second time, mostly on the floor between the two long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The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Wong was not at the Restaurant when the incident occurred. Brian Duffels, age 19, and Alan Watt, age 17, conducted the clean-up. Mr. Duffels was the buffet supervisor and took charge. He had never previously cleaned up vomit.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he was near the buffet tables at the time, Mr. Duffels did not actually see Mr. Gordon vomit. He heard a splashing sound, which he initially thought was a spilled drink. When he got to the scene, Mr. Duffels observed vomitus on the Table, on the floor, and on Mrs. Gordon's right shoulder. The vomit appeared to be a clear fluid with some chunks.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Duffels says that he and Mr. Watt immediately removed all of the food from the Table. Once the food was removed, Mr. Duffels went back to the kitchen and advised the cook that he would have to prepare new dishes of everything that had been on the Table. The cook was not pleased that so much food was being ordered at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Duffels and Mr. Watt then took steps to remove the vomit. They cleaned the surface of the Table with white cloths which were soaked in a bleach solution and then mopped the floor. Mr. Duffels testified that the food was not replaced until the surfaces had been thoroughly cleaned. He says that no customer ate any of the food that had been on the Table when Mr. Gordon vomited. Mr. Duffels was satisfied that the area had been properly cleaned before any food was returned. Mr. Duffels recalled that the clean-up took 20-25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Duffels said that he advised Ms. Wong of the incident later that day. He did so, in part, to explain to her why he had ordered such a large amount of food be replaced. Ms. Wong denies learning of the incident until she was confronted by Mr. Calzavara on June 11,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Watt generally confirmed Mr. Duffels' evidence in regard to the clean-up, with one major exception. Mr. Watt said that two food trays were left on the Table after Mr. Gordon had vomited. Mr. Watt said that he and Mr. Duffels discussed whether or not to remove those trays and decided to leave them because they did not believe that the vomit had reached them. Mr. Watt was not certain whether any food had been replaced before they completed the clean-up. Mr. Watt also said that customers were continuing to frequent the other buffet tables during the clean-up and were impatient about the lack of food at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incident, Mr. Watt signed a written statement in which he said that all the food was taken off the Table. He said he was given a prepared statement and told to sign it. Mr. Watt said he signed the statement because he was concerned for his job, even though the statement was not true in regard to removal of all the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Neither Mr. Duffels nor Mr. Watt wore gloves during the clean-up. They both became ill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Day testified that following the incident Mr. Gordon was sick a second time in the restroom. There is no evidence of any special steps being taken to clean the restroom. She further testified that only two of the ten food trays were removed from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June 8, 1999, Jenny Richards was in charge of the salad bar. She learned of the incident when someone requested that the food be replaced. She recalls the cook being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Richards testified that she went out to the floor some five or ten minutes later to check on the salad bar. She passed the Table and observed only clean inserts.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Richards did not see the vomiting incident or the clean-up. The area had been cleaned by the time she made her routine check of the salad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called Mr. Ashley Page and Mr. John Harper to testify as to how a restaurant should respond to a vomiting incident. Messrs. Page and Harper have in excess of 55 years combined experience in managing restaurants, including the maintenance of food safety standards. They had personally experienced and responded to several vomiting incidents in restaurant settings, including buffet-style settings. Neither was critical of the clean-up performed by the Restaurant's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Page testified that a person vomiting in a restaurant is not uncommon. He said that the normal response to vomit is to clean it up as quickly as possible with hot water and bleach. He was not aware of any written directive as to how to clean up vomit. He said he would not expect restaurant staff to know of the Norwalk virus in 1999, to know the virus could remain air-borne, or to know that bleach would not kill a virus associated with vomiting. He did not believe it was necessary to close the Restaurant while the vomit was being cleaned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Harper's evidence was similar. He said that Mr. Duffels' actions were consistent with what he would expect staff to do in the event of a vomiting incident. He said that restaurant staff would not expect that a patron had a highly infectious disease and would not respond to a vomiting incident on that basis. He said that restaurant staff would assume that the prescribed bleach solution would properly clean the vomit.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defence called Mr. Charles Young. Mr. Young is an environmental health consultant. He developed the curriculum for the body that certifies health inspectors and was also one of the creators of the Food Safe Program. He was critical of the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opinion, a restaurant should react on the basis that a customer who vomits might be ill. In his opinion, the buffet should have been closed until the clean-up was complete because it is impossible to clean thoroughly if customers are in the area. He was also of the view that the water heating the Table should have been drained and that the food from the two long buffet tables adjacent to the Table should have been removed. In his opinion, the Restaurant should have reacted as if the vomit was highly contagious.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June 10, 1999, the Board received a complaint from Ms. Tracy Espenhain. She and four co-workers from a dental clinic had eaten at the Restaurant on June 8, 1999. They all subsequently became ill. Mr. Calzavara attended at the Restaurant on June 10, 1999 to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Calzavara first became involved with the Restaurant when he reviewed their construction plans. He did an initial inspection prior to the Restaurant's opening and, after the opening, he had performed periodic inspections and had responded to customer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conducting an inspection, Mr. Calzavara would complete a Food Premises Report. He would note in the report any problems that he had observed and propose corrective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Calzavara would review his findings about the Restaurant with Ms. Wong. He found her to be cooperative and she usually followed his recommendations. Mr. Calzavara testified that he had a good relationship with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Calzavara stated that he had spent considerable time with Ms. Wong prior to the incident explaining the need for a Food Safety Plan and he had attempted to assist her in developing such a plan. Although such plans were not then required by legislation, Mr. Calzavara explained to Ms. Wong that a Food Safety Plan should be in place to deal with emergency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More specifically, Mr. Calzavara testified that he explained to Ms. Wong that it was important that the Food Safety Plan include the "Universal Precautions" approach to cleaning up bodily fluids. Mr. Calzavara explained to Ms. Wong that it was not uncommon for there to be bodily fluid incidents in restaurants and that a restaurant should know how to respond in such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Under the Universal Precautions approach, those responding to any bodily fluid incident must assume the fluid has disease-carrying organisms. Mr. Calzavara said that he explained to Ms. Wong that if a bodily fluid incident occurs, the Universal Precautions approach requires that the area affected by the bodily fluid be wiped down with paper towels and that a bleach solution of one part bleach to nine parts water be applied to the area and left on for at least ten minutes. He further explained to Ms. Wong that the persons involved in the cleaning should wear gloves.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Calzavara said he did not make a written record of his conversations with Ms. Wong about the need for a Food Safety Plan. He explained that he had developed a rapport with Ms. Wong and felt that she understood the need for such a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Restaurant did not implement a Food Safety Plan prior to the incident. Although such plans are now mandatory, they were not required by the regulations in force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Mr. Calzavara attended at the Restaurant on June 10, 1999 in response to Ms. Espenhain's complaint, he checked all food operations. He noted some minor issues but nothing that might explain the illness suffered by the patrons. He spoke to Ms. Wong concerning the complaint. He was not told about the vomiting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his inspection, Mr. Calzavara prepared a Food Premises Report. While noting some minor matters, the report was not overly critical of the Restaurant. On the evening of June 10, 1999, Mr. Calzavara sent an e-mail to his supervisor and co-workers, advising them of the five complainants and asking them to keep their eyes and ears open for complaints that might be tied either to the Restaurant or to the dental clinic where the five complainants were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following day Mr. Calzavara attended at the Prince George Hospital lab to determine whether there had been any other reported cases of vomiting. He was told that Mr. and Mrs. Gordon had been admitted to the hospital. He met with Ms. Day, who told Mr. Calzavara that Mr. Gordon had vomited at the Restaurant. This was the first time Mr. Calzavara heard about the incident. Ms. Day advised him that she observed the staff cleaning up the buffet, but that they had not removed all of the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Calzavara returned to the Restaurant where he confronted Ms. Wong. Ms. Wong denied knowing anything about the incident. She called Mr. Duffels over, who then advised Mr. Calzavara that all the food had been removed and explained that he and Mr. Watt had cleaned up the vomit with a solution of bleach and rags. However, another staff member, identified only as an East Indian busser, told Mr. Calzavara that not all the food had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Calzavara hypothesized that Mr. Gordon may have been infected with either the Norwalk or Rota virus. He made arrangements to take stool samples from some of the victims and he contacted the British Columbia Centre for Disease Control to assist in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Calzavara then spoke again with Ms. Espenhain. She also advised him that not all of the inserts had been removed from the left end of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June 12, 1999, Mr. Calzavara met with Mr. Watt. Mr. Calzavara testified that he told Mr. Watt that there were witnesses who had said that not all the food had been removed. Mr. Watt started crying and told him that the two inserts at the left end of the Table had not been removed. Mr. Watt told him that one of the inserts contained green beans. The menu plan for June 8th indicated that green beans were in one of the Table's end inserts.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stool samples confirmed that the outbreak was caused by the Norwalk virus. The Norwalk virus causes short-term vomiting and diarrhoea. Most victims recover within 24 or 48 hours without medical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Norwalk virus is spread among the human population in three main ways: (1) ingesting aerosolized spray, (2) hand to mouth contact, and (3) consuming contaminated food or water. The virus may remain suspended in the air for some time before falling. The Norwalk virus is not killed by standard disinfecting solutions and 10 to 100 microscopic virus particles can cause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course of the investigation some 13 victims were identified. Although Mr. Calzavara believed that there may have been additional victims who did not report their illness, his supervisors advised him not to continue his investigation as there was little remaining danger to the public and nothing to be gained from a more intensive hunt for victims.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Of the 13 victims identified, seven people, including the Gordons, had been patrons of the Restaurant. The others were employees of the Restaurant, including Mr. Duffels and Mr. Watt, and the mother of a Restaurant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suggests that the victims could have become ill by inhaling the virus, by eating replacement food on which the virus subsequently settled, or by touching the Table surface that remained contaminated despite the clean-up. There is no direct evidence that any of the 13 victims ate from the Table after the incident or ate food contaminated with the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Calzavara testified that, in his view, the clean-up had not been adequate. He believes the Restaurant staff failed to take appropriate steps to prevent the virus from surviving on the various surfaces. Although he acknowledged that he did not expect Restaurant employees to know that standard disinfectants would not kill the Norwalk virus, he believes they should have followed the Universal Precautions approach in their clean-up. Mr. Calzavara said he had discussed these procedures with Ms. Wong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Calzavara testified that he spoke to Ms. Wong again on June 14, 1999. He discussed with her actions that the staff should have taken, indicated that the Restaurant should have followed the Universal Precautions approach and explained again that the Restaurant needed a Food Safety Plan to deal with emergencies. Mr. Calzavara also explained that simply wiping a surface with rags is not sufficient to kill the Norwalk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June 24, 1999, Mr. Calzavara had a further meeting with Ms. Wong. They again discussed the creation of a Food Safety Plan. Mr. Calzavara testified that he told Ms. Wong at the June 24th meeting that the Restaurant should have been closed after the incident and all food trays should have been removed, including those beyond the area of obvious contamination. He told her the sanitation solution should have sat on the Table for ten minutes or more. Mr. Calzavara reiterated to Ms. Wong that in any situation involving bodily fluids staff should implement Universal Precautions measures, which, among other things, requires employees to wear gloves during a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Calzavara testified that he told Ms. Wong at this meeting that this was the type of situation he had been trying to avoid. He told Ms. Wong that he was upset that she had not brought the incident to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Calzavara says that at the June 24, 1999 meeting Ms. Wong was apologetic and accepted his comments. He did not prepare a Food Premises Report in regard to the meeting; in fact, he did not document the meeting at all. Mr. Calzavara explained that it was not his practice to use Food Premises Reports to document meetings of this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June 24, 1999, Mr. Calzavara sent a letter to the victims. The letter explained that the outbreak was caused by the Norwalk virus and noted that "the air, various hard surfaces, and possibly the food" had been contaminated. In regard to the Restaurant's actions, the letter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restaurant staff responded to the situation of the ill patron in a timely fashion. This outbreak could have occurred in other settings and locations. The association of this outbreak to this restaurant is somewhat coincidental.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letter provided certain particulars concerning the Norwalk virus and advised the victims that it was unlikely there would be any long-term health problems arising from their exposure to the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strenuously challenges Mr. Calzavara's evidence. Ms. Wong denies that Mr. Calzavara criticized the clean-up or suggested the Restaurant should have been closed or other food thrown out. She says Mr. Calzavara never mentioned the use of gloves. Ms. Wong does say that he advised her that if anyone asked about the incident she should refer them to Mr. Calzavara. Ms. Wong expected that Mr. Calzavara would tell anyone who contacted him that the Restaurant did nothing wrong. She has no recollection of being told that the buffet area and floor had to be thoroughly cleaned.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submits that Mr. Calzavara's criticism of the Restaurant is inconsistent with the June 24, 1999 letter to the victims and a subsequent letter Mr. Calzavera sent to the Restaurant on July 27, 1999 after publication of the article. Neither letter is critical of the Restaurant's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also notes the lack of any written criticism of the Restaurant's response. Counsel submits that if Mr. Calzavara had been critical, he would have documented his criticisms so there would be a record in place in case of future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Calzavara testified that Universal Precautions apply to any incident involving bodily fluids. In the course of cross-examination, counsel drew Mr. Calzavara's attention to the modified definition of Universal Precautions issued by the Centre for Disease Control in Atlanta, Georgia, in February 1999. Under the modified definition, Universal Precautions only apply to incidents involving blood, other bodily fluids containing visible blood, semen and vaginal secretions.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Mr. Calzavara was aware of the modified definition, he testified that he did not believe that it was issued until some time after the incident. Confronted with the evidence that the definition had changed in early 1999, Mr. Calzavara says that he was not aware of the change when he spoke to Ms. Wong both before and after the incident. He testified that when he discussed Universal Precautions with Ms. Wong in 1999, he advised her it applied to any bodily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July 14, 1999, Dr. Medd, in a regular report to the Board, noted, among other matters, that there had been a food-borne outbreak of Norwalk virus in Prince George leading to 13 cases of vomiting and diarrhoea. Ms. Lang covered health issues for the Newspaper. After reading Dr. Medd's report, Ms. Lang thought the number of cases might make the outbreak a newsworthy item and she followed up on the matter. She initially attempted to contact Mr. Calzavara, but was referred to his supervisor, Mr. Gaunt.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July 16, 1999, Ms. Lang interviewed Mr. Gaunt about the incident. The interview took place over the course of three telephone conversations. The interview provided the foundation of the article and is the basis of the claim against the Board. As there are significant differences in their respective recollections, I will review the testimony of Mr. Gaunt and Ms. Lang in some detail.</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Bruce Gaunt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Gaunt had ongoing discussions with Mr. Calzavara during the course of Mr. Calzavara's investigation. Prior to speaking to Ms. Lang, Mr. Gaunt spoke to Mr. Calzavara in order to refresh his memory on the outbreak. Mr. Calzavara reminded him that the clean-up was not adequate to deactivate the virus and that not all food had been removed from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Gaunt knew Ms. Lang to be a reporter, but he had had no prior dealings with her. Mr. Gaunt believed that a story about the Norwalk virus would be valuable to the public and the food industry. The public would learn of the dangers of going out when ill, while restaurants would learn of the difficulty in killing the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Gaunt's intention in speaking to Ms. Lang was to communicate to the general public about this emerging food-borne illness. This was the first outbreak of Norwalk in Prince George and Mr. Gaunt believed that the story might be newsworthy because of the unusual features of the virus, including its contagiousness and its ability to survive clean-up procedures. Mr. Gaunt also wanted to communicate to the food industry that a vomiting episode is not just a clean-up issue but could also be a disease transmission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first conversation took place on the morning of July 16, 1999. Mr. Gaunt advised Ms. Lang that it was an unusual case of food-borne illness because food-borne outbreaks usually involve problems with food as it comes out of the kitchen. They discussed food-borne illnesses in general and Mr. Gaunt explained that most food-borne illnesses are caused by bacteria growing in the food. In this case, there was nothing wrong with the food; a customer had transmitted the illness to the other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Gaunt advised Ms. Lang that the Norwalk virus was very contagious. He told her that the virus could be transmitted in three ways: (1) by a person eating food upon which the virus landed, (2) by a person touching surfaces the virus had contaminated and then putting his or her hands to his or her mouth, or (3) by ingesting aerosols. Mr. Gaunt explained that the vomiting episode produced an aerosol spray that spread the virus beyond the immediate scene of the vomit. He explained that the aerosols could alight on food or surfaces some distance away and that it would be difficult to ascertain where the virus was still present due to the microscopic size of the particles.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Gaunt told Ms. Lang that the virus was very resistant to cleaning and a strong solution of bleach was required to properly deactivate it. As to the Restaurant's response, Mr. Gaunt testified that he told Ms. Lang that the staff had removed the food that they observed was contaminated with vomitus and had cleaned the surfaces with soap and water and bleach, but what they had done was not adequate to deactivate the virus. As a consequence, other patrons became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Gaunt also told Ms. Lang that the Restaurant had not removed all of the food. He says Ms. Lang was somewhat incredulous and she felt it was a "yucky" situation that food contaminated with vomitus was left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initial conversation Mr. Gaunt was not asked the name of the restaurant. He told Ms. Lang the incident occurred at a buffet restaurant. Mr. Gaunt did not believe the name of the restaurant was relevant to a public health story about the Norwalk virus. His focus was on the outbreak.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the end of the conversation, Mr. Gaunt believed that Ms. Lang was going to write a story about a Norwalk virus outbreak and how the disease was transmitted. He had not identified the Restaurant and did not expect that the Restaurant's name would be used in the story. He did not expect to hear further from Ms. Lang.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Lang called Mr. Gaunt again at approximately 4:00 p.m. that afternoon. She asked Mr. Gaunt to provide the name of the restaurant. He refused. He told Ms. Lang that it was not relevant to the story concerning the outbreak and that publication of the name could damage its business. He did not want the restaurant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Gaunt was surprised when Ms. Lang asked for the name of the restaurant. He believed it would give the story a completely different complexion. Instead of being a story about the Norwalk virus, he felt the story would now be about food handling at a particular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Shortly after the second call, Ms. Lang called a third time. She told Mr. Gaunt that she had learned the name of the restaurant from other sources and asked him to confirm that it was Mama Panda. Mr. Gaunt refused to confirm or deny that Mama Panda was the restaurant involved. Ms. Lang told him that she had received a legal opinion and would be running the story naming Mama Panda.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Lang did not ask Mr. Gaunt if he wished to retract the story or make any clarifications or amendments to his statement. Mr. Gaunt did not request to clarify his earlier statements; he did not realize that such an opportunity or option was available to him. Mr. Gaunt was also concerned that to do so would be to unwittingly divulge or confirm that Mama Panda was the restaurant involved.</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Michelle Lang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Lang agreed that she had three telephone conversations with Mr. Gaunt. Although she made notes during the conversations, those notes could not be located after the litigation was commenced. Ms. Lang acknowledged that much of her recollection of her discussions with Mr. Gaunt is gleaned from what appears in the article. She agreed that it was difficult to remember all he had said to her and that Mr. Gaunt may have made comments that she did not include in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Lang does not recall whether she asked Mr. Gaunt for the name of the restaurant in the first conversation. Nor does she specifically recall discussing the Norwalk virus in any great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Lang agreed that Mr. Gaunt used the term "food-borne illness" not "food poisoning" to describe the incident. "Food-borne illness" describes any illness spread through the medium of food. "Food poisoning" is a component part of food-borne illness and it refers specifically to illnesses caused when a toxin is created in the food, usually by bacteria culturing in the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Lang says the message she took from her discussion with Mr. Gaunt was that there was a lapse in the Restaurant's quality control during this incident and that the Restaurant deviated from normal accepted standards. Mr. Gaunt told her the clean-up was inadequate to kill the virus. Ms. Lang does not recall if Mr. Gaunt advised her that the virus was resistant to normal disinfectants. She says it is unlikely he mentioned this fact because if he had, she would have included it in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Lang says Mr. Gaunt did not convey to her that the incident could have occurred at any other restaurant. She says further that he did not convey to her that the Restaurant was not expected at that time to be alive to the unique issues of Norwalk, nor that the Restaurant did what was reasonably expected of it under the circumstances. She says that she recognized the potential damaging impact of the article and if there had been any ambiguity in Mr. Gaunt's message she would have sought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agreeing that Mr. Gaunt advised her that the virus could be spread through contact with surfaces or through the food, Ms. Lang does not recall being told that it could be spread by aerosolized particles. Ms. Lang believes she would have included that detail in the article if Mr. Gaunt had mentioned it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Gaunt did not suggest to Ms. Lang there was any visible vomit left anywhere on the Table or that anyone ate perceptible particles of vomit. If Ms. Lang had thought that someone had eaten food with vomit on it, she would have put that in the article. Ms. Lang says she did not intend to suggest in the article that people ate food with vomit on it. She did understand that the food not removed may have been exposed to the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After her initial conversation with Mr. Gaunt, Ms. Lang telephoned Dr. Medd to enquire about the name of the restaurant. Dr. Medd would not disclose the name. Ms. Lang subsequently called Mr. Gaunt who also refused to name the restaurant. Mr. Gaunt made clear to her that he did not want her to name the restaurant in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Lang subsequently learned from a co-worker that Mama Panda was the restaurant in question. She telephone Ms. Wong, who confirmed the incident had occurred at Mama Panda. Ms. Wong told Ms. Lang that the illness was not caused by Mama Panda's food and that she should not write the article because the incident was not the Restaurant's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Lang then telephoned Mr. Gaunt again, asking him to confirm that Mama Panda was the Restaurant. Mr. Gaunt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article was prominently displayed on the front page of the Newspaper. Under the banner headline, "Vomit serves up virus at buffet", the article commenced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a case of food poisoning that would make most people want to throw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Thirteen people fell ill in Prince George last month after eating from a buffet that a customer had vomited on. Environmental health officials say restaurant staff did not adequately clean the vomit off the buffet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article went on to advise that the customers had contracted the Norwalk virus. The article contained a quote from Ms. Wong, asserting that Mama Panda's food did not cause the illness. The article quoted Mr. Gaunt as saying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most food poisonings, the food itself is contaminated with bacteria. This was a virus. As well, it may not have been the food that was involved. It was contact with the surfaces that were not adequately disinfected that likely caused the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facility staff thought they had it cleaned up. They removed all food items they thought were involved. But they didn't do a clean up adequate to prevent the virus from surviving on the surfaces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article noted that the Board had completed an investigation and would not be pursuing any action against the Restaurant. It further quoted Mr. Gaunt as calling the incident "a lapse in their quality control". The article noted that environmental health officials were working with the Restaurant staff as to how to handle such situations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Lang was the author of the article but she did not write the headline. She testified that she obtained legal advice before the article was published. She also testified that the direct quotes she attributed to Mr. Gaunt were accurate and were statements Mr. Gaunt made to her. She acknowledged that Mr. Gaunt did not use the term "food poisoning". He had referred to a "food-borne illness" and Ms. Lang wrongfully assumed the terms were synonymous. She further agreed that Mr. Gaunt did not say that staff had not adequately cleaned the vomit off the Table. She acknowledged that what Mr. Gaunt told her was that the clean-up was inadequate to prevent the virus from surviving.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The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impact on the Restaurant was immediate. In the week following publication of the story, sales fell by 50 percent. With the odd exception, sales remained at such reduced levels until the Restaurant ultimately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Following publication of the article, Ms. Wong asked the Board to provide her with a letter that she could show to customers. On July 27, 1999, Mr. Calzavara wrote to Ms. Wong. The letter notes that the Norwalk virus is not deactivated by standard disinfecting solutions and that no action had been taken against the Restaurant "because conditions and safety measures were consistent with what we require". The letter further notes that if the customer had been ill at any other buffet or smorgasbord-style restaurant, any bulk food store, or any public pool, a similar outbreak would likely have occurred. It advises the Restaurant that they may direct any individuals with concerns about the Restaurant to Mr. Calzavara.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Wong put a copy of the letter in the front entrance of the Restaurant. On August 1, 1999, the Restaurant placed a half-page advertisement in both the Free Press and the Prince George Citizen. The advertisement contained a copy of the July 27, 1999 letter and ran under a banner quoting in bold print Mr. Calzavara's comment that "Your Establishment is Proactive in Establishing Food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August 5, 1999, counsel for the Restaurant wrote to the Free Press demanding a retraction and an apology, and advising that if an apology and retraction were not published in that weekend's edition, the Restaurant would commence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McAlpine responded immediately. Although he did not acknowledge any error in the article, he did advise that the paper was prepared to print a clarification. No immediate response to this proposal was forthcoming from the Restaurant's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article was picked up by the Jay Leno television show. On August 9, 1999, the story was prominently featured in the "Headlines" segment of the show. After reading the headline and the opening paragraph of the article, Mr. Leno, to the amusement of his audience, commented that he would rather eat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December 1, 1999, counsel for the Restaurant belatedly responded to Mr. McAlpine's proposed clarification. He requested that the Free Press publish a clarification and suggested certain wording. With some minor exceptions, his wording was accepted and, on page 2 of the December 5, 1999 edition, the Free Press published the following: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Clarification - Mama Panda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July 18 report of an "atypical" and "unusual" viral infection at the Mama Panda Buffet Restaurant, we reported that, after the initial vomiting incident, the restaurant removed all food items but that the virus was able to survive on the buffet surfaces. The Prince George Free Press wishes to clarify that this was not a case of food poisoning nor did any customers eat food that had been vomited on. In fact, no problem is thought to have originated from the food with which the buffet was originally stocked, nor that which was used in restocking.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the subsequent infection arose from the unusual and atypical presence of a virus, originating from outside the restaurant, introduced by a customer, and which managed to survive on the surfaces despite a thorough cleanup.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Nine days after our original report, health officials stated that this virus could not be "inactivated" by the standard disinfecting solutions used by the restaurant which complied with health guidelines stipulated by the Regional Health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Health Board notes that the incident could have happened "at any other buffet or smorgasbord-style restaurant, any bulk food store, or any public pool." The Health Board observed that Mama Panda's Restaurant is "proactive in maintaining food safety" and is, in their view, "a safe place to eat."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Prince George Free Press is pleased to clarify any misimpression left by our original report which was based on the information then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December 1999, the Restaurant retained a management consultant to develop a marketing strategy to regain customers. On the recommendation of the consultant, the Restaurant closed from January 31 to February 10, 2000 and then re-opened with some fanfare claiming the Restaurant was now under new management. It offered gift certificates and "2 for 1" coupons. As the promotion ran its course, sales briefly returned to pre-incident levels. However, the return of customers was short-lived; sales soon plummeted to their post-article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September 2000, the Restaurant closed for three months. The interior was partially renovated and the Restaurant re-opened under the name Buffet Gardens. Sales did not pick up and losses continued to mount. In January 2002, the Restaurant closed for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first issue for determination is whether the Board or the Newspaper defamed the plaintiff. If they did, consideration must be given to the defences of justification, fair comment and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Board requires me to determine whether or not such a claim exists in law and, if it does, whether in the circumstances of this case the claim against the Board can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If I find liability on any ground, consideration must be given to the issue of damages. This will require determining what losses of the plaintiff flow from the actions of the defendants and whether the plaintiff took reasonable steps to mitigate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Defamation</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an action for defamation, the onus is on the plaintiff to establish: (a) that the words complained of were published; (b) that the words complained of refer to the plaintiff; and (c) that the words complained of, in their natural and ordinary meaning, or in some pleaded extended meaning, are defamatory of the plaintiff: see Hodgson v. Canadian Newspapers Co. Ltd. </w:t>
      </w:r>
      <w:hyperlink r:id="rId127" w:history="1">
        <w:r>
          <w:rPr>
            <w:rFonts w:ascii="arial" w:eastAsia="arial" w:hAnsi="arial" w:cs="arial"/>
            <w:i/>
            <w:color w:val="0077CC"/>
            <w:sz w:val="20"/>
            <w:u w:val="single"/>
            <w:shd w:val="clear" w:color="auto" w:fill="FFFFFF"/>
            <w:lang w:val="en-US" w:eastAsia="en-US" w:bidi="ar-SA"/>
          </w:rPr>
          <w:t>(1998), 39 O.R. (3d) 235</w:t>
        </w:r>
      </w:hyperlink>
      <w:r>
        <w:rPr>
          <w:rFonts w:ascii="arial" w:eastAsia="arial" w:hAnsi="arial" w:cs="arial"/>
          <w:color w:val="000000"/>
          <w:sz w:val="20"/>
          <w:lang w:val="en-US" w:eastAsia="en-US" w:bidi="ar-SA"/>
        </w:rPr>
        <w:t xml:space="preserve"> at 248 (Gen. Div.), varied on other grounds </w:t>
      </w:r>
      <w:hyperlink r:id="rId128" w:history="1">
        <w:r>
          <w:rPr>
            <w:rFonts w:ascii="arial" w:eastAsia="arial" w:hAnsi="arial" w:cs="arial"/>
            <w:i/>
            <w:color w:val="0077CC"/>
            <w:sz w:val="20"/>
            <w:u w:val="single"/>
            <w:shd w:val="clear" w:color="auto" w:fill="FFFFFF"/>
            <w:lang w:val="en-US" w:eastAsia="en-US" w:bidi="ar-SA"/>
          </w:rPr>
          <w:t>(2000) 49 O.R. (3d) 161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must prove that the words complained of are defamatory. A communication is defamatory if it tends to harm the reputation of another so as to lower them in the estimation of the community or to deter third persons from associating or dealing with them: see Raymond E. Brown, The Law of Defamation in Canada, 2d ed., looseleaf (Scarborough, Ont.: Carswell, 1999) vol. 1 at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determining whether or not the words used are defamatory, a court will look at their ordinary and natural meaning. As Sinclair Prowse J. states in Kerr v. Conlogue </w:t>
      </w:r>
      <w:hyperlink r:id="rId323" w:history="1">
        <w:r>
          <w:rPr>
            <w:rFonts w:ascii="arial" w:eastAsia="arial" w:hAnsi="arial" w:cs="arial"/>
            <w:i/>
            <w:color w:val="0077CC"/>
            <w:sz w:val="20"/>
            <w:u w:val="single"/>
            <w:shd w:val="clear" w:color="auto" w:fill="FFFFFF"/>
            <w:lang w:val="en-US" w:eastAsia="en-US" w:bidi="ar-SA"/>
          </w:rPr>
          <w:t>(1992), 65 B.C.L.R. (2d) 70</w:t>
        </w:r>
      </w:hyperlink>
      <w:r>
        <w:rPr>
          <w:rFonts w:ascii="arial" w:eastAsia="arial" w:hAnsi="arial" w:cs="arial"/>
          <w:color w:val="000000"/>
          <w:sz w:val="20"/>
          <w:lang w:val="en-US" w:eastAsia="en-US" w:bidi="ar-SA"/>
        </w:rPr>
        <w:t xml:space="preserve"> (S.C.) at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establish this claim, the plaintiff must establish that the article is capable of being defamatory (a question of law) and further that the article, given its natural and ordinary meaning is defamatory in the manner claimed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this proceeding, it is necessary to differentiate between the allegations brought against the Board and those brought against the Newspaper. The claim against the Board is based upon Mr. Gaunt's statements to Ms. Lang on July 16, 1999 and the subsequent re-publication, as the term is used in the context of defamation, of certain of those statements in the article. If Mr. Gaunt did not defame the plaintiff in his conversations with Ms. Lang, the Board cannot be liable for any re-publication of his statements. The claim against the Newspaper is founded on the article of July 18, 1999.</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To succeed against the Board the plaintiff must establish that Mr. Gaunt defamed the Restaurant during his telephone conversations with Ms. Lang. Unless Mr. Gaunt defamed the plaintiff, the Board cannot be liable for any re-publication of his comments in the Free Press. Before I can determine this issue I must first make certain findings of fact concerning the conversations between Mr. Gaunt and Ms. Lang.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prefer the evidence of Mr. Gaunt to that of Ms. Lang. Mr. Gaunt has more reason than Ms. Lang to recall the conversations accurately. The Norwalk outbreak was a matter of particular importance to Mr. Gaunt. He embarked on the interview in the belief that it would help educate the local population about the Norwalk virus. He was sufficiently concerned about Ms. Lang's having discovered the name of the Restaurant that he noted that conversation in his day book and he sent an email to Dr. Medd immediately following the conversation, advising her that the Newspaper had determined the identity of the Restaurant. Mr. Gaunt was dismayed when he read the story as the emphasis of the story was no longer the Norwalk virus but rather on the events at a particular restaurant. It is unlikely that Mr. Gaunt would have forgotten the details of his discussion with Ms. Lang.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For Ms. Lang, on the other hand, this was one of many stories she has written over the last several years. Her involvement was of short duration: Dr. Medd presented her report to the Board on July 14, 1999, Ms. Lang spoke to Mr. Gaunt on July 16, 1999, and the article was published on July 18,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was almost two years after publication of the article that the litigation commenced. Although Ms. Lang took notes during her conversations with Mr. Gaunt, those notes had been misplaced by the time the plaintiff started the action. Her recollection of the conversations is, therefore, understandably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Although I prefer Mr. Gaunt's evidence, I do not suggest that Ms. Lang was attempting to be anything but honest. She was testifying about events that she had little reason to recall and without the benefit of her notes. She candidly admitted that her recollection of the conversations was largely limited to what appeared in the article. She agrees that Mr. Gaunt may have discussed matters that are not in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accept Mr. Gaunt's evidence that the first conversation was largely devoted to the Norwalk virus and its various characteristics. I further accept that Mr. Gaunt advised Ms. Lang of the three ways in which the virus could be spread and that the virus was very resistant to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reject Ms. Lang's evidence that there was little discussion about the Norwalk virus. It was Ms. Lang's curiosity about the Norwalk virus that initially piqued her interest in the story. She testified that she knew little about the Norwalk virus prior to having seen the reference in Dr. Medd's report. It makes sense that most of the initial conversation concerned the Norwalk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also reject Ms. Lang's evidence that the main message Mr. Gaunt conveyed was that there had been a lapse in the Restaurant's quality control. Although I accept that Mr. Gaunt did tell Ms. Lang that the Restaurant staff did not perform a clean-up adequate to prevent the virus from surviving on the surfaces and that he called the incident a lapse in their quality control, I am satisfied he made these comments in the context of the virus' resistance to normal disinfectants.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alleges that Mr. Gaunt's statements concerning the adequacy of the clean-up are defamatory and Mr. Gaunt admits he made those statements. Those words, in their natural and ordinary meaning, suggest that the Restaurant was not concerned with cleanliness or the health of its customers. Such statements certainly tend to harm the reputation of the Restaurant and to lower it in the estimation of the community. They are, therefore, defamatory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must prove, however, not only that the words were defamatory, but that the words complained of refer to the plaintiff: see P. Lewis, ed., Gatley on Libel and Slander, 8th ed. (London: Sweet &amp; Maxwell, 1981) at [paragraph] 281. Mr. Gaunt was most careful not to identify the Restaurant. Even after Ms. Lang learned the name of the Restaurant from other sources, Mr. Gaunt refused to confirm that the incident had occurred at Mama Panda.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leading case in British Columbia on identification of a plaintiff in a defamatory statement where the plaintiff is not specifically named is Dale's Trad'N Post Ltd. v. Rhodes </w:t>
      </w:r>
      <w:hyperlink r:id="rId324" w:history="1">
        <w:r>
          <w:rPr>
            <w:rFonts w:ascii="arial" w:eastAsia="arial" w:hAnsi="arial" w:cs="arial"/>
            <w:i/>
            <w:color w:val="0077CC"/>
            <w:sz w:val="20"/>
            <w:u w:val="single"/>
            <w:shd w:val="clear" w:color="auto" w:fill="FFFFFF"/>
            <w:lang w:val="en-US" w:eastAsia="en-US" w:bidi="ar-SA"/>
          </w:rPr>
          <w:t>(1987), 19 B.C.L.R. (2d) 73</w:t>
        </w:r>
      </w:hyperlink>
      <w:r>
        <w:rPr>
          <w:rFonts w:ascii="arial" w:eastAsia="arial" w:hAnsi="arial" w:cs="arial"/>
          <w:color w:val="000000"/>
          <w:sz w:val="20"/>
          <w:lang w:val="en-US" w:eastAsia="en-US" w:bidi="ar-SA"/>
        </w:rPr>
        <w:t xml:space="preserve"> (S.C.). In Dale's, Mrs. Rhodes placed two advertisements in a newspaper published in Prince George. She was unhappy with an Arrow fireplace insert she had purchased from the plaintiff. However, the advertisements did not refer to the plaintiff by name. Legg J. concluded that even though the plaintiff was the only vendor of these inserts in Prince George, that the advertisements were published in a Prince George newspaper, and that the advertisements indicated that Mrs. Rhodes bought the insert from a local vendor, the language was not capable of referring to the plaintiff and would not lead a reasonable person to the conclusion that the advertisements referred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reaching his decision, Legg J. referred to Knupffer v. London Express Newspaper Ltd., [1944] 1 All E.R. 495 (H.L.), specifically at p. 78 to the following passage in Viscount Simon's judgment at p. 497: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two questions involved in the attempt to identify the appellant as the person defamed. The first question is a question of law - can the article, having regard to its language, be regarded as capable of referring to the appellant? The second question is a question of fact, namely, does the article in fact lead reasonable people, who know the appellant, to the conclusion that it does refer to him? Unless the first question can be answered in favour of the appellant, the second question does not arise, and where the trial judge went wrong was in treating evidence to support the identification in fact as governing the matter, when the first question is necessarily, as a matter of law to be answered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conversations with Ms. Lang, Mr. Gaunt did not identify the Restaurant. He simply advised her that the incident happened at a restaurant in Prince George that offers a buffet and that had had a good record with the Board prior to the outbreak. It is clear from the evidence that there are countless restaurants in Prince George. Mr. Calzavara is involved in inspecting more than 100 of them. There is also evidence that several other Prince George restaurants offer buffets. Ms. Lang herself was unable to identify the Restaurant until she learned its name from another source who knew about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Although as a matter of law the statements were capable of referring to the Restaurant, I find as a matter of fact that Mr. Gaunt's statements would not lead reasonable people to conclude the incident happened at Mama Panda.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Mr. Gaunt's words would not lead a reasonable person to conclude that the comments referred to the Restaurant, the claim in defamation against the Board must fail.</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Articles or stories appearing in newspapers present special problems in determining defamatory meaning. Brown posits the following at p. 5-108 and 5-109: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ascertaining whether the publication is defamatory, a court must not confine itself to the plain text, but must also consider its composition, syntax and context, the prominence of its placement in the magazine or newspaper, the positive or negative thrust of the article, any material factual omissions or distortions, and any other facts that reflect upon the author's intent and purpose. ... More latitude will be given to the capacity for words in a newspaper to convey a defamatory imputation where the words used are ambiguous, loose, fanciful or unusual. It must be kept in mind that the reader of a newspaper article would probably read it only once and not study it in detail. It may be read not only in the peace and quiet of one's home, but more hurriedly in an office and on a train or streetcar, or in an automobile. The average reader skims through his or her newspaper without concentrating on the detail, has a greater capacity for implication, and is often guilty of loose thinking and prone to draw derogatory inferences. He or she will be particularly influenced by headlines, bylines, graphics and other media techniques which are displayed prominently in order to communicate messages to a mass audience.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alleges two separate defamatory stings associated with the article: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got food poisoning from eating food with vomit on 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became ill with food poisoning because of the Restaurant's shoddy response to cleaning up the vomit.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submits that the first sting is captured in the headline and the opening two paragraphs, which I repeat here for convenience: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Vomit serves up virus at buffet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a case of food poisoning that would make most people want to throw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Thirteen people fell ill in Prince George last month after eating from a buffet that a customer had vomited on. Environmental health officials say restaurant staff did not adequately clean the vomit off the buffet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submits that the first defamatory sting engenders the most disgusting image one could conceive of in connection with a buffet-style restaurant. It says it is hard to imagine a more damaging statement made about a restaurant and that this first sting had a most devastating effect, not only because of the nature of the image it invokes, but also because of the sensational nature of the headline and the placement of the story in the centre of the front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says the second defamatory sting is captured in the following statements: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health officials say the restaurant did not adequately clean the vomit off the buffet surface.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contact with surfaces that were not adequately disinfected that likely caused the illness.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Gaunt called the incident "a lapse in their quality control".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Restaurant staff didn't do a clean-up adequate to prevent the virus from surviving on the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says the sting of these statements is twofold:</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Restaurant failed to meet the appropriate standard of care with respect to the clean-up and, in particular, in relation to cleaning the vomit off the Table.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Restaurant's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people fell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says that both stings must be juxtaposed with the message contained in the clarification published in the Free Press some months later, which I repeat for convenience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Prince George Free Press wishes to clarify that this was not a case of food poisoning nor did any customers eat food that had been vomited on. In fact, no problem is thought to have originated from the food with which the buffet was originally stocked, nor that which was used in restocking.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the subsequent infection arose from the unusual and atypical presence of a virus, originating from outside the restaurant, introduced by a customer, and which managed to survive on the surfaces despite a thorough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Newspaper submits that the article must be read as a whole. The plaintiff cannot complain about an isolated passage in an article if other parts of the article shed a different light on that passage: see Charleston v. News Group Newspapers Ltd., [1995] 2 All E.R. 313 (H.L.). The Newspaper says the court must adopt the perspective of readers who read the article as a whole, including the statements that the Restaurant "had a good track record" and that "[t]he facility staff thought they had it cleaned up. They removed all food items they thought were involved." The discerning reader would also note Ms. Wong's statement that the illness was not caused by the Restaurant's food and the bold quote from Mr. Gaunt that begins with "[t]his is definitely an atypical event" and ends with "this was a virus and it may not have been the food that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Newspaper further submits that the plaintiff cannot rely on the headline and the first two sentences alone because a reader would not know the name of the restaurant being referred to and, accordingly, the critical element of identity would be missing. Any reader who read far enough to come upon the name of the Restaurant, which does not appear until the fourth paragraph, would by then have encountered statements confirming that the problem was a virus and not the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Newspaper submits that the meaning asserted by the plaintiff, that the Restaurant let customers eat food that had been vomited on, is not supportable. It submits that no reasonable reader could read the article and not be aware that the staff cleaned up and removed all the food they thought was contaminated. Similarly, no reasonable reader would readily infer the unreasonable, namely that a restaurant would knowingly let customers eat vomit. Although it agrees that the headline and opening sentences are certainly important elements to be considered when determining the meaning of the article, the Newspaper suggests that the only real meaning that can be gleaned from the headline is that vomit somehow caused a virus at a buffet but the headline leaves the reader wondering what happened and compels the reader to read the article to find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Newspaper contrasts the headline in this case to that in Bennett v. Sun Publishing Co. Ltd. </w:t>
      </w:r>
      <w:hyperlink r:id="rId325" w:history="1">
        <w:r>
          <w:rPr>
            <w:rFonts w:ascii="arial" w:eastAsia="arial" w:hAnsi="arial" w:cs="arial"/>
            <w:i/>
            <w:color w:val="0077CC"/>
            <w:sz w:val="20"/>
            <w:u w:val="single"/>
            <w:shd w:val="clear" w:color="auto" w:fill="FFFFFF"/>
            <w:lang w:val="en-US" w:eastAsia="en-US" w:bidi="ar-SA"/>
          </w:rPr>
          <w:t>(1972), 29 D.L.R. (3d) 423</w:t>
        </w:r>
      </w:hyperlink>
      <w:r>
        <w:rPr>
          <w:rFonts w:ascii="arial" w:eastAsia="arial" w:hAnsi="arial" w:cs="arial"/>
          <w:color w:val="000000"/>
          <w:sz w:val="20"/>
          <w:lang w:val="en-US" w:eastAsia="en-US" w:bidi="ar-SA"/>
        </w:rPr>
        <w:t xml:space="preserve"> (B.C.S.C.), a case the plaintiff relied on. In Bennett, the headline in itself was a complete defamation because it included the elements of identity and defamatory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satisfied, taking the article as a whole, that the words bear the defamatory meaning the plaintiff alleges. The combination of the prominent headline and opening two paragraphs in their plain and ordinary meaning convey that patrons at the Restaurant were poisoned because vomit had not been removed from the buffet. Subsequent paragraphs of the article do not remove the sting. Indeed, comments suggesting that the Table was not adequately disinfected and that the clean-up was not adequate to prevent the virus from surviving reinforce the defamatory meaning. The reference to food poisoning and to the fact that people fell ill after eating from the buffet compound the impression that the Restaurant patrons were served and consumed food with vomit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Justification</w:t>
      </w:r>
      <w:r>
        <w:rPr>
          <w:rFonts w:ascii="arial" w:eastAsia="arial" w:hAnsi="arial" w:cs="arial"/>
          <w:sz w:val="20"/>
          <w:lang w:val="en-US" w:eastAsia="en-US" w:bidi="ar-SA"/>
        </w:rPr>
        <w:cr/>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Justification is an affirmative defence. The burden of proving justification lies with the defendant. Brown sets out the rationale for the defence in vol. 2 at pages 10-2 - 10-4: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Justification or the truth of the matter asserted is a complete defence to an action for defamation. The published material must be false. "What is true cannot be defamatory. No one can be heard to complain if only the trust is published about him." A plaintiff has no right to have his or her character or reputation free of an imputation that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test for justification is whether what is said is substantially true. As noted by Drossos J. in Taylor-Wright v. CHBC-TV, a division of WIC Television Ltd., </w:t>
      </w:r>
      <w:hyperlink r:id="rId326" w:history="1">
        <w:r>
          <w:rPr>
            <w:rFonts w:ascii="arial" w:eastAsia="arial" w:hAnsi="arial" w:cs="arial"/>
            <w:i/>
            <w:color w:val="0077CC"/>
            <w:sz w:val="20"/>
            <w:u w:val="single"/>
            <w:shd w:val="clear" w:color="auto" w:fill="FFFFFF"/>
            <w:lang w:val="en-US" w:eastAsia="en-US" w:bidi="ar-SA"/>
          </w:rPr>
          <w:t>[1999] B.C.J. No. 334</w:t>
        </w:r>
      </w:hyperlink>
      <w:r>
        <w:rPr>
          <w:rFonts w:ascii="arial" w:eastAsia="arial" w:hAnsi="arial" w:cs="arial"/>
          <w:color w:val="000000"/>
          <w:sz w:val="20"/>
          <w:lang w:val="en-US" w:eastAsia="en-US" w:bidi="ar-SA"/>
        </w:rPr>
        <w:t xml:space="preserve"> (S.C.) at [paragraphs] 32 and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is on the defendant to plead and to prove, on the balance of probabilities, that the published statements, in the setting, context, and circumstances in which the words were used, are substantially true: Upton v. Better Business Bureau of the Mainland of B.C. </w:t>
      </w:r>
      <w:hyperlink r:id="rId327" w:history="1">
        <w:r>
          <w:rPr>
            <w:rFonts w:ascii="arial" w:eastAsia="arial" w:hAnsi="arial" w:cs="arial"/>
            <w:i/>
            <w:color w:val="0077CC"/>
            <w:sz w:val="20"/>
            <w:u w:val="single"/>
            <w:shd w:val="clear" w:color="auto" w:fill="FFFFFF"/>
            <w:lang w:val="en-US" w:eastAsia="en-US" w:bidi="ar-SA"/>
          </w:rPr>
          <w:t>(1980), 23 B.C.L.R. 228</w:t>
        </w:r>
      </w:hyperlink>
      <w:r>
        <w:rPr>
          <w:rFonts w:ascii="arial" w:eastAsia="arial" w:hAnsi="arial" w:cs="arial"/>
          <w:color w:val="000000"/>
          <w:sz w:val="20"/>
          <w:lang w:val="en-US" w:eastAsia="en-US" w:bidi="ar-SA"/>
        </w:rPr>
        <w:t xml:space="preserve"> (S.C.). If the truth of the matter upon which the publication speaks cannot be established then the foundation of the plea fails and the defence cannot proceed: Boland v. Globe &amp; Mail </w:t>
      </w:r>
      <w:hyperlink r:id="rId328" w:history="1">
        <w:r>
          <w:rPr>
            <w:rFonts w:ascii="arial" w:eastAsia="arial" w:hAnsi="arial" w:cs="arial"/>
            <w:i/>
            <w:color w:val="0077CC"/>
            <w:sz w:val="20"/>
            <w:u w:val="single"/>
            <w:shd w:val="clear" w:color="auto" w:fill="FFFFFF"/>
            <w:lang w:val="en-US" w:eastAsia="en-US" w:bidi="ar-SA"/>
          </w:rPr>
          <w:t>(1961), 29 D.L.R. (2d) 401</w:t>
        </w:r>
      </w:hyperlink>
      <w:r>
        <w:rPr>
          <w:rFonts w:ascii="arial" w:eastAsia="arial" w:hAnsi="arial" w:cs="arial"/>
          <w:color w:val="000000"/>
          <w:sz w:val="20"/>
          <w:lang w:val="en-US" w:eastAsia="en-US" w:bidi="ar-SA"/>
        </w:rPr>
        <w:t xml:space="preserve"> (Ont. C.A.) at 418-419.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Substantial truth is the threshold for the defence of justification. The defendant need only establish that the whole of the defamatory matter is substantially true, including any specific charges that are made and any inferences of fact flowing from those charges: Upton v. Better Business Bureau,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order to determine whether or not the defamatory statements were substantially true it is first necessary to make certain factual findings concerning the clean-up and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regard to the clean-up, I prefer Mr. Watt's evidence to that of Mr. Duffels and Ms. Richards. Mr. Watt's contemporaneous statement to Mr. Calzavara is compelling evidence that at least two food inserts were not removed during the clean-up. It is also consistent with Ms. Day's evidence that not all food was removed. I do not accept the evidence of Ms. Richards. This incident was of little import to her at the time. She was only asked to recall the event years after it occurred. Her interest was the salad bar, not the buffet. I believe she is mistaken in her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prefer Mr. Calzavara's recollections over Ms. Wong's. This was, for Mr. Calzavara, a matter of great importance. For several days he worked full-time on the investigation. His investigative skills and intuition led to the discovery that the Norwalk virus was the cause of the outbreak. His efforts won him accolades from his superiors. Mr. Calzavara has no personal interest in the outcome, having left the Board's employment prior to the commencement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Wong, on the other hand, has little reason to accurately remember the events surrounding the incident. She was absent from the Restaurant when the incident occurred. Until the Free Press published the article, the incident was of little moment to her. As a significant shareholder in the plaintiff company, Ms. Wong has a material interest in the outcome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accept Mr. Calzavara's evidence that he discussed Universal Precautions with Ms. Wong prior to the incident. I further accept that in discussions with Ms. Wong he was critical of the clean-up. I also accept his evidence that, after the incident, he made recommendations to Ms. Wong as to how the Restaurant should handle similar incidents in the future. His evidence in this regard is partly confirmed by Mr. Duffels, who advised that following the outbreak rubber gloves were made available at the buffet.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also accept Mr. Calzavara's evidence that he had some sympathy for the Restaurant and was prepared to assist it combat the fallout from the article. I do not find that his letters of June 24 and July 27, 1999 are inconsistent with the concerns he voiced to Ms. Wong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for the adequacy of the clean-up, I prefer Mr. Young's and Mr. Calzavara's evidence as to the steps that the staff should have taken. I accept Mr. Page's and Mr. Harper's evidence that the clean-up was consistent with what they would expect from a restaurant's staff faced with a vomiting incident. I do not believe, however, that the standard they described is adequate for the protection and safety of restaurant patrons, particularly in the circumstance of a patron being ill in the vicinity of a food-laden buffet. Such an incident puts all customers in danger. In such circumstances, I agree with Mr. Young that the buffet should have been closed until the clean-up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conclude that the clean-up of the Restaurant was not adequate. Staff should have removed all the food on the Table. They should have removed some of the food on the adjoining tables as well since it is possible that that food could have been exposed to the virus. They should have closed the buffet until the clean-up was complete. As such, the defence of justification is potentially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making this finding I do not intend to be overly critical of Mr. Duffels or Mr. Watt. They removed all visible vomit from the surface of the buffet and they believed that they had done a thorough clean-up. Although they made an error in judgment in not removing all the food from the Table, they did the best they could in a difficult situation for which they were not fully trained.</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have found that Mr. Gaunt's statements were not defamatory as they were not made in reference to the plaintiff. If I had held otherwise, I would hold that the defence of justification is available to the Board. Mr. Gaunt's only comments critical of the plaintiff were directed at the clean-up. He found the clean-up to be inadequate and a lapse in the Restaurant's quality control. Those comments are substantially true and the defence of justification is available to the Board.</w:t>
      </w:r>
      <w:r>
        <w:rPr>
          <w:rFonts w:ascii="arial" w:eastAsia="arial" w:hAnsi="arial" w:cs="arial"/>
          <w:sz w:val="20"/>
          <w:lang w:val="en-US" w:eastAsia="en-US" w:bidi="ar-SA"/>
        </w:rPr>
        <w:cr/>
      </w:r>
    </w:p>
    <w:p>
      <w:pPr>
        <w:numPr>
          <w:numId w:val="2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conclusion that the clean-up was not adequate, however, does not assist the Newspaper. Although the clean-up may have been inadequate to kill the virus, that cannot justify the statement that the Restaurant staff did not adequately clean vomit off the buffet surface. That statement was not true. Ms. Lang acknowledged it was not true. What she was told was that the clean-up was not adequate to prevent the Norwalk virus from surviving. Unfortunately, that is not what she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Further, the Newspaper has not justified its allegation that customers contracted food poisoning after eating at the buffet. There is no proof that any of the 13 people became ill because they ate from the buffet. This is clearly not the impression the article leaves. The Newspaper's defence of justification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Fair Comment</w:t>
      </w:r>
      <w:r>
        <w:rPr>
          <w:rFonts w:ascii="arial" w:eastAsia="arial" w:hAnsi="arial" w:cs="arial"/>
          <w:sz w:val="20"/>
          <w:lang w:val="en-US" w:eastAsia="en-US" w:bidi="ar-SA"/>
        </w:rPr>
        <w:cr/>
      </w:r>
    </w:p>
    <w:p>
      <w:pPr>
        <w:numPr>
          <w:numId w:val="2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Brown states in vol. 2 at p. 15-14, the defence of fair comment is established where the following five elements are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satisfy the requirements of this defence, it must be shown that the words are (1) comment; (2) based upon facts that are true; (3) made honestly and fairly; (4) without malice; (5) on a matter of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For a statement to be a comment it must be clearly recognizable as a statement of opinion, not as a bare statement of fact: see Vander Zalm v. Times Publishers Ltd. </w:t>
      </w:r>
      <w:hyperlink r:id="rId329" w:history="1">
        <w:r>
          <w:rPr>
            <w:rFonts w:ascii="arial" w:eastAsia="arial" w:hAnsi="arial" w:cs="arial"/>
            <w:i/>
            <w:color w:val="0077CC"/>
            <w:sz w:val="20"/>
            <w:u w:val="single"/>
            <w:shd w:val="clear" w:color="auto" w:fill="FFFFFF"/>
            <w:lang w:val="en-US" w:eastAsia="en-US" w:bidi="ar-SA"/>
          </w:rPr>
          <w:t>(1980), 109 D.L.R. (3d) 531</w:t>
        </w:r>
      </w:hyperlink>
      <w:r>
        <w:rPr>
          <w:rFonts w:ascii="arial" w:eastAsia="arial" w:hAnsi="arial" w:cs="arial"/>
          <w:color w:val="000000"/>
          <w:sz w:val="20"/>
          <w:lang w:val="en-US" w:eastAsia="en-US" w:bidi="ar-SA"/>
        </w:rPr>
        <w:t xml:space="preserve"> at 535 (B.C.C.A.).</w:t>
      </w:r>
      <w:r>
        <w:rPr>
          <w:rFonts w:ascii="arial" w:eastAsia="arial" w:hAnsi="arial" w:cs="arial"/>
          <w:sz w:val="20"/>
          <w:lang w:val="en-US" w:eastAsia="en-US" w:bidi="ar-SA"/>
        </w:rPr>
        <w:cr/>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If I had held the Board liable, it could avail itself of the defence of fair comment. Mr. Gaunt's statement concerning the adequacy of the clean-up was clearly a matter of opinion based upon facts which were true. It was made honestly and fairly and without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suggested that Mr. Gaunt did not honestly believe that the clean-up was inadequate, placing heavy emphasis on certain answers that Mr. Gaunt gave on discovery. It must be remembered, however, that immediately prior to speaking to Ms. Lang, Mr. Gaunt had discussed the clean-up with Mr. Calzavara, the person who had been responsible for the investigation and who was most critical of the clean-up. I am satisfied that when he spoke to Ms. Lang, Mr. Gaunt honestly believed that the clean-up was not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Gaunt's comments were made in relation to a matter of public interest. The public of Prince George had an interest in being informed about an emerging food-borne illness that was extremely contagious and resistant to clean-up. The public also had an interest in knowing that individuals should not go out in public when they are feeling ill because this may result in their unknown illness being spread to others. The Board had a legitimate reason to educate the public about the Norwalk virus and various related health issues.</w:t>
      </w:r>
      <w:r>
        <w:rPr>
          <w:rFonts w:ascii="arial" w:eastAsia="arial" w:hAnsi="arial" w:cs="arial"/>
          <w:sz w:val="20"/>
          <w:lang w:val="en-US" w:eastAsia="en-US" w:bidi="ar-SA"/>
        </w:rPr>
        <w:cr/>
      </w:r>
    </w:p>
    <w:p>
      <w:pPr>
        <w:numPr>
          <w:numId w:val="2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defence of fair comment does not assist the Newspaper. The defamatory sting arises from the statement that vomit was not removed from the buffet and from the suggestion of food poisoning. Those are not comments; they are statements of bare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Qualified Privilege</w:t>
      </w:r>
      <w:r>
        <w:rPr>
          <w:rFonts w:ascii="arial" w:eastAsia="arial" w:hAnsi="arial" w:cs="arial"/>
          <w:sz w:val="20"/>
          <w:lang w:val="en-US" w:eastAsia="en-US" w:bidi="ar-SA"/>
        </w:rPr>
        <w:cr/>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defence of qualified privilege recognizes that there are certain limited occasions where a person may publish untrue, defamatory statements about another with impunity. The defence applies in situations where one party has a legitimate interest in communicating or a duty to communicate information to a second party and where the second party has a legitimate interest in receiving the information. Qualified privilege attaches to the occasion upon which the communication is made, not to the communication itself: see Hill v. Church of Scientology of Toronto, </w:t>
      </w:r>
      <w:hyperlink r:id="rId125"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[paragraph] 143.</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Board had a statutory and legal duty to communicate health concerns to the general public. Awareness and education are significant factors that help protect the public from communicable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When approached by Ms. Lang, Mr. Gaunt believed that she intended to write a story about the Norwalk virus and its related public health concerns. As the Chief Environmental Health Officer, he had a legal, social and moral duty to communicate the information to the pubic.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Camporese v. Parton </w:t>
      </w:r>
      <w:hyperlink r:id="rId330" w:history="1">
        <w:r>
          <w:rPr>
            <w:rFonts w:ascii="arial" w:eastAsia="arial" w:hAnsi="arial" w:cs="arial"/>
            <w:i/>
            <w:color w:val="0077CC"/>
            <w:sz w:val="20"/>
            <w:u w:val="single"/>
            <w:shd w:val="clear" w:color="auto" w:fill="FFFFFF"/>
            <w:lang w:val="en-US" w:eastAsia="en-US" w:bidi="ar-SA"/>
          </w:rPr>
          <w:t>(1983), 150 D.L.R. (3d) 208</w:t>
        </w:r>
      </w:hyperlink>
      <w:r>
        <w:rPr>
          <w:rFonts w:ascii="arial" w:eastAsia="arial" w:hAnsi="arial" w:cs="arial"/>
          <w:color w:val="000000"/>
          <w:sz w:val="20"/>
          <w:lang w:val="en-US" w:eastAsia="en-US" w:bidi="ar-SA"/>
        </w:rPr>
        <w:t xml:space="preserve"> (B.C.S.C.), the court found that individuals have a moral and social duty to communicate public health concerns. In that case, the defendant newspaper columnist wrote a consumer advice column. The columnist, after having written an article recommending certain canning goods to her readers, thought she had discovered that the lids were unsafe. This "discovery" was in error. Specifically, she learned erroneously that the lids could cause death because of the formation of a deadly toxin. Though she arrived at her conclusions with excessive haste and inadequate research, the court found, nevertheless, that it was her duty to communicate this information to her readers.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the case at bar, the Board had a similar moral and social duty to communicate information about the Norwalk virus in addition to its legal duty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public, in this case the readers of the Free Press, also had a legitimate interest in receiving the information. It was important for them to learn about Norwalk's contagious qualities and other related public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more difficult issue arises from the disclosure of the Restaurant's name. If I had held that Mr. Gaunt's statements referred to the Restaurant, the Board's defence of qualified privilege would fail for the same reasons as the Newspaper's.</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Much of the discussion about the Board's moral and social duty applies equally to the Newspaper. The more difficult issue arises from the Newspaper's decision to publish the name of the Restaurant. Although it may have been in the public interest to disclose the details of the Norwalk virus, can the same be said about the disclosure of the name of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plaintiff submits that in order to establish the defence of qualified privilege, the law requires more than an assertion that a matter is of general public interest. In Jones v. Bennett, </w:t>
      </w:r>
      <w:hyperlink r:id="rId331" w:history="1">
        <w:r>
          <w:rPr>
            <w:rFonts w:ascii="arial" w:eastAsia="arial" w:hAnsi="arial" w:cs="arial"/>
            <w:i/>
            <w:color w:val="0077CC"/>
            <w:sz w:val="20"/>
            <w:u w:val="single"/>
            <w:shd w:val="clear" w:color="auto" w:fill="FFFFFF"/>
            <w:lang w:val="en-US" w:eastAsia="en-US" w:bidi="ar-SA"/>
          </w:rPr>
          <w:t>[1969] S.C.R. 277</w:t>
        </w:r>
      </w:hyperlink>
      <w:r>
        <w:rPr>
          <w:rFonts w:ascii="arial" w:eastAsia="arial" w:hAnsi="arial" w:cs="arial"/>
          <w:color w:val="000000"/>
          <w:sz w:val="20"/>
          <w:lang w:val="en-US" w:eastAsia="en-US" w:bidi="ar-SA"/>
        </w:rPr>
        <w:t>, the Supreme Court of Canada expressed the view that qualified privilege cannot apply where the publication is unduly wide, such as when it is made to the world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Moises v. Canadian Newspaper Co. </w:t>
      </w:r>
      <w:hyperlink r:id="rId332" w:history="1">
        <w:r>
          <w:rPr>
            <w:rFonts w:ascii="arial" w:eastAsia="arial" w:hAnsi="arial" w:cs="arial"/>
            <w:i/>
            <w:color w:val="0077CC"/>
            <w:sz w:val="20"/>
            <w:u w:val="single"/>
            <w:shd w:val="clear" w:color="auto" w:fill="FFFFFF"/>
            <w:lang w:val="en-US" w:eastAsia="en-US" w:bidi="ar-SA"/>
          </w:rPr>
          <w:t>(1996), 24 B.C.L.R (3d) 211</w:t>
        </w:r>
      </w:hyperlink>
      <w:r>
        <w:rPr>
          <w:rFonts w:ascii="arial" w:eastAsia="arial" w:hAnsi="arial" w:cs="arial"/>
          <w:color w:val="000000"/>
          <w:sz w:val="20"/>
          <w:lang w:val="en-US" w:eastAsia="en-US" w:bidi="ar-SA"/>
        </w:rPr>
        <w:t xml:space="preserve"> (C.A.), the Court held that as a general rule publication to the "world" will exceed any privilege which might otherwise attach to the occasion. The Court observed at [paragraph] 37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circumstances" will be required before the public's interest in any given matter will be strong enough to impose a duty upon a newspaper to publish defamatory matter. Special circumstances as such do not override the need for a reciprocal interest/duty relationship before qualified privilege will attach.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submits that in the circumstances of this matter, if there was a duty to publish to the public at large, it was limited to information about the Norwalk virus. It submits that the public had no interest in receiving information about the steps a particular restaurant took to clean-up vomit or to deactivate the Norwalk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While acknowledging that urgency may be a factor in making the case for publication to the world at large, the plaintiff submits that in this case there was no urgency. The outbreak had long passed by the time the Newspaper published the article. Ms. Lang admitted that there was no pressing health issue and the matter was simply one of general public interest. She also acknowledged that there was no obligation on the part of the Newspaper to print the story. Ms. Lang was aware that the Board did not consider it necessary to criticize and name the Restaurant given the message they wanted to 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submits that in order to establish that an occasion is privileged, the law requires more than an assertion that the matter is of general public interest or that it "might be interesting". The plaintiff submits the Newspaper must establish there was a duty to the public strong enough to overcome the presumption that publication to the world at large exceeds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Newspaper relies on Reynolds v. Times Newspapers Ltd., [1999] 4 All E.R. 609 (H.L.). In Reynolds, the Court held at p. 626 that the following considerations are relevant in determining whether qualified privilege should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Depending on the circumstances, the matters to be taken into account include the following. The comments are illustrative only. (1) The seriousness of the allegation. The more serious the charge, the more the public is misinformed and the individual harmed, if the allegation is not true. (2) The nature of the information, and the extent to which the subject matter is a matter of public concern. (3) The source of the information. Some informants have no direct knowledge of the events. Some have their own axes to grind, or are being paid for their stories. (4) The steps taken to verify the information. (5) The status of the information. The allegation may have already been the subject of an investigation which commands respect. (7) Whether comment was sought from the plaintiff. He may have information others do not possess or have not disclosed. An approach to the plaintiff will not always be necessary. (8) Whether the article contained the gist of the plaintiff's side of the story. (9) The tone of the article. A newspaper can raise queries or call for an investigation. It need not adopt allegations as statements of fact. (10) The circumstances of the publication, including the 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Dhami v. Canadian Broadcasting Corp., </w:t>
      </w:r>
      <w:hyperlink r:id="rId333" w:history="1">
        <w:r>
          <w:rPr>
            <w:rFonts w:ascii="arial" w:eastAsia="arial" w:hAnsi="arial" w:cs="arial"/>
            <w:i/>
            <w:color w:val="0077CC"/>
            <w:sz w:val="20"/>
            <w:u w:val="single"/>
            <w:shd w:val="clear" w:color="auto" w:fill="FFFFFF"/>
            <w:lang w:val="en-US" w:eastAsia="en-US" w:bidi="ar-SA"/>
          </w:rPr>
          <w:t>[2001] B.C.J. No. 2773</w:t>
        </w:r>
      </w:hyperlink>
      <w:r>
        <w:rPr>
          <w:rFonts w:ascii="arial" w:eastAsia="arial" w:hAnsi="arial" w:cs="arial"/>
          <w:color w:val="000000"/>
          <w:sz w:val="20"/>
          <w:lang w:val="en-US" w:eastAsia="en-US" w:bidi="ar-SA"/>
        </w:rPr>
        <w:t xml:space="preserve"> (S.C.), Slade J. reviewed the Canadian cases considering Reynolds. He concluded that Reynolds applies in British Columbia to the extent that it does not conflict with Moises.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While I accept the Newspaper's general submissions in relation to the Reynolds criteria, I cannot accept that the Newspaper had any obligation to publish the name of the Restaurant. As stated by Dubin J.A. in Littleton v. Hamilton </w:t>
      </w:r>
      <w:hyperlink r:id="rId334" w:history="1">
        <w:r>
          <w:rPr>
            <w:rFonts w:ascii="arial" w:eastAsia="arial" w:hAnsi="arial" w:cs="arial"/>
            <w:i/>
            <w:color w:val="0077CC"/>
            <w:sz w:val="20"/>
            <w:u w:val="single"/>
            <w:shd w:val="clear" w:color="auto" w:fill="FFFFFF"/>
            <w:lang w:val="en-US" w:eastAsia="en-US" w:bidi="ar-SA"/>
          </w:rPr>
          <w:t>(1974), 47 D.L.R. (3d) 663</w:t>
        </w:r>
      </w:hyperlink>
      <w:r>
        <w:rPr>
          <w:rFonts w:ascii="arial" w:eastAsia="arial" w:hAnsi="arial" w:cs="arial"/>
          <w:color w:val="000000"/>
          <w:sz w:val="20"/>
          <w:lang w:val="en-US" w:eastAsia="en-US" w:bidi="ar-SA"/>
        </w:rPr>
        <w:t xml:space="preserve"> (Ont. C.A.) at p. 665: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hold that words are published on an occasion of qualified privilege, something more is necessary than the mere fact that the words are being addressed to a matter of public interest. Before an individual can be said to have published words on an occasion of qualified privilege, some circumstances must be shown from which it can be concluded for valid social reasons that an individual can with impunity publish defamatory statements of others provided he does so without malice. Although it has been stated that there is no confined catalogue of such occasions, it is clear that the mere fact that the publication relates to matters of public interest is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To establish a defence of qualified privilege, the Newspaper must establish not only that the statement is "of" public interest, in the sense that it might be of some interest to the public, but also that the statement is "in" the public interest: see Leenen v. Canadian Broadcasting Corp. </w:t>
      </w:r>
      <w:hyperlink r:id="rId335" w:history="1">
        <w:r>
          <w:rPr>
            <w:rFonts w:ascii="arial" w:eastAsia="arial" w:hAnsi="arial" w:cs="arial"/>
            <w:i/>
            <w:color w:val="0077CC"/>
            <w:sz w:val="20"/>
            <w:u w:val="single"/>
            <w:shd w:val="clear" w:color="auto" w:fill="FFFFFF"/>
            <w:lang w:val="en-US" w:eastAsia="en-US" w:bidi="ar-SA"/>
          </w:rPr>
          <w:t>(2000), 48 O.R. (3d) 656</w:t>
        </w:r>
      </w:hyperlink>
      <w:r>
        <w:rPr>
          <w:rFonts w:ascii="arial" w:eastAsia="arial" w:hAnsi="arial" w:cs="arial"/>
          <w:color w:val="000000"/>
          <w:sz w:val="20"/>
          <w:lang w:val="en-US" w:eastAsia="en-US" w:bidi="ar-SA"/>
        </w:rPr>
        <w:t xml:space="preserve">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this case, although it was in the public interest to publish information concerning the Norwalk virus, the Newspaper was under no duty to name the Restaurant and the public had no interest in knowing the Restaurant's name. The lack of duty does not prevent the Newspaper from publishing an article naming the Restaurant. It does so, however, at its peril if the article is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 should add that if I had found the Newspaper entitled to rely on the defence of qualified privilege, I would have rejected the plaintiff's submission that the privilege was lost as a result of malice. In Pressler v. Lethbridge </w:t>
      </w:r>
      <w:hyperlink r:id="rId131" w:history="1">
        <w:r>
          <w:rPr>
            <w:rFonts w:ascii="arial" w:eastAsia="arial" w:hAnsi="arial" w:cs="arial"/>
            <w:i/>
            <w:color w:val="0077CC"/>
            <w:sz w:val="20"/>
            <w:u w:val="single"/>
            <w:shd w:val="clear" w:color="auto" w:fill="FFFFFF"/>
            <w:lang w:val="en-US" w:eastAsia="en-US" w:bidi="ar-SA"/>
          </w:rPr>
          <w:t>(2000), 86 B.C.L.R. (3d) 257</w:t>
        </w:r>
      </w:hyperlink>
      <w:r>
        <w:rPr>
          <w:rFonts w:ascii="arial" w:eastAsia="arial" w:hAnsi="arial" w:cs="arial"/>
          <w:color w:val="000000"/>
          <w:sz w:val="20"/>
          <w:lang w:val="en-US" w:eastAsia="en-US" w:bidi="ar-SA"/>
        </w:rPr>
        <w:t xml:space="preserve"> (C.A.), Esson J.A. indicated his agreement with Lord Diplock's statement in Horrocks v. Lowe, [1974] 1 All E.R. 662 at 670 (H.L.), to the effect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Judges and juries should, however, be very slow to draw the inference that a defendant was so far actuated by improper motives as to deprive him of the protection of the privilege unless they are satisfied that he did not believe that what he said or wrote was true or that he was indifferent to its truth or falsity.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accept Ms. Lang's evidence that she neither believed nor intended to convey that "customers ate food with vomit on it". Consequently, the Newspaper did not act with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 The Claim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plaintiff advances its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against the Board. The tort of defamation has traditionally been the exclusive vehicle of redress for persons harmed by the publication of false words. The plaintiff submits that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expanded to become an alternative cause of action for those harmed by careless publication of inaccurate statements. It relies on the House of Lords' decision in Spring v. Guardian Assurance Plc., [1995] 2 A.C. 296.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nub of the plaintiff's argument is that Mr. Gaunt owed a duty of care to the plaintiff not to make negligent statements that would have an adverse effect on the plaintiff's restaurant business. The plaintiff says Mr. Gaunt was negligent in making certain statements to Ms. Lang and he should be liable for the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plaintiff submits that the presence of a duty of care is determined by applying the two-part test set out in Anns v. Merton London Borough Council, [1978] A.C. 728 (H.L.), recently revisited by the Supreme Court of Canada in Cooper v. Hobart, </w:t>
      </w:r>
      <w:hyperlink r:id="rId336"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The essential elements of the test are: reasonably foreseeable harm, a sufficient degree of proximity between the parties, and the absence of any policy reasons which ought to negative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submits that the foreseeability test is met in this case because the publication of inaccurate statements concerning the Restaurant's hygiene and food safety practices was likely to negatively impact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regard to proximity, the plaintiff does not seek to impose any duty on the Board or its employees in the context of its statutory function. 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occurred outside the Board's statutory function, being in an ad hoc press interview. The plaintiff submits that the evidence shows sufficient proximity between the parties such that Mr. Gaunt may be said to have been under an obligation to be mindful of the plaintiff's interests when discussing events that occurred at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Further, the plaintiff submits that there are no policy reasons for defeating the claim. It submits that the imposition of a duty of care in the case at bar will cause no harm to the public and, indeed, will likely aid the public interest by promoting the careful dissemination of information relating to food safety and contagious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Board submits that Spring does not represent the law in Canada. It submits that the plaintiff's claim is for loss of reputation and the plaintiff can bring this claim only in defamation, not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points out that the law of defamation represents decades of jurisprudence that have established various principles to assist the courts in balancing the protection of reputation on the one hand and the right to free speech on the other. It submits that it would be contrary to the public interest to allow claims for loss of reputation to proceed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that would remove a defendant's ability to invoke common law defences long available in defamation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Prior to Spring, the common law courts had long held that a claim for mere loss of reputation was the proper subject of an action for defamation and could not ordinarily be sustained in any other form of action: see Foaminol Laboratories Ltd. v. British Artid Plastics Ltd., [1941] 2 All E.R. 393 (K.B.).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New Zealand Court of Appeal explained the rationale for the rule in Bell-Booth Group Ltd. v. Attorney-General, [1989] 3 N.Z.L.R. 148 (C.A.), where the Court stated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law rules, and their statutory modifications, regarding defamation and injurious falsehood represent compromises gradually worked out by the Courts over the years, with some legislative adjustments, between competing values. Personal reputation and freedom to trade on the one hand have to be balanced against freedom to speak or criticise on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result the present rules are in broad terms well-known and reasonably clear. To an action for defamation truth is an absolute defence. Privilege, where applicable, is in a few areas an absolute but in most a qualified defence. Fair comment is a qualified defence subject to rather different rules. In injurious falsehood, on the other hand, the plaintiff had the burden of proving both falsity and malice. These evolved compromises may not draw the lines in places that will always be found generally acceptable in the community. Some argue, for instance, for greater media freedom or licence; statutory changes have been recommended but not enacted. It is a controversial area. The important point for present purposes is that the law as to injury to reputation and freedom of speech is a field of its own. To impose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upon it by accepting that there may be common law duties of care not to publish the truth would be to introduce a distorting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Balfour v. Attorney-General, [1991] 1 N.Z.L.R. 519 (C.A.), Hardie-Boys J. emphasized at p. 529: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attempt to merge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be resisted. Both these branches of the law represent the result of much endeavour to reconcile competing interests in ways appropriate to the quite distinct areas with which they are concerned, but not necessarily appropriate to each other: see Bell-Booth Group Ltd. v. Attorney-General, [1989] 3 N.Z.L.R. 148, 155-157. An inability in a particular case to bring it within the criteria of a defamation suit is not to be made good by the formulation of a duty of care not to defame.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Spring, the House of Lords considered whether an employer owed a duty to its employees in preparing a reference to ensure that the reference does not contain negligent statements. The issue was whether such a duty could exist notwithstanding that the cause of action may arguably be characterized as a defamation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Spring, the defendant was an insurer and a member of the insurance industry's self-regulatory body. The defendant dismissed the plaintiff from his employment with the defendant. The plaintiff subsequently applied for employment with three other insurers who were all members of the same regulatory body. The defendant gave each of the prospective employers a reference about the plaintiff which, among other things, said that the plaintiff lacked integrity and could not be regarded as an honest person. As a result, the prospective employers refused to employ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claimed that the employer acted negligently because it failed to verify certain facts before making the reference. The defendant honestly, but mistakenly, believed the statements to be true. Qualified privilege provided a complete defence to a claim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There were five judgments in the House of Lords. Lord Keith wrote in dissent. The majority found a duty of care in these circumstances. Although the majority emphasized that Spring was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 their Lordships noted that but for the defence of qualified privilege the claim in defamation would have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his dissent, Lord Keith warned of the adverse consequences which could result if the court extended the ambit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cover defamation claims. He noted that the purpose of the defence of qualified privilege is to encourage frankness. He argued that the public policy which makes available the defence of qualified privilege in defamation actions strongly favours the exclusion of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similar situations. He also suggested that if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to follow from a reference prepared without reasonable care, then the principle could be extended to all situations covered by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To date, Spring has faced a mixed reception in Canada. In Fulton v. Globe and Mail (1996), 3 C.P.C. (4th) 240 (Alta. Q.B.), Master Funduk rejected the Spring approach. He noted at [paragraph] 15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of defamation represents a balancing of conflicting societal interests. In certain circumstances a defamer is excused from legal liability even though he has defamed the victim. The law recognizes that what is published is defamatory but there may not be a legal liability for it. Brown, The Law of Defamation in Canada (2nd ed.), says that in these circumstances a person's interest in his reputation will be subordinated to the interests of society as a whole. These occasions are referred to as "privileged": vol. 1, p.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After reviewing the various judgments in Spring, he concluded at [paragraphs] 117-118: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Spring was not a claim for loss of reputation under the guise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majority said that it was a claim for economic loss. No one said that a claim for loss of reputation can now be advanced 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Spring cannot be extended to a proposition that a claim for loss of reputation can now be advanced 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Giving "publication" a synonym in the pleading and attaching adjectives to it does not change the substance of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claim for loss of reputation can now be advanced as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would sterilize the statutory defences that might otherwise apply in given circumstances in a defamation lawsuit and of course it would sterilize the common law defences peculiar to defamation lawsuits. Suing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entirely subvert the societal interest that gives rise to these defences. Spring is conscious of that and is careful not to suggest that the societal interest should no longer be paramount </w:t>
      </w:r>
      <w:r>
        <w:rPr>
          <w:rFonts w:ascii="arial" w:eastAsia="arial" w:hAnsi="arial" w:cs="arial"/>
          <w:i/>
          <w:color w:val="000000"/>
          <w:sz w:val="20"/>
          <w:lang w:val="en-US" w:eastAsia="en-US" w:bidi="ar-SA"/>
        </w:rPr>
        <w:t>in any circumstances</w:t>
      </w:r>
      <w:r>
        <w:rPr>
          <w:rFonts w:ascii="arial" w:eastAsia="arial" w:hAnsi="arial" w:cs="arial"/>
          <w:color w:val="000000"/>
          <w:sz w:val="20"/>
          <w:lang w:val="en-US" w:eastAsia="en-US" w:bidi="ar-SA"/>
        </w:rPr>
        <w:t>. To the contrary, Spring says that in certain circumstances there is no overriding societal interest.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Belzil J. upheld that portion of Master Funduk's decision: see Fulton v. Globe and Mail </w:t>
      </w:r>
      <w:hyperlink r:id="rId337" w:history="1">
        <w:r>
          <w:rPr>
            <w:rFonts w:ascii="arial" w:eastAsia="arial" w:hAnsi="arial" w:cs="arial"/>
            <w:i/>
            <w:color w:val="0077CC"/>
            <w:sz w:val="20"/>
            <w:u w:val="single"/>
            <w:shd w:val="clear" w:color="auto" w:fill="FFFFFF"/>
            <w:lang w:val="en-US" w:eastAsia="en-US" w:bidi="ar-SA"/>
          </w:rPr>
          <w:t>(1997), 152 D.L.R (4th) 377</w:t>
        </w:r>
      </w:hyperlink>
      <w:r>
        <w:rPr>
          <w:rFonts w:ascii="arial" w:eastAsia="arial" w:hAnsi="arial" w:cs="arial"/>
          <w:color w:val="000000"/>
          <w:sz w:val="20"/>
          <w:lang w:val="en-US" w:eastAsia="en-US" w:bidi="ar-SA"/>
        </w:rPr>
        <w:t xml:space="preserve"> (Alta. Q.B.). Although not referring to Spring directly, Belzil J. noted that there were sound policy reasons for upholding the integrity of the law of defamation. He commented that the courts have long recognized that the law of defamation is unique and has developed in the context of balancing the interests of free speech against the rights of persons not to have their reputations unfairly sullied. He noted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concerned with any such balancing of interests and concluded at [paragraph] 30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should resist expanding loss of reputation claims in the context of publication beyond the law of defamation in that to permit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allow Plaintiffs to circumvent defences available to Defendants in defamation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In Haskett v. Equifax Canada Inc. </w:t>
      </w:r>
      <w:hyperlink r:id="rId338" w:history="1">
        <w:r>
          <w:rPr>
            <w:rFonts w:ascii="arial" w:eastAsia="arial" w:hAnsi="arial" w:cs="arial"/>
            <w:i/>
            <w:color w:val="0077CC"/>
            <w:sz w:val="20"/>
            <w:u w:val="single"/>
            <w:shd w:val="clear" w:color="auto" w:fill="FFFFFF"/>
            <w:lang w:val="en-US" w:eastAsia="en-US" w:bidi="ar-SA"/>
          </w:rPr>
          <w:t>(2003), 63 O.R. (3d) 577</w:t>
        </w:r>
      </w:hyperlink>
      <w:r>
        <w:rPr>
          <w:rFonts w:ascii="arial" w:eastAsia="arial" w:hAnsi="arial" w:cs="arial"/>
          <w:color w:val="000000"/>
          <w:sz w:val="20"/>
          <w:lang w:val="en-US" w:eastAsia="en-US" w:bidi="ar-SA"/>
        </w:rPr>
        <w:t xml:space="preserve"> (C.A.), the Ontario Court of Appeal took a different approach. Mr. Haskett brought a proposed class action against Equifax Canada and others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failure to comply with statutory requirements in producing credit reports. He claimed that the defendant had retained and reported information in contravention of the Consumer Reporting Act, </w:t>
      </w:r>
      <w:hyperlink r:id="rId339" w:history="1">
        <w:r>
          <w:rPr>
            <w:rFonts w:ascii="arial" w:eastAsia="arial" w:hAnsi="arial" w:cs="arial"/>
            <w:i/>
            <w:color w:val="0077CC"/>
            <w:sz w:val="20"/>
            <w:u w:val="single"/>
            <w:shd w:val="clear" w:color="auto" w:fill="FFFFFF"/>
            <w:lang w:val="en-US" w:eastAsia="en-US" w:bidi="ar-SA"/>
          </w:rPr>
          <w:t>R.S.O. 1990, c. C. 33</w:t>
        </w:r>
      </w:hyperlink>
      <w:r>
        <w:rPr>
          <w:rFonts w:ascii="arial" w:eastAsia="arial" w:hAnsi="arial" w:cs="arial"/>
          <w:color w:val="000000"/>
          <w:sz w:val="20"/>
          <w:lang w:val="en-US" w:eastAsia="en-US" w:bidi="ar-SA"/>
        </w:rPr>
        <w:t>, and that this damaged his and others' ability to obtain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defendant successfully moved to strike the claim on the ground that it disclosed no reasonable cause of action. The Court of Appeal reversed that decision. One of the issues raised was whether the cause of action would be an encroachment on the law of defamation and would preclude reliance on defences such as qualified privilege. The Court, after mentioning Spring, held that, "at least at this stage of the proceedings", the law of defamation should not preclude recognition of the relationship of proximity between credit reporting agencies and consumers who are the subject of credit reports. The Court concluded that it was not plain and obvious that the appellant had no cause of action against the respondents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refused to strike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Australian decisions have also considered Spring. In Sattin v. Nationwide News Pty. Ltd. (1996), 39 N.S.W.L.R. 32, Levine J. preferred Lord Keith's dissent and refused the plaintiff's application to amend a claim to include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newspaper which had published allegedly defamatory words about the plaintiff. He criticized the approach of the majority in Spring and concluded at p. 44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matters of policy are to be taken into account, which in my respectful view they must, policy in relation to qualified privilege in particular is something to which more than lip service should be paid. Further the policy of the law in defamation in striving to obtain an acceptable balance between freedom of speech on the one hand and protection of reputation on the other is also one to which more than lip service need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Harper J. reached a different result in Wade v. State of Victoria, [1999] 1 V.R. 121. Wade, like Spring, was a case of a careless reference. Harper J. was of the view that the law of defamation might produce a real injustice for an employee who had received an unfavourable reference and found for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prefer the dissent of Lord Keith in Spring and the approach of the New Zealand courts in Bell-Booth and Balfour and that of the New South Wales court in Sattin. As a matter of policy, it is preferable to resolve the tensions between freedom of speech and protection of one's reputation using the law of defamation. I agree with Levine J.'s criticism in Sattin that the majority in Spring failed to give proper weight to the public policy reasons behind the defences of qualified privilege and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defences of qualified privilege and fair comment are of long standing. They have been established for valid reasons of public policy and exist even though their application may defeat an otherwise valid claim for loss of reputation. They protect free speech, a fundamental value of our society. The policy reasons supporting the defences of fair comment and qualified privilege are of sufficient public importance to negate the imposition of a duty of care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Whether the decision in Spring is correct in regard to employer references is not before me. However, I am not prepared to extend its reach to statements made by a municipal officer, such as Mr. Gaunt, in response to a matter of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 further hold that, in any event,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fails on its merits. For reasons previously discussed, I am satisfied that the comments made by Mr. Gaunt concerning the adequacy of the clean-up were substantially true. As noted in Spring,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limited to situations in which the statements are untrue: see Lord Slynn at [paragraph] 87, Lord Woolf at [paragraph] 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Damages</w:t>
      </w:r>
      <w:r>
        <w:rPr>
          <w:rFonts w:ascii="arial" w:eastAsia="arial" w:hAnsi="arial" w:cs="arial"/>
          <w:sz w:val="20"/>
          <w:lang w:val="en-US" w:eastAsia="en-US" w:bidi="ar-SA"/>
        </w:rPr>
        <w:cr/>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plaintiff's claim is for special damages. It does not claim non-pecuniary damages for loss of reputation. It seeks to recover its actual financial loss, including the value of the Restaurant at the date of the article and expenses incurred in the reasonable attempt to mitigate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Botiuk v. Toronto Free Press Publications Ltd., </w:t>
      </w:r>
      <w:hyperlink r:id="rId340"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the Supreme Court of Canada held that in a defamation action special damages may arise from a general loss of business if the libellous words produce such a loss. In support of that proposition the Court cited Gatley on Libel and Slander, at p. 94-100. The rationale for the rule is set out at [paragraph] 204: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loss of particular customers constitutes special damage. If the plaintiff intends to rely on such a loss, he must specially plead it, and give particulars of the names of the customers who have ceased to deal with him. But where from the nature of the case it is impracticable for the plaintiff to give their names, or unreasonable to require him to do so, e.g. his customers are persons who deal with him over the counter, or consist of a "floating or transitory class" such as theatrical audiences or the customers of an inn, and the like, he can allege and prove a general loss of custom as special damage. "How is a public-house keeper, whose only customers are persons passing by, to show a damage resulting from the slander unless he is allowed to give general evidence of a loss of custom?" "Suppose a biscuit baker in Regent Street is slandered by a man saying his biscuits are poisoned, and in consequence no one enters his shop. He cannot complain of the loss of particular customers, for he does not know them; and how hard and unjust it would be if he could not prove the fact of the loss under a general allegation of loss of custom."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defendants submit that it is not sufficient to simply show a general reduction in customers. They say that the plaintiff must show that specific customers ceased to do business with the plaintiff because of the alleged defamation. They rely on Lapointe v. Summach, </w:t>
      </w:r>
      <w:hyperlink r:id="rId341" w:history="1">
        <w:r>
          <w:rPr>
            <w:rFonts w:ascii="arial" w:eastAsia="arial" w:hAnsi="arial" w:cs="arial"/>
            <w:i/>
            <w:color w:val="0077CC"/>
            <w:sz w:val="20"/>
            <w:u w:val="single"/>
            <w:shd w:val="clear" w:color="auto" w:fill="FFFFFF"/>
            <w:lang w:val="en-US" w:eastAsia="en-US" w:bidi="ar-SA"/>
          </w:rPr>
          <w:t>[2001] B.C.J. No. 1322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defendants further allege there were various other causes that played a role in the decline in the plaintiff's business. Some of these causes existed at the time of the article and others came into play after the article. The causes in play at the date of the article include:</w:t>
      </w:r>
      <w:r>
        <w:rPr>
          <w:rFonts w:ascii="arial" w:eastAsia="arial" w:hAnsi="arial" w:cs="arial"/>
          <w:sz w:val="20"/>
          <w:lang w:val="en-US" w:eastAsia="en-US" w:bidi="ar-SA"/>
        </w:rPr>
        <w:cr/>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decline in the Prince George economy;</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decline in the Restaurant's sales in the months prior to the article;</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word of mouth about the vomiting incident; and</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non-actionable facts in the article, namely, vomit, virus, outbreak and the name of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regard to the last cause, the defendants argue that where a publication refers to damaging information that is not actionable as well as some that the court finds to be actionable, the question of special damages requires the court to consider the role of each of the two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regard to the causes that came into play after the article, the defendants refer to:</w:t>
      </w:r>
      <w:r>
        <w:rPr>
          <w:rFonts w:ascii="arial" w:eastAsia="arial" w:hAnsi="arial" w:cs="arial"/>
          <w:sz w:val="20"/>
          <w:lang w:val="en-US" w:eastAsia="en-US" w:bidi="ar-SA"/>
        </w:rPr>
        <w:cr/>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Calzavara letter of July 27, 1999 posted at front of the Restaurant. Although it was generally positive, it may have turned customers off;</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half-page advertisement featuring the Calzavara letter published in each of the two major Prince George newspapers on about August 1, 1999. The defendants submit that such a significant, repeated, and eye-catching publication would fundamentally alter the understanding of the entire community in regard to the incident. They submit that if there were readers who stayed away from the Restaurant due to concerns about food safety standards arising from the article, the advertisements would clear up any misconceptions and if customers stayed away thereafter, it could not have been because of the article;</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Jay Leno Show of August 9, 1999, which forms a separate and improbable unauthorized re-publication, for which the defendants could not be liable;</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clarification of December 5, 1999, which would have cleared up any lingering doubts about the Restaurant's food safety standards not removed by the August 1, 1999 advertisements. If customers remained away thereafter, it may have been because of the incident but not due to any sting from the article;</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Restaurant's closing and grand re-opening under new management on February 11, 2000, which would further distance the Restaurant from any connection to any sting in the article;</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Restaurant's closing, renovating and re-opening under a new name in or after December 2000, which would further distance the Restaurant from any connection to any sting of the article; and</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"staling" of the defamation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defendants submit that there are serious doubts about the cause of the drop in sales after the article when judged against the other causes in play at the time, especially considering that only 12 days elapsed before the Restaurant published Mr. Calzavara's letter and only a further week before the Jay Leno Show aired the article. The defendants submit that the plaintiff has not met its burden of proving causation and, even if it had, the defendants cannot be liable for damages sustained beyond a few months after the article's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defendants further submit that if the court finds causation, there are contributing causes for which the defendants are not liable and that the court must subtract the effect of those causes from any damages awarded. In this regard, they refer to the unauthorized re-publication on the Jay Leno Show and any damage flowing from true statements. The defendants submit that where part of a publication is true, damages must be reduced so as to not reward a plaintiff for damages flowing from true statements: see Burstein v. Times Newspapers Ltd., [2001] 1 W.L.R. 579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defendants also argue that they should not be liable for damages that would probably have happened in any event and are not directly linked to the defamation: see Brown v. Cole, </w:t>
      </w:r>
      <w:hyperlink r:id="rId342" w:history="1">
        <w:r>
          <w:rPr>
            <w:rFonts w:ascii="arial" w:eastAsia="arial" w:hAnsi="arial" w:cs="arial"/>
            <w:i/>
            <w:color w:val="0077CC"/>
            <w:sz w:val="20"/>
            <w:u w:val="single"/>
            <w:shd w:val="clear" w:color="auto" w:fill="FFFFFF"/>
            <w:lang w:val="en-US" w:eastAsia="en-US" w:bidi="ar-SA"/>
          </w:rPr>
          <w:t>[1996] B.C.J. No. 2046</w:t>
        </w:r>
      </w:hyperlink>
      <w:r>
        <w:rPr>
          <w:rFonts w:ascii="arial" w:eastAsia="arial" w:hAnsi="arial" w:cs="arial"/>
          <w:color w:val="000000"/>
          <w:sz w:val="20"/>
          <w:lang w:val="en-US" w:eastAsia="en-US" w:bidi="ar-SA"/>
        </w:rPr>
        <w:t xml:space="preserve"> (S.C.), varied on other grounds, </w:t>
      </w:r>
      <w:hyperlink r:id="rId130" w:history="1">
        <w:r>
          <w:rPr>
            <w:rFonts w:ascii="arial" w:eastAsia="arial" w:hAnsi="arial" w:cs="arial"/>
            <w:i/>
            <w:color w:val="0077CC"/>
            <w:sz w:val="20"/>
            <w:u w:val="single"/>
            <w:shd w:val="clear" w:color="auto" w:fill="FFFFFF"/>
            <w:lang w:val="en-US" w:eastAsia="en-US" w:bidi="ar-SA"/>
          </w:rPr>
          <w:t>[1999] 7 W.W.R. 703</w:t>
        </w:r>
      </w:hyperlink>
      <w:r>
        <w:rPr>
          <w:rFonts w:ascii="arial" w:eastAsia="arial" w:hAnsi="arial" w:cs="arial"/>
          <w:color w:val="000000"/>
          <w:sz w:val="20"/>
          <w:lang w:val="en-US" w:eastAsia="en-US" w:bidi="ar-SA"/>
        </w:rPr>
        <w:t xml:space="preserve"> (B.C.C.A.). In this regard, they point in particular to the general economic conditions in Prince George and their belief that the Restaurant would have suffered a decline in business even absent the publication of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do not accept the defendants' submission that the Restaurant would have failed regardless of the article. Doldrums in the Prince George economy existed while the Restaurant thrived. Although sales had fallen since its opening, the Restaurant continued to be profitable. Mr. Wong is an experienced restaurateur with a proven track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It is mere speculation to ask what might have occurred if the Newspaper had not printed a defamatory article. It is unlikely that an article printed in the terms of the clarification would have had an impact on the Restaurant. Unfortunately, by the time the clarification was printed, the Restaurant was already on life support and unable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fact is the Restaurant's dramatic loss of business followed immediately upon publication of the article. Other than a brief renaissance during the promotions surrounding the Restaurant's re-opening in February 2000, sales never returned to pre-article levels. This drastic collapse in business can only be traced to the article. It is no defence to say that a non-defamatory article would have also injured the Restaurant. A non-defamatory article was not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Lang was well aware of the potential harm that the article could cause the Restaurant. Both Mr. Gaunt and Ms. Wong warned her not to name the Restaurant because the Restaurant would suffer. Ms. Lang ignored that advice. That damage in fact occurred. Although the Newspaper may not have contemplated the extent of the damage, it cannot now limit its responsibility on the basis that it did not foresee the extent or duration of the damage. This is especially so given the Newspaper chose to run the article on the front page under a prominent and sensational headline.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Why some restaurants succeed and others fail is an ongoing mystery. The bond between a restaurant and its customers is a fragile one. The article severed that bond and, despite the Restaurant's best efforts, it was not able to rekindle its relationship with its customers. As with the biscuit baker on Regent Street, the Restaurant does not know what particular customers no longer entered its premises. It can only say, and I so find, that its business was destroyed as a result of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decision in Lapointe is distinguishable. In circumstances of this kind, for the reasons set out in Gatley on Libel and Slander I mentioned above, the Restaurant need not prove that specific customers stopped coming to the Restaurant. That would be an impossible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also reject the defendants' submission that damages should be limited to the loss of business over a few months. The business never recovered from the sting of the defamation and damages must be assessed based on their actual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do not find that the advertisements or the December 5th clarification added to the plaintiff's damage. Neither lessened the Restaurant's reputation. Nor do I find that re-publication on the Jay Leno Show added to the Restaurant's damage. There is no evidence as to how many Prince George residents watch the show. Compared to the readers of the article, I suspect the number would be miniscule. Further, the segment did not name the Restaurant so that any resident of Prince George who did view the segment and recognized the headline as referring to Mama Panda would likely be someone who had already read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There is no evidence to support the suggestion that word of mouth following the incident harmed the Restaurant's business. That submission is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Further, I am not satisfied that the Restaurant would have suffered any lasting damage if the Newspaper had referred to the clean-up in its proper context. The damage to the Restaurant's reputation arose from the juxtaposition of the inadequate clean-up and vomit.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submission that reasonable customers would have returned to the Restaurant over time fails to take into account that individuals do not always react reasonably in making decisions as to how to spend their discretionary income. In this case, the customers did not return even after the true facts were published. One can only conclude that they could not shake the graphic image of the Restaurant as a place that left vomit on its buffet. To paraphrase Mr. Leno, "Call me Mr. Finicky - I'd rather go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find that the article destroyed the Restaurant's business and the plaintiff is entitled to be reimbursed for the value of that business at the date of the article. I am also satisfied that the plaintiff is entitled to recover some of the cash losses it incurred while it continued to operate. As I will set out, however, I do not accept that the plaintiff is entitled to recover all of its cash losses. In my view, the Restaurant should have closed much earlier and the defendants are not responsible for its failure to do so.</w:t>
      </w:r>
      <w:r>
        <w:rPr>
          <w:rFonts w:ascii="arial" w:eastAsia="arial" w:hAnsi="arial" w:cs="arial"/>
          <w:sz w:val="20"/>
          <w:lang w:val="en-US" w:eastAsia="en-US" w:bidi="ar-SA"/>
        </w:rPr>
        <w:cr/>
      </w:r>
    </w:p>
    <w:p>
      <w:pPr>
        <w:numPr>
          <w:numId w:val="3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parties called opinion evidence as to the fair market value of the business as of July 18, 1999. The plaintiff's expert, Mr. Chandler, suggested a value between $546,000 and $705,000 (midpoint of $634,500), while the defendants' expert, Mr. Morrison, suggested a value between -$51,500 and $299,750 (midpoint of $141,625).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experts agreed that fair market value is the highest price, expressed in terms of money, available in an open and unrestricted market between informed, prudent parties acting freely at arm's length. They further agreed that the Restaurant should be valued based on a multiple of maintainable earnings and agreed that 2.75 was the appropriate multiple. They differed, however, in their determination of maintainable earnings and that difference is reflected in their ultimate valuations.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experts commenced their determination of maintainable earnings by examining the Restaurant's financial statements for the fiscal year ending June 30, 1999. Both experts agreed that the starting point in calculating maintainable earnings is to determine earnings before interest, taxes, depreciation and amortization ("EBITDA"), which requires the addition of taxes and depreciation to net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experts differed, however, in their opinion as to whether other adjustments were necessary. The contentious adjustments were in regard to repairs and maintenance, the management fee/management bonus, and property taxes/ miscellaneous costs. I shall deal with each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financial statements showed $61,975 in repairs and maintenance representing some 2.9% of sales. The plaintiff had expensed in that category $42,395 worth of items that were properly categorized as leasehold expenses. Mr. Chandler increased maintainable earnings by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While Mr. Morrison acknowledged that certain leasehold improvements may have been improperly expensed, he did not agree with the adjustment. He noted that it is reasonable to assume that a newly opened restaurant would incur very little repair costs in its first year of operation. Mr. Morrison suggested that 3% repair and maintenance cost was consistent with what a would-be purchaser would expect in future years and that an adjustment was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prefer Mr. Morrison's evidence on this point and I would not add the $42,395 to the EBITDA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also seeks to make an adjustment in the supplies expense of $15,000 on the basis that some items were mistakenly expensed into the supply category. The financial statement shows supplies costing $64,027, representing 3% of sales. Mr. Morrison says that is in line with industry norms. I accept his evidence and would not make an adjustment for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With respect to the management fee/management bonus, Ms. Wong was the Restaurant manager. She was paid approximately $50,000 per year. In addition, some $30,000 a year was paid to Mr. Wong's company for administrative services. Mr. Morrison was of the view that the Restaurant needed two managers and expenses should be increased accordingly. He was also of the view that Mr. Wong's company was overpaid for the services it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Chandler took a different approach. In his opinion, the Restaurant required an administrative manager to assist Ms. Wong. He believed the cost of those services would be greater than the amounts being paid to Mr. Wong's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relation to this issue, I prefer Mr. Chandler's approach and accept the adjustments he made in this regard as set out in Schedule 3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his report, Mr. Chandler added $51,769 in property taxes and miscellaneous expenses to EBITDA. At trial, as a result of additional documentation not available to him when he prepared his report, Mr. Chandler testified that only $24,000 should be added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Morrison refused to add back any such expenses because he noted that miscellaneous expenses increased in the following year, coming close to eliminating the $24,000 overpayment.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On this question, I prefer Mr. Chandler's evidence. The information upon which Mr. Morrison relied would not have been available to a purchaser in July 1999 and I do not believe it is appropriate to take it into account in the valuation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Making these adjustments to Mr. Chandler's analysis would suggest a value of the Restaurant of between $376,553 and $564,829 (midpoint of $470,691). (see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Morrison would use this analysis just as a starting point. He made additional adjustments to recognize the downward trend in the Restaurant's sales and the weakening economy in Prince George. In addition, Mr. Morrison emphasized certain other negatives concerning the Restaurant, including the impact of union certification. In Mr. Morrison's view, such items would be more significant to a would-be purchaser than actual past results, especially given the Restaurant's relatively short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regard to Mr. Morrison's concerns about the economy and unionization, I am satisfied that those matters were taken into account in determining the appropriate multiple. I do agree, however, that a potential purchaser in July 1999 would be concerned as to whether or not the Restaurant could maintain sales at existing levels. Such concerns make it unlikely that a purchaser would be prepared to pay as much as the midpoint of Mr. Chandler's adjusted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Valuation of a business is not a task that can be undertaken with mathematical precision. As of July 1999, the Restaurant, in spite of Prince George's economic problems, remained profitable. It had obtained over $250,000 in leasehold improvements and held a long-term lease. It was a valuable business which was destroyed as a result of the defamatory article. I find the value of the Restaurant to be $400,000.</w:t>
      </w:r>
      <w:r>
        <w:rPr>
          <w:rFonts w:ascii="arial" w:eastAsia="arial" w:hAnsi="arial" w:cs="arial"/>
          <w:sz w:val="20"/>
          <w:lang w:val="en-US" w:eastAsia="en-US" w:bidi="ar-SA"/>
        </w:rPr>
        <w:cr/>
      </w:r>
    </w:p>
    <w:p>
      <w:pPr>
        <w:numPr>
          <w:numId w:val="3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addition to the value of the business, the plaintiff seeks to recover expenses that it says it incurred in making reasonable efforts to mitigate its damages. It claims $671,687, being its cash losses from July 1, 1999 to June 30,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plaintiff claims it acted reasonably in attempting to recover from the devastating effects of the article. It cites S.M. Waddams, The Law of Damages, looseleaf (Toronto: Canada Law Book, 2003) at [paragraph] 15.290 for the proposition that a plaintiff is entitled to recover the expenses incurred in a reasonable but unsuccessful attempt to mitigate, even though this may result in the defendant being liable to pay more than if the plaintiff had done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plaintiff says its attempts to revive the business, including the two renovations and re-openings of the Restaurant, were reasonable. The plaintiff submits that it could not simply close the Restaurant because it would have remained liable in any event for its lease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The defendants submit they are only responsible for the Restaurant's losses incurred as a result of taking reasonable steps to mitigate. They cite Electronic Superstore Ltd. v. Geransky Brothers Construction Ltd. </w:t>
      </w:r>
      <w:hyperlink r:id="rId343" w:history="1">
        <w:r>
          <w:rPr>
            <w:rFonts w:ascii="arial" w:eastAsia="arial" w:hAnsi="arial" w:cs="arial"/>
            <w:i/>
            <w:color w:val="0077CC"/>
            <w:sz w:val="20"/>
            <w:u w:val="single"/>
            <w:shd w:val="clear" w:color="auto" w:fill="FFFFFF"/>
            <w:lang w:val="en-US" w:eastAsia="en-US" w:bidi="ar-SA"/>
          </w:rPr>
          <w:t>(1990), 87 Sask. R. 194</w:t>
        </w:r>
      </w:hyperlink>
      <w:r>
        <w:rPr>
          <w:rFonts w:ascii="arial" w:eastAsia="arial" w:hAnsi="arial" w:cs="arial"/>
          <w:color w:val="000000"/>
          <w:sz w:val="20"/>
          <w:lang w:val="en-US" w:eastAsia="en-US" w:bidi="ar-SA"/>
        </w:rPr>
        <w:t xml:space="preserve"> (Q.B.) as authority for determining what losses are properly recoverable when a plaintiff takes unsuccessful steps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Electronic Superstore, the plaintiff leased retail premises from the defendant on Saskatoon's east side. Two years later, the plaintiff opened a second store on Saskatoon's west side. Shortly thereafter, the defendants excavated the land next to the east side premises. As a result of negligent excavation, a wall in the plaintiff's east side premises collapsed. The building could not be fixed and the defendant terminated the lease. The plaintiff re-opened its east side retail premises at another location. Some months later, the plaintiff decided that neither its east side nor its west side operations were feasible and went out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Baynton J. determined that damages were to be assessed by considering first the loss in the value of the business and second the amount of loss the plaintiff incurred in reasonable mitigation attempts. He found the value of the business to be $242,500. With respect to mitigation, the plaintiff claimed some $266,000, for the losses it suffered in operating its business from the date the wall collapsed until the date it closed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Although Baynton J. found it was reasonable for the plaintiff to have attempted to continue doing business, he held that steps taken in mitigation must not only be reasonable, but the amount of the loss incurred in mitigation must also be reasonable, bearing in mind the magnitude of the loss being mitigated. He held that mitigation expenses are not reasonable if the loss incurred in mitigating damages exceeds the original loss being mitigated against. He limited recovery for mitigation expenses to a period prior to the closure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the circumstances of this case, I am satisfied that it was reasonable for the plaintiff to attempt to continue to operate the Restaurant for a period of time following publication of the article. By the end of September 1999, however, it should have been readily apparent that drastic steps were needed to save the Restaurant. No steps were taken until February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my opinion, the Restaurant should have made the changes that took place in February 2000 no later than October 1999. If it had done so, it would have been clear by December 31, 1999, some six months after the article that the Restaurant could not succeed and should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It was not reasonable for the plaintiff to continue to operate the Restaurant until January 2002. Nor was it reasonable for the plaintiff to incur losses of $671,687 to save a business valued at $400,000. I award the plaintiff one-half of its cash losses suffered in the fiscal year ending June 30, 2000, being $133,423.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If the Restaurant had closed on December 31, 1999, there would have been outstanding lease obligations. It would have been in the interests of both the plaintiff and the landlord to negotiate a surrender of the lease, much as they did in January 2002. The landlord did not want vacant space in its mall. I am confident that the plaintiff could have negotiated the surrender of the lease so that the landlord could re-let the premises to another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surrender of lease would have come at some cost. The plaintiff paid approximately $25,000 a month in occupancy costs. I find that $100,000 would have been a reasonable amount to pay to the landlord to settle the lease obligations. I award that amount to the plaintiff in addition to its mitigation costs, bringing the expense claim to $233,423.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the result, therefore, I award a total of $633,423 in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find the article of July 18, 1999 to be defamatory. I reject the Newspaper's defences of justification, fair comment and qualified privilege. The plaintiff is entitled to $633,423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plaintiff is entitled to enter judgment against Cariboo Press (1969) Ltd. and Michelle Lang. There was no evidence led that Mr. Doerkson or Mr. McAlpine were involved in the publication of the story. The action against them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The claims against the Board in both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parties should make arrangements to speak to costs and any other matters arising from the judgment,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closing, I would be remiss if I did not express my appreciation to all counsel for their thorough, thoughtful and professional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Restaurant Ltd.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Adjusted Maintainable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Earnings Before Interest, Taxes, Depreciation and Amortization ("EBITDA")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10"/>
        <w:gridCol w:w="523"/>
        <w:gridCol w:w="156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income per financial statements</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$ 948</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3"/>
        <w:gridCol w:w="156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Add non cash expense - amortization</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49,245</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Add/(Deduct) estimated unusual 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non-recurring expenses, and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7"/>
        <w:gridCol w:w="2927"/>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Interest</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10,837</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150"/>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 fee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27,500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 fee - fair market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 months @ $4,000)</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(44,000)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(16,500)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150"/>
        <w:gridCol w:w="1150"/>
        <w:gridCol w:w="35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 bonus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134,200</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 salary (11 months)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(45,833)</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88,367</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046"/>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 tax and miscellaneous 106,769</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 tax and miscellaneous</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fair market (11 months) (82,769)</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24,000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3"/>
        <w:gridCol w:w="271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EBITDA - 11 months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156,897</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1673"/>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EBITDA - 12 months $156,897 x 12/11</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171,160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2"/>
        <w:gridCol w:w="1359"/>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EBITA x multiplier = $171,160 x 2.75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470,691</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59"/>
        <w:gridCol w:w="1987"/>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Range - say - +/- 20%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$376,553</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$564,829</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776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Senner v. GE Canada Leasing Services Co., [2017] B.C.J. No. 2170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3-6, 9-13 and 16-20,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47044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2017 BCSC 1939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Gary Senner, Plaintiff, and GE Canada Leasing Services Company Societe de Services de Credit-Bail GE Canada, General Electric Canada Equipment Finance GP, GE Canada Leasing Services dba General Electric Canada Equipment Finance GP, Kam-Valley Distributors Limited and David Brian Schneider,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(448 paras.)</w:t>
      </w:r>
    </w:p>
    <w:p>
      <w:pPr>
        <w:jc w:val="both"/>
        <w:rPr>
          <w:rFonts w:ascii="arial" w:eastAsia="arial" w:hAnsi="arial" w:cs="arial"/>
          <w:sz w:val="20"/>
          <w:lang w:val="en-US" w:eastAsia="en-US" w:bidi="ar-SA"/>
        </w:rPr>
      </w:pPr>
      <w:bookmarkStart w:id="123" w:name="Counsel_15"/>
      <w:bookmarkEnd w:id="1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Zak.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S.C. Driver.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4" w:name="Judgment_15"/>
      <w:bookmarkEnd w:id="124"/>
      <w:r>
        <w:pict>
          <v:line id="_x0000_s1101" style="position:absolute;z-index:251725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DESCRIPTION OF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SENNER'S PERSONAL HISTORY AND WORK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RCMP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Covert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MR.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DAVID BRIAN SCHNEIDER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Vision on the Morning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ACCIDENT RECONSTRUCTIONISTS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Gough's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Heinrich's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LAW TO 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Case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Should Mr. Senner be held to a Higher Standard of Care as a Professional Driver?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Failure to Secure the Surveillance Equipment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 SUFFERED BY GARY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MILD TRAUMATIC BRAIN INJURY ("MTBI"), POST-TRAUMATIC STRESS DISORDER, DEPRESSION AND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Aindrias O'Breasail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Kevin Solomons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David Koo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Gordon Robinson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McKenzie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Loomer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Sleep and Fatigue - Dr. A.S. Minhas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Miranda du Preez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Neuropsychological Assessment for Cognition - Dr. Mel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FUNCTIONAL CAPACITY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SENNER'S LIFE OUTSIDE THE RCMP AND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SENNER AND KIM WATT-SENNER'S LIFE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 REGARDING MR. SENNER'S INJURIES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 FOR MR.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INCOME LOSS AND IMPAIRMENT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Devick Ranch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 Bovin Contracting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Lee ABC Contracting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JKL Contracting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Northern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YARD/FARM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5" w:name="H. HYSLOP J."/>
            <w:bookmarkEnd w:id="125"/>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15, 2011, at approximately 6:50 a.m., the plaintiff, Gary Senner, was driving a motor vehicle (the "Van") which collided with a tractor truck (the "Tractor") driven by the defendant, David Brian Schneider, at the intersection of Mount Paul Way and Athabasca Street near the City of Kamloops, British Columbia. Mr. Senner argues that since Mr. Schneider is responsible for and caused the accident, he should compensate Mr. Senner for the injuries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Schneider was driving the Tractor with the consent of his employer, the defendant, Kam-Valley Distributors Limited ("Kam-Valley"). The other defendants do not play a role in this trial, other than they were all represented by counsel who represented Mr. Schneider and Kam-Valley.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Schneider accepts he is liable for his actions prior to the collision. However, he alleges that Mr. Senner's actions, prior to the collision, require him to accept a substantial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DESCRIPTION OF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Mount Paul Way and Athabasca Street are located in an industrial part of the Tk'emlúps Indian Reserve. Mount Paul Way is oriented north-south with one lane of traffic each way. Its surface is asphalt with asphalt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Athabasca Street intersects with Mount Paul Way at approximately a 90 degree angle and is oriented east-west. Stop signs were present for traffic entering the intersection from Athabasca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Mount Paul Way to the north of the intersection, the lanes are separated by a solid centreline for southbound traffic and a dashed centreline for northbound traffic. To the south of the intersection, there was a double solid centreline.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were no marked lines on Athabasca Street. Nor were there painted stop lines. The eastbound stop sign was located 9.7 metres to the west of the southbound lane fog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To the west of Mount Paul Way, on the south side of the intersection, there was a service road leading down to businesses located along the north side of the South Thompson River. A portion of the road closest to Mount Paul Way is asphalt, and the rest is a gravel surface. A grassy embankment separated this service road from Mount Paul Way. A sign mounted on a concrete block was located on this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pleadings and evidence raise the following issues: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Senner contributorily negligent?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if any, did Mr. Senner suffer as a result of the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state of Mr. Senner's health prior to the accident?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assessed for: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or impairment of capacity;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non-wage benefits;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SENNER'S PERSONAL HISTORY AND WORK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Personal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Senner is now 60 years old. At the time of trial, he was a retired RCMP officer. He is married to Kim Watt-Senner, who is also a retired RCMP officer. They have a 12-year-old son who lives with them in Fraser Lake,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Senner was previously married. He has two adult sons from that marriage. He is also a grandfather.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Senner, his parents and siblings, lived in various parts of Alberta before moving to Fraser Lake when Mr. Senner was in grade 6. Mr. Senner graduated from high school in 1976. He enjoyed school, excelled in sports and in particular basketball, an interest he pursued in his adult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in high school, Mr. Senner developed an interest in farming and ranching. He left home while in high school as a result of a disagreement with his father. While attending high school, he lived and worked on a 300 cow ranch. During his childhood, he spent summers and vacations on his uncle's farm located in Alberta. He talked to his uncle about becoming a farmer. His uncle told him to become a policeman. He was also encouraged to become a policeman by his brother-in-law, who was a member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graduating from high school, Mr. Senner worked in a local mill in Fraser Lake, where his father worked. Within three or four years, he left the mill job and obtained employment in Grand Prairie, Alberta as a yard manager for a heavy equipment dealership. He worked there for a few years. That job ended as a result of an economic downturn. He returned to Fraser Lake and again obtained work at the local sawmill.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returning to Fraser Lake, he coached grade 8 boys for a junior basketball team. He refereed basketball games both at home and away from home. He took seminars and wrote a provincial examination and received a certificate as a referee.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Senner eventually decided he wanted to become a RCMP officer. He testified at that time the RCMP was focussing on visible minorities as candidates. He received advice from the officer in charge at the Fraser Lake RCMP detachment that joining the RCMP auxiliary and gaining experience would help him be accepted for training with the RCMP. Mr. Senner joined the RCMP auxiliary and remained with it for six years. All his assessments while serving in the RCMP auxiliary were described as "fully satisfactory" and "superior". As an auxiliary officer, he became interested in crime related to illegal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December 1992, Mr. Senner became an RCMP officer and went to "Depot" for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completing his training in 1993, he was first posted to Prince George, where he remained until approximately 2003. From 2003 to 2005, he was posted to Kelowna. On October 11, 2005, he was promoted to corporal and posted to Quesnel, where he remained for almost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2006, Mr. Senner was transferred to the Kamloops RCMP detachment. On September 16, 2009, he was promoted to sergeant. While working in Kamloops, the motor vehicle accident at issue occurred. On September 5, 2014, he took medical leave and, on May 11, 2016, he retired. Subsequently, Mr. Senner and his wife sold their 16-acre farm located in the Kamloops area and they moved to Fraser Lake.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RCMP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Mr. Senner's posting to Prince George and after about five years' service as a general duty officer, he was posted to the drug section of North District in Prince George. In this unit, officers were tasked with "high caliber investigations" which included preparing warrants followed up with covert entries. During that time, he took courses to improve his skills. One of the courses he took was to train as an undercover operator, which he successfully completed. He received a written report card as an undercover operator. He was described as "a top performer". As a result, he was placed in the RCMP's undercover pool where he was assigned to various investigations. In time, he became well-known to those heading investigations where undercover operators were required. As a result, he was approached directly, rather than through approval from RCMP National Headquarters in Ottawa. There were no restrictions placed on Mr. Senner as to the investigations in which he could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Senner's height is 6 feet 7 inches. In these undercover operations, he was role playing. He was able to choose his own costumes in undercover roles. He remained an undercover operator until he retired. During drug investigations, he also handled informants. It was apparent when Mr. Senner testified that he enjoyed his work during his career as an RCMP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Senner, at the request of the then-RCMP inspector at the Kamloops detachment, put together a drug unit with untrained constables, except for one. The unit was tasked with eradicating and bringing to trial the leaders and members of a gang involved in the sale of illicit drugs in the Kamloops area. This investigation was a success. Mr. Senner and his officers received commendation for their efforts. Mr. Senner described his responsibilities and his enthusiasm for this investigation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...what entailed in that investigation. It was -- it was -- it was -- from start to finish it was everything from surveillance to the one-party to -- to, you know, all the different operational plans, the finances.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finances itself I was responsible for, which included all the overtime, the meals, travel expenses, car rentals. It was just -- it was just like taking on a whole -- a whole new identity for a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Now, did you find this interesting?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loved it. It was a challenge. Especially having all these young guys to -- that want to learn and -- and that were eager to -- to take on responsibility and -- and want to learn. It was very gratifying.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investigation that Mr. Senner headed lasted for nine months and ended in 2008 when arrests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Shortly after the completion of this investigation, Mr. Senner competed for a position of sergeant and was successful. As a sergeant, he had two corporals and twelve constables to supervise. By this time, property and drug investigations were under a single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Senner's career goal was to make staff sergeant and he wanted to continue working in the drug units of the RCMP. Mr. Senner stated, "my passion was drug work". Mr. Senner thought he could make a difference. As part of his duties, he prepared expert reports for presentation in court and judges accepted him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Senner testified that he wanted to retire from the RCMP when he was 65 years old. He testified that by age 65 his mortgage on the farm would be paid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RCMP officers face an annual performance review, which is in writing. Many of Mr. Senner's reviews, including when he was an auxiliary officer, were introduced into evidence. Words such as "excellent", "professionalism", "serious", "sensible" and "confident" were used to describe Mr. Senner. All of his performance reviews presented to the court were positive, noting a high regard for his abilities. He was frequently complimented for the manner in which he conducted his undercover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an RCMP officer, Mr. Senner was required to take and pass a physical test with the acronym of PARE, which stands for Physical Abilities Requirement Evaluation. The test was that an officer had to run down a suspect and control the suspect in a certain time period. After the accident, Mr. Senner did not take a PARE test because he knew he physically could not pass it. Regardless, he continued working as an RCMP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Senner scored sufficiently high in his sergeant's exam that he was exempted from writing a staff sergeant's exam. In order to seek the promotion of staff sergeant, the rules of the RCMP required him to work as a sergeant for three years before applying for promotion. He could have applied in 2012. I find it was very likely he would have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Three police officers and a former police officer testified on behalf of Mr. Senner. They were Constable Atila Peter, Corporals Argue and Lamb, and Gary Kerr (formerly Staff Sergeant Kerr). Corporal Argue worked with Mr. Senner when Mr. Senner headed the drug section in Kamloops when its purpose was to eradicate the sale of drugs by a gang. Corporal Argue testified that Mr. Senner was not a micro-manager and allowed those in the unit to do their work. He stated that Mr. Senner generally cared for the people who worked for him. He described Mr. Senner as hard working and expected those he directed to do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Corporal Lamb was transferred to the Kamloops RCMP detachment in 2006. He first met Mr. Senner in the fall of 2008. In the fall of 2008, Corporal Lamb was assigned to the drug section. Corporal Lamb worked with Mr. Senner from 2008 to November 2013. He testified that Mr. Senner did not take over the overall supervision of the property and drug crime unit until he was promoted to sergeant. Corporal Lamb testified that Mr. Senner's immediate supervisor was Staff Sergeant Kerr. Corporal Lamb testified that the primary role of the investigation that Mr. Senner headed was to target drug trafficking in Kamloops, not limited to street level drug trafficking, but the overall larger operation; that is, the upper echelon of the drug trade in Kamloops. Corporal Lamb testified that when he and other members were assigned to the drug squad headed by Mr. Senner, they were all new to drug investigation except one member. He stated that Mr. Senner had an extensive background in drug investigation and led the unit by teaching them surveillance methods, drug lingo, the workings of the drug underworld and how drug undercover operations worked. He described Mr. Senner as a "hands-on" supervisor, often taking part in the investigations. He described Mr. Senner as always leading and a good leader. He placed him at the top echelon of leaders he had encountered. Corporal Lamb testified that Mr. Senner was a good note taker, had a good memory and prepared good Reports to Crown Counsel. Constable Lamb testified as to Mr. Senner's physical complaints and his work habits after the accident, which I will refer to later in these reasons. Constable Lamb attended the scene of the accident several hours after the accident occurred, but he was not involved in its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Staff Sergeant Kerr retired in 2012. He was Mr. Senner's immediate supervisor when Mr. Senner was operating the drug unit. He described Mr. Senner as an "excellent worker. He displayed an abundance of common sense and took direction very well". Staff Sergeant Kerr was in charge of serious crime, drug and property crime units. He stated that 2010 was the busiest year he ever had in the RCMP. He said that he had the comfort during this busy year that Mr. Senner was running the drug operations. Mr. Kerr testified that he trusted Mr. Senner completely, the communication between them was excellent, and he always knew what was going on. He testified that he had full confidence in Mr. Senner's ability to run the drug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Kerr described Mr. Senner as a person not to make a quick decision and he sought more information before making a decision. He described Mr. Senner as quiet, not introverted, a good listener, and a person who when he spoke had something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Kerr thought that Mr. Senner would have been a good candidate for staff sergeant. He stated he knew of no behaviour on the part of Mr. Senner that would have prevented him from becoming a staff sergeant.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Kerr described the Kamloops detachment as having a toxic workplace at the time of his retirement. Corporals Argue and Lamb confirmed this. Mr. Kerr described the superintendent in charge of the Kamloops detachment an "extreme bully" who did not have a good opinion of him or Mr. Senner. Despite these problems in the Kamloops RCMP detachment, Mr. Senner's evaluations continued to be glowing.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Constable Peter worked on the drug squad and described Mr. Senner as an excellent boss and a good mentor. He and Mr. Senner were also friends. Constable Peter was at Mr. Senner's farm and worked on projects with Mr. Senner, which I will describe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stated, Mr. Senner holds Mr. Schneider responsible for the accident. However, Mr. Schneider alleges the actions of Mr. Senner prior to the collision required Mr. Senner to accept a substantial apportionment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Covert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Van Mr. Senner was driving in this accident was owned by the RCMP. It was a covert van. Mr. Senner kept the Van at his farm from time-to-time, both to keep it out of sight and to plug it into power to maintain the three large batteries located in the back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Van was maintained and serviced by the Special I unit of the RCMP located in Kelowna. Special I looks after and disperses RCMP covert vans to various detachments in British Columbia. These vehicles have different classifications. The Van involved in the accident on February 15, 2011 was a special covert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Van was a stock vehicle, which means it was purchased straight off the car lot, chosen so as to blend into its surroundings and not to be identifiable. No modifications were made to the headlights, transmissions, brakes and other workings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RCMP sends vans such as the one involved in the accident to a contractor who guts the back of the van. The vehicle is outfitted with a hard-mounted custom-made platform. Electrical panels are installed as part of the platform to permit power for the operation of a laptop, camera and other devices needed by officers for surveillance.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back end of the Van are three big batteries built into the frame. The battery box is a sliding bolt mechanism making it impossible for the batteries to come loose. There is no room for a spare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back of the Van, there is a desk that is built-in and bolted down to the platform. There is a chair on casters, allowing surveillance officers to move around while conducting surveillance. It is equipped with a seatbelt to belt in the officer in the back when the vehicle is in motion. In addition, there is a seatbelt bolted to the frame for purposes of securing the chair when the Van is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Corporal Trops, who works for Special I, testified that some of the covert vehicles do come back with the chair not belted to the frame. Corporal Trops testified if the chair is not belted to the frame, it can be heard bouncing off the side of the vehicle while the vehicle is in motion. He testified there is a seatbelt to secure the spare tire. He stated there is no RCMP policy as to seat belting the tire and chair when the Van is being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a curtain behind the passenger and driver's seat of the Van. The curtain is in two pieces and held together with Velcro. Right behind the curtain is the compartment that houses the electrical equipment for surveillance. The compartment is the width of the front seats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Access to the Van's sliding door and the back door of the Van is by a special key stored with the same set of keys that operate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Van is designed for two officers: one officer who is in the back and another to drive the Van to the surveillance location and who then walks away from the surveillance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Senner testified that he made a complaint about the tire in the back of the Van not being secured. Corporal Trops said that he did not receive a complaint. However, there are other officers in the unit who could have received the complaint. Corporal Trops testified that during his 12 to 13 years at Special I he has never received a complaint as to items being unsecured in the back of a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Constable Lamb testified as to his familiarity with ordering covert vans from Special I. He said these vehicles could not be parked near the police station or in areas where they would be towed away or vandalized. As a result, these vehicles, and this particular vehicle driven by Mr. Senner at the time of the accident, was parked at his farm so as to remain out of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Senner occasionally drove a covert vehicle from his farm, but he did so only because RCMP members asked him to drive it to a designated location. Before the accident, Mr. Senner heard a complaint about a smell in the Van. It was thought that the smell came from a dead mouse. He opened up the Van to investigate the complaint and observed that the tire and chair were loose in the back of the Van. It is then he made a complaint to Special I about the loose tire and chair. Before the accident, the Van went back to Special I to investigate the smell and then came back to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MR.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morning of February 15, 2011, at about 6 a.m., a fellow officer telephoned Mr. Senner at home and asked him to bring the Van into Kamloops, parking it at the usual drop-off place. At this time, the Van had been parked at Mr. Senner's farm for about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When Mr. Senner got into the Van, he did not check the Van. He never checked the Van because Special I was responsible for this task and he was just driving the Van into town. He testified that the lights on the Van came on automatically. He knew they came on that morning because the Van was parked behind the barn and he could see the lights shining on the barn. The curtain behind the passenger and driver seats was closed, as it always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Senner got into the driver's seat and fastened his seatbelt. He left the Heffley Creek area and travelled towards Kamloops on Highway No. 5. He then turned onto Mount Paul Way and headed towards the Red Bridge. Mr. Senner was travelling south on Mount Paul Way. He testified that he did not look at his speedometer, but he was travelling at the "normal rate with the flow of traffic". Mr. Senner testified as to the speed of the Van: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as you approach Athabasca Street on Mount Paul Way, you agreed that the posted speed limit is 50 kilometres an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you don't know the speed that you were travelling?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Now, as you approached Athabasca Street in the moments immediately before the accident, you know that there was no one in front of you at the time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is correct,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so you were the lead vehicle, with at least one vehicle behind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is correct,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know that you were speeding at the time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Did I know that I was speeding? No, not really,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in your recollection you were just going with the flow of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is correct,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Senner testified that it was overcast, it was not raining, and the roads were not icy. He described the driving conditions as good. The photographs taken by the police shortly after the collision and entered into evidence support Mr. Senner's description of the road conditions as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Senner testified that it was on the verge of sunrise shortly before the collision. It was light out and he could see "everything". This included the trees, telephone poles and the vehicles travelling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Senner testified that as he approached Athabasca Street, he observed a white tractor unit on Athabasca Street moving towards the stop sign located on Athabasca Street which intersected with Mount Paul Way. The Tractor, just before the stop sign, slowed down and then "kind of shakes". It then pulled onto Mount Paul Way in front of him. He said he was approximately 120 to 150 feet away from the Tractor when this occurred. He testified that his reaction time was two to three seconds from the time he observed the Tractor pull away from the stop sign and then into the intersection. When asked by his counsel why he did not slam on his brakes, he testified that he would have run into the side of the Tractor where the gas tanks were located. He testified that there was no alternative action that he could have taken other than the action he took. He testified that the Tractor was two-thirds into Mount Paul Way when he observed the driver's side of the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Senner testified that when he saw the Tractor on his side of the road, he knew he would not be able to stop, so he accelerated, pushing the throttle up as high as it could go, went into the opposite lane and attempted to go around the Tractor. As he was passing the Tractor, the Tractor hit the rear passenger quarter panel of the Van. The Van was then lifted at its right back end and this sent the Van into a right yaw. Mr. Senner took his foot off the accelerator and braked the Van as hard as he could. The Van then started over an embankment where it struck a cement block. After that, the Van started its roll-over. Mr. Senner was asked to compare the force of the Tractor lifting the Van to hitting the cement block. He responded that hitting the cement block was worse and of greater magnitude.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Senner testified that he lost consciousness. Mr. Senner's recollection is that when the Van rolled over for a second time, something hit him in the back of the head. He had no idea what it was other than he had a lump at the back of his head. He could not testify with certainty whether it was something in the back of the Van that hit his head or whether it was the Van coming down on the road below which caused him to lose consciousness. However, as he was being taken away on a backboard by the paramedics, he noticed items inside the Van. He identified those items as a spare tire and part of a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he regained consciousness, he recalled somebody calling his name. He found himself hanging upside down, still wearing his seatbelt, the roof of the Van collapsed, and his leg wedged awkwardly under the dashboard. He recalled struggling to release the seatbelt to ease the pressure. He recalled his arms entangled in the seatbelt. He believes that someone cut off the seatbelt. He was then placed on a stretcher board, strapped down, placed in an ambulance and taken to Royal Inland Hospital. He spent the better part of the morning at the hospital and was released. His wife took him home. The next day, he went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DAVID BRIAN SCHNEIDER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Schneider is a truck driver and has been one for 30 years. On February 15, 2011, he was working as a manager/truck driver for one of the defendants, Kam-Valley. On that date, Mr. Schneider was driving a Tractor leased by Kam-Valley. Prior to the accident, Mr. Schneider had driven this Tractor on a number of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Kam-Valley's office is located on East Athabasca Street, two or three blocks from the intersection of Athabasca Street and Mount Paul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Schneider arrived at Kam-Valley's office on the morning of the accident. At 6:30 a.m., he did a pre-trip inspection of the Tractor before he was to drive to VersaCold to pick up the trailer that he would be hauling that day. The route he would take would be down Mount Paul Way and on to Highway No.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Schneider testified he drove the Tractor down East Athabasca Street to the intersection of Athabasca and Mount Paul Way. He drove up to the stop sign and he made a full stop. In stopping, the front bumper of the Tractor was even with the stop sign. He testified that he looked both ways, observed no traffic, except two vehicles identified by their headlights - one midway on the Red Bridge coming towards him and the other travelling in the distance towards the Red Bridge. Neither of these vehicles posed a risk to Mr. Schneider's decision to turn on to Mount Paul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Schneider testified that he left the stop sign in second gear and at 5 kph. Within two to three seconds, he heard a bang. He pulled the Tractor to the side of Mount Paul Way. Initially, Mr. Schneider thought someone had hit his Tractor and drove over the Red Bridge. He telephoned the RCMP to report a hit-and-run.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Schneider testified that there was no traffic in the lane in which he was turning into and there were no vehicles behind him when he drove up East Athabasca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Schneider testified that it was dark, the road conditions were very good, presenting no problems and visibility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Schneider acknowledged that in the Tractor he was high up and had a good view of the road. He testified there was nothing that morning obstructing his view. Mr. Schneider candidly admitted that he did not see the Van.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Vision on the Morning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no disagreement between what Mr. Senner could see and what Mr. Schneider could see just before the accident. Dr. Andrew Weaver, a meteorologist, provided expert evidence. He stated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15, 2011 sunrise occurred at 07:13 and the beginning of civil twilight started at 6:40, approximately five minutes before the time of the Senner accident. Civil twilight is defined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Civil twilight</w:t>
      </w:r>
      <w:r>
        <w:rPr>
          <w:rFonts w:ascii="arial" w:eastAsia="arial" w:hAnsi="arial" w:cs="arial"/>
          <w:color w:val="000000"/>
          <w:sz w:val="20"/>
          <w:lang w:val="en-US" w:eastAsia="en-US" w:bidi="ar-SA"/>
        </w:rPr>
        <w:t xml:space="preserve"> is defined to begin in the morning, and to end in the evening when the center of the Sun is geometrically 6 degrees below the horizon. This is the limit at which twilight illumination is sufficient, under good weather conditions, for terrestrial objects to be clearly distinguished; at the beginning of morning civil twilight, or end of evening civil twilight, the horizon is clearly defined and the brightest stars are visible under good atmospheric conditions in the absence of moonlight or other illumination. In the morning before the beginning of civil twilight and in the evening after the end of civil twilight, artificial illumination is normally required to carry on ordinary outdoor activities."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is, civil twilight corresponds to the period before sunrise (or after sunset) when the sky is partially lit from the scattering of sunlight in the atmosphere.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at 06:45 on February 15, 2011 the accident involving Gary Senner occurred during civil twilight under mainly clear sky conditions. In accordance with the definition of civil twilight provided above, such conditions would mean that illumination is sufficient for terrestrial objects to be clearly distinguished.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Weaver further wrote a letter dated September 29, 2016 to clarify his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definition of civil twilight provided above, such conditions would mean that illumination is sufficient for terrestrial objects to be clearly distinguished.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based on the evidence of Mr. Senner, Mr. Schneider and Dr. Weaver, that the lighting conditions did not diminish the ability of either Mr. Senner or Mr. Schneider to observe the surrounding conditions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ACCIDENT RECONSTRUCTIONISTS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Both Mr. Senner and the defendants each provided an opinion from an engineer qualified as an expert on the subject of motor vehicle collision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Senner retained Jonathan Gough, who wrote a report dated October 6, 2016. In addition, he prepared a report dated February 3, 2016 concerning the technical validity of the conclusions contained in Mr. Heinrichs' report regarding the timing of the data captured by the airbag control module ("ACM") in the Van. Mr. Gough, in a report dated October 11, 2016, reviewed Sergeant Brian Nightingale's report dated June 15, 2011, and in a report dated October 11, 2016, reviewed Constable C.H. Johns' report of February 15,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retained Bradley Heinrichs who authored a report dated December 14,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Both Mr. Gough and Mr. Heinrichs relied on photographs taken by the RCMP and the data downloaded from the ACM from the Van, as provided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RCMP, on the date of the accident, attended the accident scene. Constable Johns arrived at the accident scene about two hours after it occurred. She took photographs and measurements of the accident scene. In her report, based on her observations and measurements, she provided her opinion as to how the accident occurred. Sergeant Nightingale did not attend the scene of the accident. His report was an addendum to the report of Constable Johns. His analysis was limited to the interpretation of evidence provided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Gough's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Gough stated that Constable Johns failed to document all tire marks deposited by the Van. As a result, she concluded that the "rollover of the van started much earlier in the post impact trajectory than it did". Mr. Gough states that the actual roll over distance was significantly shorter. Mr. Gough concluded that Sergeant Nightingale transposed two numbers in his calculations which affected his opinion as to where the Van tripped. Mr. Gough stated Sergeant Nightingale used the wrong co-efficient value for a dry asphalt surface for non-ABS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Sergeant Nightingale calculated that the initial speed of the Van was between 86 to 92 kph. Mr. Gough concluded that while the calculations were mathematically correct, "the dynamics upon which they are based are not consistent with the physical evidence at the collision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RCMP downloaded the data from the Van's ACM. Mr. Gough quotes Sergeant Nightingale in his report as saying "</w:t>
      </w:r>
      <w:r>
        <w:rPr>
          <w:rFonts w:ascii="arial" w:eastAsia="arial" w:hAnsi="arial" w:cs="arial"/>
          <w:b/>
          <w:color w:val="000000"/>
          <w:sz w:val="20"/>
          <w:lang w:val="en-US" w:eastAsia="en-US" w:bidi="ar-SA"/>
        </w:rPr>
        <w:t>In the -5 to -3 seconds before the non-deployment event was initiated Vehicle One was traveling 64 to 88 km/h</w:t>
      </w:r>
      <w:r>
        <w:rPr>
          <w:rFonts w:ascii="arial" w:eastAsia="arial" w:hAnsi="arial" w:cs="arial"/>
          <w:color w:val="000000"/>
          <w:sz w:val="20"/>
          <w:lang w:val="en-US" w:eastAsia="en-US" w:bidi="ar-SA"/>
        </w:rPr>
        <w:t>". Mr. Gough states that these acceleration values, described above, are both likely greater than the Van would be capable of achieving in that speed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Gough disagreed with Sergeant Nightingale's conclusion that the Van "was travelling between 85 to 92 km/h at the beginning of this crash event while driving within a 50 km/h zone". Mr. Gough stated that the Van's ACM "indicates that it was travelling 64 Km/h" before Mr. Senner accelerated to avoid a collision. He concludes that Sergeant Nightingale's analysis was "based on the incorrect description of the collision dynamics contained in Cst. John's report and therefore the calculated speeds are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Gough testified that he and Mr. Heinrichs agree with respect to the dynamics of the accident following the collision between the Van and the Tractor. More specifically, Mr. Gough stated that he and Mr. Heinrichs agree on: the speed at which the Van was travelling prior to the collision (64 or 65 kph); the fact that when the Van hit the concrete post, it was upright; the speed at which the Van was moving after the collision, based on the physical evidence, which includes tire marks; and finally, the particular location at which the Van tripped after the impact with the concrete base. Further, the two experts largely agree on the speed the Van reached after Mr. Senner applied throttle. Mr. Gough stated between 66 to 79 kph while Mr. Heinrichs stated 67 to 78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Gough stated that the Tractor displayed collision evidence to the right quarter of its front bumper. Mr. Gough observed that the Van displayed damage to the right side sliding door and right rear quarter panel that was consistent with contact with the Tractor. He concluded, based on the damage to these vehicles "the two vehicles were not quite perpendicular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Heinrichs concluded that based on the vehicle damage, the Tractor contacted the rear of the right side of the Van and the scuff marks on the front bumper of the Tractor were consistent with the Tractor's bumper contacting the right rear tire of the Van. He concluded that the dents on the right side of the body of the Van are consistent with contact with the front bumper and hood of the Tractor. Mr. Heinrichs stated that, given the length of the marks on each vehicle, that the Van's speed "was much greater than the truck's speed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Upon impact of the vehicles, Mr. Gough concluded that due to the forces directed rearward and to the left, and the place of contact on the Van, the forces would have caused the Van to rotate in a clockwise direction as the Van travelled south from the point of impact. He stated that when the first tire marks appeared, the Van was rotating clockwise. He stated that the tire marks of the Van converged and, after crossing onto the gravel-covered asphalt area, the tire marks crossed over, which indicated that the Van was no longer in a state of clockwise yaw. He observed that the areas where the first two tire marks "crossed over consisted of four separate tire marks that diverged as they continued south," which suggested the Van was by then in a counter-clockwise yaw.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Gough stated that as the Van continued south it struck the base of the signpost with its bumper while still upright and travelled to the south of the signpost. The Van then tripped and began to roll. As Mr. Gough stated, "[t]he absence of any significant damage to the left side of the van, except the top of the left front fender, indicates that it may have rolled only one half of a revolution."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Gough determined that the speed of the Van can be estimated at the point of impact with the Tractor "based on its post impact trajectory. However, this analysis is complicated by the fact that all of the marks from the van were not measured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Gough said that the length of the Van tire marks to the tire cross over point was approximately 25 metres and that the Van was already in a clockwise yaw when the tire marks first appeared. He estimated "that the distance from the point of impact to the onset of the tire marks was between 5 and 10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Gough estimated that after the Van started its counter-clockwise yaw, the Van travelled 25 to 30 metres before hitting the post. He concluded that in absence of measurements from the Van tires, Mr. Gough said he could not determine the yaw angle at the signpost, but estimated that it was a 45 to 60 degree angle. He also said that the downhill grade over this travelled distance of 25 to 30 metres was approximately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After the impact with the sign, the Van was going downhill rapidly. The Van then tripped and travelled approximately 15 to 20 metres to its resting place. The downhill grade over this distance averaged approximately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Gough concluded that at the time the Van hit the base of the signpost, its speed had diminished by approximately 5 to 10 kph from the speed of impact, which he determined to be 66 to 79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Gough notes that the data in the type of ACM that the Van was equipped with are recorded in one-second intervals. He notes the ACM's limitations by giving examples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...data points that are noted at -1 second could have been recorded at any time between 0 and 1 second prior to the triggering event (and occasionally can be recorded outside of this range). Furthermore, although all of the data elements in one row are noted to have been recorded at the same time interval, there may be some variation from element to element. For example, the vehicle speed at -1 seconds could have been recorded at 0.9 seconds prior to impact, while the engine rpm could have been recorded at 0.5 seconds prior to impact and the throttle at 0.2 seconds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observed it has been reported that in "low severity collisions, the recorded speed change for General Motors ACMs may underestimate the actual speed change by up to 4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Gough wrote that in this accident, the ACM recorded a non-deployment event. He states this occurs when the ACM senses a collision, but determines it is not severe enough to deploy the airbags. The Van had only front airbags and no side airbags. Mr. Gough explained that when the "non-deployment event" is recorded, it is over-written by a subsequent deployment event or "non-deployment event". He concluded that the impact with the concrete sign base would have over-written the event of the Van's impact with the Tractor. Mr. Gough, in reviewing the data, found that the first recorded data showed the Van travelling at a speed of 65 kph with no brake or throttle applied. The data next recorded showed the throttle applied at 100% and no braking. The next recorded data showed the brakes were applied. At this point, Mr. Gough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data is generally consistent with Mr. Senner's description that upon seeing the tractor moving into his lane he accelerated and tried to steer around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Gough found anomalies in the speed data in the ACM, which are that the Van's speed is recorded as increasing by 19 kph in a one-second interval. Mr. Gough states that the Van is incapable of this increase of speed in the data-recorded time. Studies have reported that aggressive acceleration and aggressive braking can result in inaccurate speed recording at the ACM. Mr. Gough explained that the high rate of speed recorded for the Van "could be a result of wheel slip or as a result of the time interval between the data points being significantly greater than 1 second". Mr. Gough observed that the last recorded speed prior to the triggering event is 39 kph. Again, based on the recorded partial seconds, Mr. Gough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39 km/h speed is not consistent with the calculated speed of between 66 and 79 km/h for the Senner van at impact, even allowing for the uncertainties in timing and speed measurement during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Gough considered whether the triggering event was the impact with the base of the signpost.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triggering event for the ACM recording was the impact with the sign, the actual speed of the Senner van would have been approximately 52 km/h and the vehicle would have been at a yaw angle of approximately 45 to 60 degrees. This yaw angle would result in the vehicle speed sensor under-reporting the true speed of the vehicle. The reported speed of 39 km/h at the -1 second data point is consistent with the impact to the signpost having been the event that [caused] the data to be recorded. This is based on the calculated speed of the van having been 66 to 79 km/h at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Gough eliminated that the triggering event for the ACM recording occurred during roll over as "the ACM only senses longitudal acceleration and there was no significant front end damage other than that due to striking the concrete sign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Gough concluded that with the Van travelling at a speed of 65 kph, it would not have avoided the collision by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Gough summarizes his analysis of the collision by concluding the following:</w:t>
      </w:r>
      <w:r>
        <w:rPr>
          <w:rFonts w:ascii="arial" w:eastAsia="arial" w:hAnsi="arial" w:cs="arial"/>
          <w:sz w:val="20"/>
          <w:lang w:val="en-US" w:eastAsia="en-US" w:bidi="ar-SA"/>
        </w:rPr>
        <w:cr/>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side of the front of the Schneider tractor collided with the right side of the Senner van, just rearward of the right front door.</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was struck by the Schneider tractor, the Senner Chevrolet Venture was probably travelling at a speed of 66 to 79 km/h.</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data recorded by the Airbag Control Module in the Senner vehicle was probably triggered by the impact with the concrete base of the signpost that was located to the south of the intersection. It was not triggered by the impact from the Schneider international tractor.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Senner Chevrolet Venture approached the intersection, it was travelling at a speed of approximately 65 km/h. In an attempt to avoid the collision, Mr. Senner accelerated to a speed of 66 to 79 km/h before his van was struck by the Schneider tractor.</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point where Mr. Senner commenced his avoidance manoeuvre, he was probably too close to the Schneider tractor to have avoided the collision by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Gough's calculation of the Van's speed at impact at between 66 and 79 kph is not based on data from the ACM, but rather on what happened to the Van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Finally, in cross-examination, Mr. Gough stated if Mr. Senner had been travelling at 50 kph at the beginning of his decision-making process, he could have stopped the Van.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Heinrich's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Heinrichs' observations as to the scene of the accident, tire striations, tire marks not picked up by the RCMP, and the path the Van took to its final resting spot accord with those of Mr. Gough.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focus of Mr. Heinrichs' opinion is taking the ACM data and presenting two theories of the accident. He does not prefer one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his first scenario, Mr. Heinrichs concluded that the non-deployment event was the impact between the Tractor and Van. As did Mr. Gough, Mr. Heinrichs found that the Van was travelling at 64 kph with no acceleration or braking. He noted the ACM recorded that with 100% throttle, the Van's speed increased to 84 kph and then with the throttle at 100% the Van's speed increased to 88 kph, with the throttle off the Van's speed decreased to 80 kph, and when the brake was applied the Van's speed reduced to 39 kph. Mr. Heinrichs reasoned that since the Van's ACM could only store one deployment event, the event recorded could be the initial contact by the Van with the Tractor or with the following impact with the base of the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Heinrichs used a software program, PC Crash, to calculate the Van's speed at the beginning of the tire marks and to determine the Van's travel to impact with the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have already described Mr. Heinrichs' observations as to the damage to the Van and to the Tractor, leading him to conclude that the Van's speed was much greater than the Tractor's speed at impact. The simulations performed by Mr. Heinrichs shows the Van was travelling between 67 and 78 kph at the onset of the tire marks. This is close in range to Mr. Gough's findings. Mr. Heinrichs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range is due to potential variability in the amount of friction between the van's tires and the road. Other considerations, such as the ACM data, may reduce this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concluded, "the time taken for the simulated van to travel the 51 m. from the onset of the tire marks to contact with the sign was about 2.5 to 3.1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Heinrichs concluded that some of the speeds the ACM recorded must be "inaccurate". The reason is that "the recorded speed changes more rapidly than is physically possible between some segments of the data". For example, the ACM recorded that the Van's speed increased from 64 kph to 84 kph in a one-second recorded interval, "which requires more friction than the van's tires could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Heinrichs offered two explanations for inaccuracies in the recorded vehicle speeds.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first possible explanation has to do with wheel slip, which happens "when the tire rotates faster or slower than needed to roll with the ground". Wheel slip could occur under full throttle or hard braking and Mr. Heinrichs noted that "[t]he vehicle's speed will be inaccurate if the vehicle is heavily braking, accelerating, in yaw, or rolling".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second possible explanation has to do with the accuracy of ACM timing data. Mr. Heinrichs referred to the concept of Algorithm Enable ("AE"), which "refers to a moment milliseconds into a crash event when the ACM begins to evaluate whether or not to deploy the airbags". He referenced a study that he was involved that showed that a speed sample recorded as occurring one second before AE "may occur anywhere from 0.7 seconds before AE to 0.45 seconds after AE". Mr. Heinrichs concluded that it was possible that data recorded as one second before AE was actually taken after the impact, and said that this could also explain the drop in speed in the last data segment.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Heinrichs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same study found that, although the data may not have occurred at the time indicated, samples were about 1 second apart from each other. Therefore, the data can be used to calculate distance traveled between samples. Such a calculation has to include a correction if the reported speeds are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Heinrichs concluded that the impact of the Tractor had triggered the ACM and the Van ACM timings were inaccurate. Had Mr. Senner braked substantially before impact, "the van's speed would have been reduced too much to have made the observed tire marks". The ACM recorded 39 kph at the point when the Van was braking and in yaw after impact. He concludes the ACM under-reports the Van's speed. The 88 kph is high due to partial wheel slip caused by full throttle application. He concludes that after adjusting for wheel slip, the Van travelled between 73 and 82 metres between throttle application and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second scenario, Mr. Heinrichs considers whether the ACM was triggered by the sign impact.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ACM data was recorded as a result of the sign impact, then that impact was probably about 0.2 seconds after the -1s sample. In this case, the throttle was probably applied before impact with the truck and during the start of its yaw.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scenario, the 88 km/h reported at -4 seconds is also high due to partial wheel slip caused by the full throttle application. The throttle was probably applied just after the -5 second sample was taken because of the large speed increase.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Accounting for the time taken to travel the 51 m from the onset of the yaw marks to the impact with the sign, the van was probably about 30 to 49 m from the onset of the tire marks when the throttle was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Heinrichs' conclusions are as follows:</w:t>
      </w:r>
      <w:r>
        <w:rPr>
          <w:rFonts w:ascii="arial" w:eastAsia="arial" w:hAnsi="arial" w:cs="arial"/>
          <w:sz w:val="20"/>
          <w:lang w:val="en-US" w:eastAsia="en-US" w:bidi="ar-SA"/>
        </w:rPr>
        <w:cr/>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Chevrolet Venture minivan was initially travelling at 64 km/h.</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van's throttle was fully applied for at least two seconds.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van's speed probably exceeded 80 km/h.</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front corner of the International tractor contacted [the] van's right rear wheel, causing the van's back end to slide left into yaw.</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 was probably upright until contact with a concrete block serving as the base for a sign.</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ACM recorded data as a result of the collision with the International tractor:</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Light to moderate braking instead of full acceleration would have stopped the van short of the collision with the International tractor.</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Senner had been travelling at the posted 50 km/h speed limit, light braking instead of full acceleration would have stopped the van short of the collision with the International tractor.</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ACM recorded data as a result of the collision with the sign at the side of the driveway: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 braking instead of full acceleration may have stopped the van short of impact with the International tractor, but under some conditions a collision may not have been avoidable by braking.</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Senner had been travelling at the posted 50 km/h speed limit, moderate to full braking instead of full acceleration would have stopped the van short of the collision with the International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Gough, in assessing the study in which Mr. Heinrichs was involved,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 other significant factor is that if the impact from the tractor is what caused the data to be recorded, then what that data says is that Mr. Senner stopped accelerating long before he was hit by the truck and had started braking. And as I understand Mr. Senner's evidence, it's that he accelerated right through until after he was impacted, and then applied his brakes. So if Mr. Senner is correct about when he applied his brakes, then Mr. Heinrichs' alternate scenario cannot be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Gough testified as to three reasons why he thought the impact of the Tractor and Van did not cause the ACM to record the data.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type of module in the Senner vehicle can only store one non-deployment event. So if there is data stored and there's a second impact to the vehicle, the data from the first event will be overwritten. So in this case if data was recorded from the truck impact, or the tractor impact, then the impact with the signpost would be expected to overwrite that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Gough's second reason for asserting that Mr. Heinrichs' alternate scenario was invalid is that the scenario required Mr. Senner to have braked hard at the time the Van collided with the Tractor. However, if Mr. Senner had "maintained that braking after impact he would easily have stopped his vehicle long before he got to the signpost. It would only require roughly 20 metres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His third reason is that the study on the ACM timing to which Mr. Heinrichs referred involved a kind of vehicle with an ACM different to the type of ACM in the Van. In Mr. Gough's view, this cast doubt on whether that research even applies to the type of ACM in the Van. If the study's findings do apply to the ACM in the Van, Mr. Gough testified that the "study shows that in three-quarters of the cases the impact or the data is recorded before impact and not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accept Mr. Senner's evidence as to how the accident happened. His version as to how the accident occurred confirms the scenario that Mr. Gough supports, which is the Van hit the base of the signpost. This scenario is supported by both Mr. Gough and in one of Mr. Heinrichs' scenarios. To accept Mr. Heinrichs' other scenario, I could not accept Mr. Senner's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common law and the following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Entering through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(1) If a vehicle that is about to enter a through highway has stopped in compliance with section 186,</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Stopping at intersections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Except when a peace officer directs otherwise, if there is a stop sign at an intersection, a driver of a vehicle must stop</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application of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described in </w:t>
      </w:r>
      <w:r>
        <w:rPr>
          <w:rFonts w:ascii="arial" w:eastAsia="arial" w:hAnsi="arial" w:cs="arial"/>
          <w:i/>
          <w:color w:val="000000"/>
          <w:sz w:val="20"/>
          <w:lang w:val="en-US" w:eastAsia="en-US" w:bidi="ar-SA"/>
        </w:rPr>
        <w:t>Ishii v. Wong</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2015 BCSC 922</w:t>
        </w:r>
      </w:hyperlink>
      <w:r>
        <w:rPr>
          <w:rFonts w:ascii="arial" w:eastAsia="arial" w:hAnsi="arial" w:cs="arial"/>
          <w:color w:val="000000"/>
          <w:sz w:val="20"/>
          <w:lang w:val="en-US" w:eastAsia="en-US" w:bidi="ar-SA"/>
        </w:rPr>
        <w:t>, where Madam Justice Gerow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 driver has an obligation not to proceed into an intersection unless it can be done safely. The dominant driver who is proceeding through the intersection is generally entitled to continue and the servient left turning driver must yield the right of way: </w:t>
      </w:r>
      <w:r>
        <w:rPr>
          <w:rFonts w:ascii="arial" w:eastAsia="arial" w:hAnsi="arial" w:cs="arial"/>
          <w:i/>
          <w:color w:val="000000"/>
          <w:sz w:val="20"/>
          <w:lang w:val="en-US" w:eastAsia="en-US" w:bidi="ar-SA"/>
        </w:rPr>
        <w:t>Cooper v. Garrett</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2009 BCSC 35</w:t>
        </w:r>
      </w:hyperlink>
      <w:r>
        <w:rPr>
          <w:rFonts w:ascii="arial" w:eastAsia="arial" w:hAnsi="arial" w:cs="arial"/>
          <w:color w:val="000000"/>
          <w:sz w:val="20"/>
          <w:lang w:val="en-US" w:eastAsia="en-US" w:bidi="ar-SA"/>
        </w:rPr>
        <w:t xml:space="preserve">, para. 32;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[1993] B.C.J. No. 154</w:t>
        </w:r>
      </w:hyperlink>
      <w:r>
        <w:rPr>
          <w:rFonts w:ascii="arial" w:eastAsia="arial" w:hAnsi="arial" w:cs="arial"/>
          <w:color w:val="000000"/>
          <w:sz w:val="20"/>
          <w:lang w:val="en-US" w:eastAsia="en-US" w:bidi="ar-SA"/>
        </w:rPr>
        <w:t xml:space="preserve"> (C.A.) describes the law when a servient driver tries to fix the blame on the dominant driver: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Rackstraw v. Robertson</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2011 BCSC 947</w:t>
        </w:r>
      </w:hyperlink>
      <w:r>
        <w:rPr>
          <w:rFonts w:ascii="arial" w:eastAsia="arial" w:hAnsi="arial" w:cs="arial"/>
          <w:color w:val="000000"/>
          <w:sz w:val="20"/>
          <w:lang w:val="en-US" w:eastAsia="en-US" w:bidi="ar-SA"/>
        </w:rPr>
        <w:t>, Madam Justice Fisher said this as it relates to the common law duty of 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 not provide a complete legal framework but are to be regarded as guidelines for assessing fault in motor vehicle accident cases.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21, the court held: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More particularly, the court said this about s.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at para. 33: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"immediate hazard" appear in both ss. 174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are used to determine when a vehicle may lawfully enter an intersection. They determine who is the dominant driver, but do not, in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If I determine the loss or damage was caused by the fault of both Mr. Senner and Mr. Schneider, I must apportion liability between them in accordance with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court must assess the degree of blameworthiness of each party, not the degree to which each party's fault caused the loss: </w:t>
      </w:r>
      <w:r>
        <w:rPr>
          <w:rFonts w:ascii="arial" w:eastAsia="arial" w:hAnsi="arial" w:cs="arial"/>
          <w:i/>
          <w:color w:val="000000"/>
          <w:sz w:val="20"/>
          <w:lang w:val="en-US" w:eastAsia="en-US" w:bidi="ar-SA"/>
        </w:rPr>
        <w:t>Knight v. Li</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2011 BCSC 184</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Mr. Senner was the dominant driver at the time of the accident under s. 175(2)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Mr. Schneider was the servient driver under ss. 175 and 186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as he faced a stop sign on Athabasca Street. Mr. Schneider's obligation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was to stop at the stop sign and yield the right-of-way to the Van, or any traffic on Mount Paul Way, before turning left. He could only proceed into the intersection of Mount Paul Way and Athabasca if the intersection was clear and there was no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Mr. Schneider, to show he was entitled to cross into the intersection, must show that when he turned left onto Mount Paul Way, the Van was not an immediate hazard. The moment before Mr. Schneider actually commenced his left turn onto Mount Paul Way is the time he, as the servient driver, had to determine if he faced an immediate hazard: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(C.A.)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Senner's Van was an immediate hazard, as Mr. Schneider's Tractor turned left into Mount Paul Way. Mr. Schneider did not see the Van at any time, including when the Tractor hit the rear quarter panel hitting the quarter panel of the Van, when the Van passed in front of the Tractor and crossed over the road, or when the Van hit the cement block and rolled over to the driveway below. Before all of these events, which included Mr. Schneider turning into the intersection, the Van should have been visible to him. There was nothing obstructing Mr. Schneider's view in the direction from which the Van was travelling. Nor was there anything obstructing his view as he was making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Schneider's obligation was not just to yield the right-of-way when he started his left turn, but through the entire left turn. Mr. Schneider testified that the Tractor was travelling at 5 kph. If Mr. Schneider had paid attention, he may have been able to stop, permitting Mr. Senner to complete his avoidance manoeuver.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Mr. Schneider alleges that Mr. Senner was contributorily negligent as he was driving in excess of the posted speed limit. Mr. Schneider alleges that Mr. Senner was driving without due care and attention when he failed to appreciate the Tractor advancing from the stop sign was a hazard and that he should have taken appropriate action and reasonable avoidance manoeuvers at that time. Further, Mr. Schneider alleges that Mr. Senner breached s. 146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Speed limits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(1) Subject to this section, a person must not drive or operate a motor vehicle on a highway in a municipality or treaty lands at a greater rate of speed than 50 km/h, and a person must not drive or operate a motor vehicle on a highway outside a municipality at a greater rate of speed than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Schneider argues that he gave uncontradicted evidence as to stopping at the intersection in response to the stop sign. Mr. Senner thought, though he was not absolutely certain, that Mr. Schneider rolled through into the intersection without stopping at the stop sign. It does not matter whether Mr. Schneider rolled through the stop sign or stopped and then turned left into the intersection. Mr. Schneider did not see the Van, even though it was there to be seen. Mr. Schneider had no difficulty seeing from the direction the Van was travelling. His Tractor was high and he acknowledged there were no visibility problems. I reject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Mr. Schneider argues that Mr. Senner should have known that the Tractor was an immediate hazard when he observed the Tractor just before the stop sign "kind of shak[ing]" and then pulling out in front of him. However, Mr. Senner was entitled to believe that he could continue down Mount Paul Way, and that Mr. Schneider would do his duty and obey traffic laws, which included stopping at the stop sign instead of proceeding into the intersection: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Senner presented a speed study report dated October 5, 2016, authored by Melissa Jenkins, who is registered as an engineer in training in the Province of British Columbia. She has been investigating and reconstructing motor vehicle collisions since 2004. Ms. Jenkins, in September of 2016, was instructed to measure and record the speeds of vehicles travelling between the 300 and 400 blocks of Mount Paul Way in Kamloops, British Columbia, specifically on a week-day morning around 6:50 a.m. She was then asked to provide the average travelling speed of the vehicles observed during the study. She made all of her observations on September 20, 2016. Her findings were:</w:t>
      </w:r>
      <w:r>
        <w:rPr>
          <w:rFonts w:ascii="arial" w:eastAsia="arial" w:hAnsi="arial" w:cs="arial"/>
          <w:sz w:val="20"/>
          <w:lang w:val="en-US" w:eastAsia="en-US" w:bidi="ar-SA"/>
        </w:rPr>
        <w:cr/>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speed of vehicles travelling southbound in the 300 block of Mount Paul Way in the morning was 61.1 kph;</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speed of vehicles observed travelling northbound in the 300 block of Mount Paul Way in the morning was 58.7 kph;</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speed of vehicles observed travelling southbound in the 400 block of Mount Paul Way in the morning was 64.5 kph;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speed of vehicles observed travelling northbound in the 400 block of Mount Paul Way in the morning was 58.8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All I can conclude from this information is that those who travel north and south on Mount Paul Way on a typical weekday morning on the dates in the report, exceed the speed limit by about 7 to 11 kph. This does not assist Mr. Senner. That an average driver might exceed the speed limit is not a defence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exceeding the speed limit by 14 kph. The Court must determine whether Mr. Senner was contributorily negligent on the specific facts of the motor vehicle accident between him and Mr. Schneider.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Mr. Senner argues that speeding in itself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v. Garrett</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2009 BCSC 35</w:t>
        </w:r>
      </w:hyperlink>
      <w:r>
        <w:rPr>
          <w:rFonts w:ascii="arial" w:eastAsia="arial" w:hAnsi="arial" w:cs="arial"/>
          <w:color w:val="000000"/>
          <w:sz w:val="20"/>
          <w:lang w:val="en-US" w:eastAsia="en-US" w:bidi="ar-SA"/>
        </w:rPr>
        <w:t xml:space="preserve">, Madam Justice Loo stated that "[t]ravelling over the speed limit will only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speed prevented the driver from taking reasonable measure to avoid the collision":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Both Mr. Heinrichs and Mr. Gough provided opinions as to whether Mr. Senner could have stopped and avoided the accident when he was travelling at 64 or 65 kph, as well as at 50 kph. Mr. Heinrichs' opinion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impact with the sign triggered the ACM, then Mr. Senner may have been able to avoid a collision with moderate braking, but in some cases braking could not have avoided a collision. Had Mr. Senner been travelling at 50 km/h, he would have needed to brake at moderate to full emergency levels to stop short and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Gough concluded that Mr. Senner could not likely have stopped travelling at a speed of 65 kph, but it was still possible. In cross-examination, Mr. Gough stated the following: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And you understand, and you had this report at the time, that under -- that at 65 kilometres an hour Mr. Heinrichs calculated that the vehicle may have stopped.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And you come to a conclusion that it is unlikely, but still possible he could have stopped at 65 kilometres an hour.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That's correct. On that point Mr. Heinrichs and I essentially agree that there's a grey area where he may not have been able to stop and there is an area where he could have stopped, but we can't say exactly say where his vehicle was in that range.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Mr. Senner, in arguing Mr. Schneider is fully liable for the accident, referred to the following cases: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Currie v. Taylor</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2012 BCSC 1553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Ishii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Rackstraw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Taktikos v. Defreitas</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2005 BCSC 512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each of these cases, the driver found to be the servient driver pointed to the speed of the dominant driver in seeking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Loo J. recognized that the dominant driver was speeding, but she found speed in itself was not sufficient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dominant driver: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[43] The next issue is whether the collision could have been avoided if Mr. Naeem drove at a lower speed or at the speed limit. The speed of a vehicle and the location of the vehicle are related. It is impossible for Mr. Naeem to have been travelling at about 85 kilometres per hour along Marine Drive and then instantly change to the posted speed limit 40 metres from where the collision occurred. As Mr. Naeem argues, if he had kept to 30 kilometres per hour from the outset, he would have been back in Burnaby when Mr. Garrett ploughed across oncoming traffic that morning. If he sped along at 120 kilometres per hour he would have cleared the area well before Mr. Garrett made his left-hand turn.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While it seems attractive to attribute blame based on the speed of the dominant driver and hypothesize on what would have happened if Mr. Naeem kept to the speed limit, the fact is that Mr. Naeem drove at the speed he did and there was nothing he could have done, driving at the speed he did, to avoid the collision. When Mr. Garrett decided to proceed with his left-hand turn, Mr. Naeem was approximately 40 metres away. He was an immediate hazard and Mr. Garrett should have yielded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there was no evidence before the Court as to whether a lower speed would have mitigated or avoided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Justice Loo concluded there was nothing the dominant driver - Mr. Naeem - could have done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Currie</w:t>
      </w:r>
      <w:r>
        <w:rPr>
          <w:rFonts w:ascii="arial" w:eastAsia="arial" w:hAnsi="arial" w:cs="arial"/>
          <w:color w:val="000000"/>
          <w:sz w:val="20"/>
          <w:lang w:val="en-US" w:eastAsia="en-US" w:bidi="ar-SA"/>
        </w:rPr>
        <w:t>, the Court apportioned 75% liability against the servient driver and 25% against the dominant driver. Mr. Justice Armstrong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The defendant Sharp was driving in excess of the speed limit as he approached the Intersection, but this fact, alone, does not determine that he was in breach of his duty of care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[147] The defendant Sharp observed the plaintiff at the Intersection leaving the stop line. Why he did not continue to concern himself with the fact that the plaintiff was not surrendering the right-of-way is something of a mystery. Having seen the plaintiff at the stop line in the obviously bright yellow Taxi and observing him leave the stop line, the defendant Sharp failed to act reasonably.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[149] Mr. Sharp was or should have been aware that the plaintiff was proceeding into the Intersection in breach of his right of way. The defendant Sharp had the time and the opportunity to avert the collision if he had been driving less aggressively.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plaintiff, Mr. Currie, was the servient driver. Mr. Sharp was the dominant driver (Ms. Taylor was the owner of the vehicle driven by Mr. Sharp). In assessing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dominant driver, Armstrong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It is clear that if the defendant Sharp's speed had been as little as 110 km/h, the plaintiff would have cleared the Intersection without incident. Although speed, in itself, is not necessarily a breach of the standard of care I have concluded that the defendant Sharp's speed was more than one third higher than the posted limit and his speed that interfered with his ability to take evasive steps. He would have had more time to react to the hazard and could have avoided the accident by steering and/or braking. In the circumstances he could otherwise have performed those manoeuvres which a reasonably careful and skilled driver might have taken. I have concluded that his lack of attention to the Taxi after it left the stop line, coupled with his excessive and unsafe speed, were a breach of his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Ishii</w:t>
      </w:r>
      <w:r>
        <w:rPr>
          <w:rFonts w:ascii="arial" w:eastAsia="arial" w:hAnsi="arial" w:cs="arial"/>
          <w:color w:val="000000"/>
          <w:sz w:val="20"/>
          <w:lang w:val="en-US" w:eastAsia="en-US" w:bidi="ar-SA"/>
        </w:rPr>
        <w:t xml:space="preserve">, the dominant driver, Mr. Ishii, was driving a motorcycle which struck a car (the servient driver) that was making a left hand turn governed by the common law and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There was also an issue as to whether the servient driver was turning on an amber light. Madam Justice Gerow found, citing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that speed in itself did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Justice Gerow found the dominant driver was driving slightly above the speed limit and found the servient driver (Ms. Wong) 100% liable for the accident: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in determining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Justice Harris concluded, with the assistance of an accident reconstructionist, that the dominant driver, Mr. Li, was driving 70 kph before he braked. The speed limit was 50 kph. The Court found that the servient driver, Mr. Knight, was an immediate hazard to Mr. Li when his vehicle entered the intersection. Justice Harris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As I have previously observed, driving in excess of the speed limit is not necessarily a breach of the standard of care. The question is what speed is safe in the circumstances. Here, Mr. Li was driving on a wide street in dry, light traffic conditions. He was approaching a flashing green light which requires a driver to use caution in the event that a pedestrian might activate it. I have found that he was driving at about 75 km/h.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In my view, Mr. Li was driving too fast for the conditions whether or not he also faced a flashing green light. Given the presence of the flashing light he was certainly driving too quickly.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It is common ground that the Volvo would have cleared the path of the BMW if another 0.4 to 0.6 of a second passed before the BMW reached the point where the impact occurred. Had Mr. Li driven 85 metres at 60 km/h it would have taken another second to reach the point of impact and the collision would not have occurred. If he drove 60 metres at that speed he would have taken an additional 0.7 seconds to reach that point. The margins are fine, but the collision probably would not have happened without any evasive action being taken by him. Certainly, if he had driven those distances at 50 km/h, the Volvo would have passed the point of impact with a margin of something in the order of a couple of seconds.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Had Mr. Li been driving at 50 or even 60 km/h, not only would the Accident not have occurred, but he would have had more time to react to avoid the Accident by steering or braking. I find that by driving at an excessive and unsafe speed Mr Li deprived himself of a sufficient opportunity to avoid the Accident which a reasonably careful and skilful driver would have taken. The Accident would not have happened but for Mr. Li's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Justice Harris concluded that Mr. Knight was the servient driver and was driving while impaired by alcohol and was mainly responsible for the accident, finding Mr. Knight 75% at fault. In assessing 25% as against Mr. Li, he found that Mr. Li was driving too quickly for the conditions and his experience, and he did not approach the intersection with caution as he should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the plaintiff proceeded on his bicycle through an intersection and was the dominant driver. The defendant was in a motor vehicle and was the servient driver. The trial court found the plaintiff 25% liable and the defendant 75% liable. The trial judge held that both failed to keep a proper look out and the defendant also failed to yield the right of way. The Court of Appeal overturned this result and held that the defendant was 100% at fault. The Court of Appeal concluded that the collision would have occurred even if the cyclist had braked or taken evasive action. The Court of Appeal also held that the cyclist was entitled to assume that the motor vehicle driver would observe traffic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Rackstraw</w:t>
      </w:r>
      <w:r>
        <w:rPr>
          <w:rFonts w:ascii="arial" w:eastAsia="arial" w:hAnsi="arial" w:cs="arial"/>
          <w:color w:val="000000"/>
          <w:sz w:val="20"/>
          <w:lang w:val="en-US" w:eastAsia="en-US" w:bidi="ar-SA"/>
        </w:rPr>
        <w:t>, Mr. Rackstraw died of injuries sustained in the motor vehicle accident. Mr. Rackstraw failed to stop at a stop sign which governed his entry into a roadway. He was the servient driver. Mr. Robinson, the defendant, was driving a large tractor-trailer and decided to pass the vehicle ahead of him. Mr. Robertson was travelling 65 kph in a 60 kph zone. The Court concluded there was no evidence that the speed that Mr. Robinson was travelling prevented him from taking reasonable evasive action. The Court found the servient driver was 100%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Taktikos</w:t>
      </w:r>
      <w:r>
        <w:rPr>
          <w:rFonts w:ascii="arial" w:eastAsia="arial" w:hAnsi="arial" w:cs="arial"/>
          <w:color w:val="000000"/>
          <w:sz w:val="20"/>
          <w:lang w:val="en-US" w:eastAsia="en-US" w:bidi="ar-SA"/>
        </w:rPr>
        <w:t>, the Court found an unidentified driver 100% liable. The Court found the plaintiff was faced with an erratic driver. The Court described it as an emergency: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Counsel for the plaintiff referred to a number of authorities dealing with situations in which drivers have faced emergencies which required evasive action. In my view, this is one of those cases. It is clear that a driver in such circumstances is not expected to exercise nice judgment or to possess extraordinary skill, presence of mind, poise or self-control.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i/>
          <w:color w:val="000000"/>
          <w:sz w:val="20"/>
          <w:lang w:val="en-US" w:eastAsia="en-US" w:bidi="ar-SA"/>
        </w:rPr>
        <w:t>; Vandendorpel v. Evoy</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2016 BCCA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Rothenbusch v. Van Boeyen</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2010 BCSC 1518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Neufeld v. McCrae</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2008 BCSC 539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Slinger v. Krakalovich</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[1996] B.C.J. No. 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Gardiner v. MacDonald Estate</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2016 ONSC 602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Radford v. Drobot</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2005 BCSC 293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Boiselle v. McKenna</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2002 BCSC 1150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Rollins</w:t>
      </w:r>
      <w:r>
        <w:rPr>
          <w:rFonts w:ascii="arial" w:eastAsia="arial" w:hAnsi="arial" w:cs="arial"/>
          <w:color w:val="000000"/>
          <w:sz w:val="20"/>
          <w:lang w:val="en-US" w:eastAsia="en-US" w:bidi="ar-SA"/>
        </w:rPr>
        <w:t>, the Court apportioned 10% liability to the servient driver, Mr. Rollins, and 90% to the dominant driver, Mr. Lovely. Mr. Rollins was crossing a highway from a lane way. The Court determined that Mr. Lovely was not an immediate hazard when Mr. Rollins started to cross the highway. The Court determined that, had Mr. Lovely obeyed the rules of the road, the servient driver, Mr. Rollins, would have made it across the street. The Court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...Mr. Lovely became a hazard after he completed his right turn and sped down the hill toward the crossing Rollins car, distracted and veering into its path. In so doing, he failed to drive with reasonable care and created the hazardous circumstances that were the primary cause of the accident: excessive speed and prolonged inattention... The hazard created by his conduct was particularly dangerous given the proximity of the intersection and the centre meridian crossing the area between the two malls.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apportioning 10% liability to Mr. Rollins, the Court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Had Mr. Rollins glanced repeatedly to his right as he crossed the westbound lanes of Cameron he would have seen Mr. Lovely speeding distractedly toward him sooner than he did. Had this happened, he would have accelerated sooner and he could and should have sounded his horn. In all of the circumstances, both of these precautionary steps would, in my view, have been taken by a reasonably careful and skilful driver. Taking into account the fact that Mr. Rollins almost avoided the collision without having taken them, I am satisfied that, had he done so, the collision would probably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the Court had the benefit of the evidence of the defendant, Mr. Peck, an accident reconstructionist, and other witnesses. Ms. Hynna had no memory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When Mr. Peck first saw the Hynna vehicle, it was no threat. It was stopped over the stop line, meaning the stop sign was aligned to its rear. Mr. Peck stated when he was close to the intersection, the Hynna vehicle was suddenly in front of him. He hit his brakes and veered left. He testified that he could not avoid the collision. He testified that he was travelling 50 kph. The accident reconstructionist estimated that Mr. Peck's pre-impact speed ranged from 83.5 to 90 kph when Ms. Hynna left the stop sign. The Court found that Mr. Peck was closer to the intersection than the accident reconstructionist found when the Hynna vehicle left the stop sign. The Court concluded at that time, the Peck vehicle was travelling between 83.5 to 86 kph. The Court found that Mr. Peck was "speeding excessively" until he applied his brakes: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Hynna vehicle was attempting either to make a left turn or travel straight through the intersection. The Court determined that the question was whether the Peck vehicle was an immediate hazard. The Court concluded that Ms. Hynna was entitled to assume that Mr. Peck would be obeying the law and approach the intersection at a speed around 50 kph and maintain a proper lookout. At the same time, the Court found that Mr. Peck was entitled to assume that Ms. Hynna would remain stopped at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Madam Justice Ballance concluded that Ms. Hynna either did not see Mr. Peck's vehicle (he was there to be seen) or he did not appreciate the threat of Mr. Peck's vehicle. The Court found Ms. Hynna negligent. Madam Justice Ballance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does not lay down a rigid rule that the Court ought not to consider whether and how the speed of a through driver might have played a causative role in an accident where it has been found that the other driver has failed to yield the right-of-way. In my view, the dictum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does not extend that broadly and was not intended to have that reach. The Court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speaks of avoidance action to be taken by a reasonably careful and skilful driver. It is difficult to imagine how a driver who is speeding significantly over the applicable limit can legitimately be portrayed as standing in the position of the reasonably careful and skilful driver contemplated by Cartwright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concluded: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[94] An obligation was cast on Ms. Hynna to yield the right-of way to Mr. Peck and she failed to do so. Mr. Peck also violated the rules of the road in racing up West 10th well over the speed limit and in failing to maintain a proper look-out as he did so, effectively foreclosing any reasonable opportunity to take action to avoid the accident. In the end, I consider Mr. Peck's conduct more blameworthy that Ms. Hynna's. I apportion liability 60% to Mr. Peck and 40% to Ms. Hynna.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Vandendorpel</w:t>
      </w:r>
      <w:r>
        <w:rPr>
          <w:rFonts w:ascii="arial" w:eastAsia="arial" w:hAnsi="arial" w:cs="arial"/>
          <w:color w:val="000000"/>
          <w:sz w:val="20"/>
          <w:lang w:val="en-US" w:eastAsia="en-US" w:bidi="ar-SA"/>
        </w:rPr>
        <w:t>, a pedestrian was crossing at a controlled intersection. The Court of Appeal allowed the appeal and sent the matter back to the trial judge for reconsideration. In particular, the trial judge was to consider and analyze the defendant's duties as they related to the facts. I find this case not helpful in determining whether Mr. Senner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Rothenbusch</w:t>
      </w:r>
      <w:r>
        <w:rPr>
          <w:rFonts w:ascii="arial" w:eastAsia="arial" w:hAnsi="arial" w:cs="arial"/>
          <w:color w:val="000000"/>
          <w:sz w:val="20"/>
          <w:lang w:val="en-US" w:eastAsia="en-US" w:bidi="ar-SA"/>
        </w:rPr>
        <w:t>, the plaintiff stopped and proceeded to make a left turn "having largely completed his turn into the southbound lane on Cedar Street when he was hit by the defendant's vehicle":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trial judge had the benefit of the evidence of several witnesses to the accident and two accident reconstructionists. The trial judge found that there was insufficient data to calculate the defendant's speed and found that this did not mean the defendant was not speeding. The trial judge had the benefit of witnesses who were familiar with the intersection and the speed and flow of traffic on the through road. Those witnesses described the defendant as speeding. Madam Justice Kerr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[163] I have found Mr. Van Boeyen was speeding along Cedar Street, and likely travelling at a speed close to 70 km/h, nearly 20 km/h in excess of the posted speed limit. He was at least 250 feet from the intersection when Mr. Rothenbusch commenced his left hand turn, a distance sufficient for him to slow down by either taking his foot off the gas pedal and braking, and/or simply remain in his lane of travel, or move to the curb lane of travel. But for Mr. Van Boeyen's excessive speed of travel and his inexplicable swerve into the oncoming traffic lane, he would have been able to take reasonable measures to avoid the accident and it would not have occurred. In driving in the manner he did, Mr. Van Boeyen failed to drive with reasonable care and attention and created the hazardous circumstances that were a contributing cause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[164] I conclude that the conduct of both Mr. Van Boeyen and Mr. Rothenbusch was negligent, and combined to cause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Madam Justice Kerr found the defendant more blameworthy, apportioning 70% liability to the defendant (dominant driver) and 30% to the plaintiff (servient driver). She found that the defendant was travelling at a speed of about 70 kph in a speed zone of 50 kph. She found the defendant's vantage point in his truck gave him a better opportunity to assess the situation and, finally, in failing to keep his vehicle in his lane of traffic or to steer so as to avoid the plaintiff's vehicle, instead the defendant inexplicably entered the oncoming lane, hitting the plaintiff's vehicle who had largely completed his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Neufeld</w:t>
      </w:r>
      <w:r>
        <w:rPr>
          <w:rFonts w:ascii="arial" w:eastAsia="arial" w:hAnsi="arial" w:cs="arial"/>
          <w:color w:val="000000"/>
          <w:sz w:val="20"/>
          <w:lang w:val="en-US" w:eastAsia="en-US" w:bidi="ar-SA"/>
        </w:rPr>
        <w:t>, the Court found liability apportioned 75% to Ms. Neufeld and 25% to Ms. McRae. The intersection where the accident occurred was offset rather than being perfectly aligned, had overhanging trees and was "unusually dangerous": para. 12. When Ms. Neufeld stopped at the stop sign, neither she nor Ms. McRae could see each other. Ms. Neufeld did a rolling stop. The Court found that Ms. Neufeld (the servient driver) miscalculated the speed and distance Ms. McRae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trial judge found that Ms. McRae was speeding slightly; somewhat over 55 kph. The Court also found that Ms. Neufeld and Ms. McRae saw each other at about the same time and that Ms. McRae was an immediate hazard to Ms. Neufeld, who failed to monitor Ms. McRae's progress. Ms. McRae also failed to apply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Slinger</w:t>
      </w:r>
      <w:r>
        <w:rPr>
          <w:rFonts w:ascii="arial" w:eastAsia="arial" w:hAnsi="arial" w:cs="arial"/>
          <w:color w:val="000000"/>
          <w:sz w:val="20"/>
          <w:lang w:val="en-US" w:eastAsia="en-US" w:bidi="ar-SA"/>
        </w:rPr>
        <w:t xml:space="preserve">, the Court found that Ms. Slinger stopped her vehicle at or near the middle of the highway, saw the logging truck approaching, and should have recognized that the logging truck was an immediate hazard within s. 177 (now ss. 175 and 186)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Court stated that Ms. Slinger should have either waited for the logging truck to pass, or alternatively, to proceed quickly across the highway instead of "slowly meandering" across at five miles per hour: para. 47. The defendant was travelling within the speed limit. However, he was familiar with the intersection and knew it was dangerous and hazardous by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Court apportioned liability 75% to the plaintiff, Ms. Slinger, and 25%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Both Mr. Schneider and Mr. Senner owed each other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As Mr. Senner travelled down Mount Paul Way, he was the dominant driver. Mr. Schneider was the servient driver as he stopped at the stop sign or rolled through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most of the case law relied upon by either Mr. Senner or Mr. Schneider, the drivers saw each other at some point in time prior to the accident. In this case, Mr. Schneider was not aware of the Van when he drove up Athabasca Street. When Mr. Schneider drove up Athabasca Street, he stopped or rolled through the stop sign. During his left turn onto Mount Paul Way, he did not observe the avoidance manoeuver taken by Mr. Senner, nor did he see the Van when he heard the bang when the Van and the Tractor collided. He did not see Mr. Senner driving his vehicle to the side of Mount Paul Way, at which time Mr. Senner was attempting to bring his vehicle under control and then went over the embankment and landed upside down. Except for going over the embankment, this entire time the Van was there to be seen. Nothing obstructed Mr. Schneider's view when he rolled through the stop sign or stopped at the stop sign and then turned into the intersection, making his left turn. He was travelling at a very low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Senner was travelling at 64 kph in a 50 kph zone on Mount Paul Way. Both Mr. Gough and Mr. Heinrichs concluded that had Mr. Senner been travelling at 50 kph he could have stopped his vehicle and avoided the collision with the Tractor. Mr. Gough opined that Mr. Senner could not have avoided the collision with the Tractor at 64 kph. Mr. Heinrichs was uncertain, but agreed that it was likely Mr. Senner could not have avoided the collision at 64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 reject the argument advanced by Mr. Schneider, that when Mr. Senner saw the Tractor shake or jerk in the area of the stop sign, Mr. Senner should have honked his horn or braked. It was reasonable for Mr. Senner to conclude that the Tractor would obey traffic laws and not enter the intersection in the face of an immediate hazard, namely the Van. The time to assess whether an immediate hazard exists is the moment before the Tractor actually started its left turn: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at para. 25. In cross-examination, Mr. Senner stated "It just didn't enter my mind or I didn't think about the fact that he would blatantly pull out in front of me like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Mr. Senner be held to a Higher Standard of Care as a Professional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 argues that the plaintiff should be held to a higher standard of care as he is a professional driver. Mr. Senner is not a professional driver. In 1992, as part of his training at Depot, Mr. Senner took a driving course. Later on, he took an advanced driver's training course of two or three day's duration. It was similar to the course he took at Depot. This does not make Mr. Senner a professional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Senner, at the time of the accident, was a sergeant in the RCMP. At the time of the accident, his duties related to undercover operations and drug investigations. None of this required him to be a professional driver. On the other hand, it could be said that Mr. Schneider is a professional driver as he testified that he had been driving trucks for a living for 30 years. Mr. Senner, in his submissions, does not argue that Mr. Schneider should be held to a higher standard. I reject this argument.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Does Failure to Secure the Surveillance Equipment</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Amounts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Mr.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Schneider argues that Mr. Senner failed to secure surveillance equipment which was in the back of the Van and is contributorily negligent. I reject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is no evidence before me that Mr. Senner knew before driving the Van on the morning of the accident there was loose surveillance equipment in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Senner was not tasked, nor did he regularly inspect the Van either inside or outside. His connection with the Van was that it was stored at his farm so it could be plugged in to maintain the batteries and its existence could not be detected. He drove it into Kamloops from time to time at the request of other RCMP officers. He was never assigned to look after it. In fact, only Special I in Kelowna could conduct repairs or maintenance on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Other than driving the Van to work, the only involvement Mr. Senner had with the Van was when he heard complaints of an odour in it - perhaps a dead mouse. When he went to look in the back of the Van, he noticed the spare tire was loose in the back. He reported this to Special I. The Van left Mr. Senner's farm and was returned. Mr. Senner did not inspect the Van after its return to the farm. It was after it was returned that he was requested to drive the Van to Kamloops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As a result of the accident, Mr. Senner had a lump on the back of his head. He speculated that this could have been caused by the surveillance equipment in the back of the Van hitting the back of his head, because he noticed when he was taken out of the Van by the paramedics the spare tire and part of a desk was in the Van. There is no evidence of the tire and desk being loose in the back of the Van. What is in evidence is that this was a very severe and violent accident where the Van rolled. When the Van came to its resting place, the photographs show shattered glass outside the Van, the back window and the front passenger and driver's side windows were knocked out, and outside the Van was a car mat, a Tim Horton's cup and a white cloth.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Constable Trops testified that there was no RCMP policy as to securing items down in the Van. He further testified that the desk in the back of the Van is bolted down. The chair has two seatbelts - one for the officer sitting in it and the other seatbelt is bolted to the frame to hold the chair in place. He testified that there is a seatbelt for the spare tire. He acknowledged that sometimes the vans come back to Special I without the spare tire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Constable Trops stated that if the chair is loose in the back of the van, it can be heard banging around while the Van is in motion. There was no evidence that anything was banging around in the back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Senner signed a letter, drafted by his wife, to Superintendent Sean Sullivan, dated January 11, 2016. The purpose of the letter was to seek a promotion to staff sergeant retroactive to February 15, 2012. In that letter, Mr. Senner notes that he had drawn to the attention of Special I that loose items were in the back of the Van. In the letter, Mr. Senner states that the surveillance material "repeatedly hit me in the head, back and body during impact". That is a theory as to how Mr. Senner may have received the lump on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O'Breasail, who is a psychiatrist, provided a written expert report and gave evidence at the trial stating that Mr. Senner suffered a blow to his head and "This was likely the result of some items within the van he was driving being thrown forward". It may be that Mr. Senner was struck in the back of the head by items in the back of the Van. However, this does not prove they were not secure. It is certainly conceivable and probable that these items came loose during this violent, rolling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As I have stated earlier,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states the matter of the right-of-way and immediate hazard arises the moment before the driver actually commences to make the left turn. The point at which Mr. Schneider's Tractor shook or jerked near the stop sign was not the time that Mr. Senner should have taken evasive action. Again, there was no indication at that point that Mr. Schneider was going to break the traffic laws and proceed into the intersection. The burden of proving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rests with Mr. Schneider.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apportioning liability, I apportion 10% to Mr. Senner and 90% to Mr. Schneider. In coming to this apportionment, I find that Mr. Schneider was negligent, he should have seen the Van as an immediate hazard at the stop sign, but failed to do so when the Van was there to be seen. He started his left hand turn when the Van was an immediate hazard. Mr. Schneider continued his left turn while Mr. Senner was attempting to get around the Tractor to avoid collision. During this time, the Van was still an immediate hazard. The Tractor was only travelling at 5 kph and, during this time, Mr. Schneider was completely oblivious to the Van's presence when Mr. Senner was attempting to control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finding Mr. Senner 10% liable, I find he was negligent. I take into consideration that he was speeding, but not excessively or recklessly. I also take into consideration that had he been travelling at 50 kph, he would have been able to stop the Van. By taking the evasive action he took, Mr. Senner nearly avoided the accident. Had Mr. Schneider seen Mr. Senner at any time as he moved into the intersection to complete his turn, travelling at 5 kph, Mr. Schneider could have stopped and permitted Mr. Senner to pass in front of the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Schneider is the most blameworthy. Had he just stayed put, taking more care in his observations of Mount Paul Way, Mr. Senner would have driven through and no accident would have occurred, despite the speed he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 SUFFERED BY GARY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the Amended Notice of Civil Claim, Mr. Senner alleges to have suffered the following injuries: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consequence of the collision aforesaid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each of them, the plaintiff has sustained severe and painful injuries, particulars of which are not limited to but include the following:</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upper and lower back pain;</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hip and pelvic pain;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foot numbness;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concentration/irritability;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injuries and the occurrence of the accident have caused pain, suffering, depression, inconvenience, loss of enjoyment of life, loss of earnings and prospective earnings, and the plaintiff will continue so to suffer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Before dealing with the specific injuries Mr. Senner alleges to have suffered, I will describe Mr. Senner's general health and any specific health problems suffered by him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Senner described his general health as good prior to the accident. He had lower back problems, which he attributed to the weight of his gun belt and having to squeeze his 6 foot 7 inch frame into a police car. He received chiropractic and massage therapy for relief and for regular maintenance of his back. He stated that his back problem waxed and waned and it became better when he did not wear the gun belt, sit at a computer or sit in a patrol car. Mr. Senner received an allotment or pension for his back condition from Veteran's Affairs. Mr. Senner described his back pain in similar terms to Dr. McKenzie when he saw him on December 15, 2011. Dr. McKenzie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he had a history of some "minor back aches". They have occurred for the last few years prior to this event. It was in the left lower back area. He thought it was due to the fact that he carries his gun there. It would occur about once a month and last for a few hours. He would attend chiropractic and massage and that would resolve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Ten years prior to the accident and for a short period, Mr. Senner suffered from depression. He was treated with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Senner became a patient of Dr. Carmichael in 2008. Dr. Carmichael holds a doctorate degree in clinical psychology and is a registered psychologist in the Province of British Columbia. He carries on private practice primarily serving RCMP officers. In his practice, Dr. Carmichael's focus is on the assessment of post-traumatic stress disorder ("PTSD"), as well as other psychological conditions that occur with PTSD. Mr. Senner was diagnosed by Dr. Carmichael in 2008 as suffering from PTSD and major depressive disorder ("MDD"). The basis of the diagnosis of PTSD and MDD was a direct result of duty-related accumulated trauma while Mr. Senner was serving as an RCMP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2008, Dr. Carmichael treated Mr. Senner for these psychological conditions - once in November and once in December. In 2009, Mr. Senner was treated by Dr. Carmichael 19 times. Dr. Carmichael testified that by May 21, 2009, Mr. Senner was better, but not in remission for both his conditions. Dr. Carmichael last saw Mr. Senner on December 19, 2009. He did not see him again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After this treatment, Dr. Carmichael testified that he could not say that Mr. Senner was in remission or not. However, I conclude that, based on Mr. Senner's evidence and his RCMP reviews, Mr. Senner's PTSD was in remission until after the accident. As to depression, there was no evidence that he suffered from depression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While treating Mr. Senner, as described above, Dr. Carmichael also treated Mr. Senner for what he described as "stress headaches". Dr. Carmichael provided Mr. Senner with exercises directed to resolve these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Senner injured his left thumb in performing his duties as a police officer. This required an operation and the insertion of pins. He testified that he lost a little mobility in his thumb. Mr. Senner is right-handed.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2006, Mr. Senner was diagnosed with sleep apnea. He also snored. Mr. Senner used a CPAP (Continuous Positive Airway Pressure) machine which assisted him in receiving a good night's sleep. He and his wife slept in the same room and bed. His wife was not disturbed by this machine. I will come back later in these reasons as to whether Mr. Senner was properly diagnosed with sleep apnea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Prior to the accident, Mr. Senner had a tingling sensation in his feet. It was thought to be related to his sciatic nerve. It was treated with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Before the accident, Mr. Senner and his wife had marriage difficulties that led to a brief separation in about 2003. Mr. Senner was upset about this event. He and Ms. Watt-Senner took counselling. At the time of trial, Mr. Senner described their marriage as strong. The matter of their separation arose again in 2008 when certain RCMP members who were aware of the reasons for the Senner separation transferred to the Kamloops detachment from the Prince George detachment. Gossip started within the Kamloops detachment, which was drawn to Mr. Senner's attention. This gossip made him feel uncomfortable. He sought counselling from Dr. Carmichael for symptoms of PTSD and depression that emerged. I find that Mr. Senner's marital difficulties had no impact on any of the injuries that Mr. Senner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February 2011, a few weeks before the accident, Mr. Senner was driving his quad in the back field of his farm when he "popped a hamstring" muscle in his left leg. He went to the hospital and it was diagnosed as a pulled hamstring. Mr. Senner said that this injury healed within two to three days. He had no further problems resulting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Senner's position is that he was physically and emotionally injured as a result of the motor vehicle accident. Some of those injuries were new and other pre-accident injuries were exacerbated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defendants admit that Mr. Senner was a respected and successful member of the RCMP for which he received numerous awards and recognition throughout his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defendants argue that some of the injuries suffered by Mr. Senner were not caused by the accident. Where injuries were caused by the accident, the defendants dispute the scope of the injuries. In any event, the defendants argue that, prior to the motor vehicle accident, Mr. Senner would not be able to work until age 65 as an RCMP officer even in the absence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Mild Traumatic Brain Injury ("MTBI"), Post-Traumatic Stress Disorder,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Senner alleges he suffered a MTBI, symptoms of PTSD, depression and anxiety as a result of the motor vehicle accident of February 15,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Aindrias O'Breasail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O'Breasail is a psychiatrist. He assessed Mr. Senner on August 11, 2015. As a result of this assessment, he wrote an expert report dated October 21, 2015. In addition, he wrote a report dated February 16, 2016 in response to an expert report authored by Dr. Kevin Solomons, a psychiatrist, dated March 26, 2015. Dr. O'Breasail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O'Breasail's opinion is that Mr. Senner experienced psychiatric or psychological injuries as a result of the motor vehicle accident. He concluded that secondary to the physical injuries Mr. Senner received in the accident, Mr. Senner has developed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O'Breasail diagnosed Mr. Senner with a MTBI or concussion and post-concussion symptoms such as MDD with symptoms of PTSD. He wrote that depression was secondary to the physical injuries Mr. Senner suffered. Dr. O'Breasail concluded that Mr. Senner experienced fatigue, as well as cognitive, concentration and memory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O'Breasail knew of Mr. Senner's psychiatric history as being diagnosed with PTSD and his treatment by Dr. Carmichael. He was aware that Mr. Senner had suffered depression ten years earlier and was treated with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At the time Dr. O'Breasail saw Mr. Senner on August 11, 2015, he found his mood stable and appropriate. He stated there were times when Mr. Senner exhibited anxiety and mild depression. He noted that Mr. Senner had "no major cognitive deficit on a superficial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O'Breasail concluded, based upon what Mr. Senner told him, he had "reasonable recall of what occurred up until the accident. He then remembers being upside down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O'Breasail notes that Mr. Senner's memory was "spotty" after the accident, making it difficult for Dr. O'Breasail to determine any post-traumatic amnesia, which is "the period of time between the head injury and the ongoing laying down of memory or new memories", which he states can be a matter of minutes to hours. Dr. O'Breasail concludes that any retroactive amnesia, or the time between Mr. Senner's last memory of the accident itself and the impact, is likely a matter of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O'Breasail states that Mr. Senner's post-concussive symptoms not only relate to concussion he experienced, but are also secondary to his ongoing chronic pain, depression and anxiety felt after the accident. Dr. O'Breasail's opinion is that Mr. Senner suffered a major depressive episode following the accident.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accident itself, the fright of the accident, and physical injuries he suffered in the accident, the concussion, and the associated losses he has experienced were the main precipitating factors leading up to his becoming depressed. He had many of the characteristic features of this disorder, including depressed mood, anxiety, changes in appetite and weight, sleep disturbance, although this is likely secondary to his pain, social withdrawal, decreased level of functioning, cognitive difficulties, decreased energy, fatigue, decreased libido and less physical intimacy in his relationship with his wife, and at times feelings of hopelessness and suicidal ideation. He has been treated appropriately with psychotherapy and also with antidepressant medications. There has been some improvement in his condition. In my opinion, his depression is in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As a result of Mr. Senner's history of PTSD and depression, Dr. O'Breasail opined that Mr. Senner was vulnerable to suffer from these conditions again. Dr. Carmichael held the same opinion. There is no cure for PTSD, but it can go into remission and it can be triggered by other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O'Breasail sums up Mr. Senner's physical and psychological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note there is a significant overlap between symptoms of chronic pain, depression, posttraumatic stress, and post concussion syndrome. All of these disorders can give rise to an individual experiencing emotional changes, including anxiety, physical changes, including fatigue, and cognitive changes. It is likely his current presentation, with cognitive difficulties and physical and emotional problems, is secondary to a combination of all these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O'Breasail writes that Mr. Senner is doing well on his current anti-depression medication of Sertraline and recommends that the amount be increased. He states that Mr. Senner has residual symptoms of depression, although he says it is "considerably better now than it was prior to going off work". He cautions that the Sertraline has side effects of decreased libido and sexual responsiveness, as well as erectile dysfunction. He recommends that Mr. Senner continue to see Dr. Carmichael once a month. Dr. O'Breasail concludes that Mr. Senner is disabled and unable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disability is secondary to a number of factors. It is secondary to his chronic pain and associated limitation in physical functioning. It is secondary to his ongoing depression and anxiety and also secondary to the residual effects of his post concussion syndrome, his low energy, fatigue, and cognitive difficulties, in particular. Given the time that has lapsed since the accident occurred, the chronic nature of his symptoms, and the great difficulty he had coping in the work environment, in my opinion, it is unlikely he will ever be capable of returning to work and [that] his disability is total. In my opinion, had the accident not occurred, it is likely he would have continued to work until age 65, retirement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O'Breasail concludes that the physical and psychological injuries had interfered with Mr. Senner's recreational activities, in particular his farming activities. He states that Mr. Senner is capable of coaching his son's basketball team and will be capable of pursuing recreational activities in the future. He found that the motor vehicle accident has interfered with Mr. Senner's relationship with his wife because of the side effects of the anti-depression medication, which he determines he will need in the future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O'Breasail explained how depression develops as a result of a physical injury when he testified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...Usually if somebody suffers a physical injury, they are restricted and functioning. It's over a period of time that they become depressed because they realize that they are not improving at the rate that they would like. They are -- that their losses are more apparent over time and that often these individuals see themselves as not getting back to where they were previously. It's around that time that the depression usually kicks in, after an anxiety starts off first and later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O'Breasail's opinion explains Mr. Senner's ability to continue working after the accident. It also explains the evidence of being less engaged with his work and his need to go home and rest during the working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Kevin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Solomons testified at trial. He wrote an expert report dated March 26, 2015. He assessed Mr. Senner on March 19, 2015. Dr. Solomons finds Mr. Senner suffered a MTBI in the accident,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these factors into account it is my opinion that Mr. Senner sustained a mild head injury in this motor vehicle accident and may have sustained a mild traumatic brain injury at the extreme end of mildness. In my opinion any symptoms arising from this injury were subclinical and settled quickly and spontaneously, and he had not been left with any residual neurocognitive impairments as a result of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coming to his opinion, the factors that Dr. Solomons took into consideration were Mr. Senner's good recollection of the events, both before and after the collision,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except for a short period of time between being struck on the back of the head after losing control of the vehicle shortly before coming to a stop and becoming aware of people standing around the side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addition, Dr. Solomons was aware of the goose egg swelling at the back of Mr. Senner's head and it was tender at the hospital. He stated there was no documentation of neurocognitive complaints or impairments in Mr. Senner's clinical records following the accident. Dr. Solomons was aware that there was neuropsychological testing since the accident. Though Dr. Solomons had a copy of Dr. Kaushansky's report, he did not have the results of the testing. Dr. Solomons found that Mr. Senner "showed no sign of cognitive impairment at this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Solomons did not have any of Dr. Carmichael's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O'Breasail responded to Dr. Solomons' report. Dr. O'Breasail restated and summarized his opinion. Dr. O'Breasail does not state it in this way, but Dr. Solomons picks and chooses the use of past health history as the cause of all his current injuries. As an example, Mr. Senner's diagnosis of sleep apnea and lack of treatment of periodic limb movement pre-date the accident and continued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O'Breasail states that Dr. Solomons does not consider Mr. Senner's physical injuries and their impact on his psychological problems, despite considerable medical evidence in support of this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Solomons uses this past sleep history having a significant effect on his vocational functioning. Dr. O'Breasail points out that this is not accurate as he functioned well vocationally as a police officer, despite some physical and psychological difficulties in the past.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David Koo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Koo is a medical doctor specializing in physiatry. He assessed Mr. Senner on February 23, 2012, May 12, 2014 and on November 30, 2015, writing a report bearing the same date of each assessment. Dr. Koo had Dr. Kaushansky's report dated October 20, 2011, a report from Dr. McKenzie dated December 15, 2011, the ambulance report dated February 15, 2011, and Mr. Senner's hospital records. In addition, he had photographs of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Koo, in his report of February 23, 2012, diagnoses Mr. Senner as having suffered a MTBI, using the criteria and definition of the American Congress of Rehabilitation Medicine. Dr. Koo concludes that, based on Mr. Senner's inability to recall the full sequence of the Van roll over, the stop of the Van, or how he incurred the bump on his head; Mr. Senner lost or had reduced consciousness. He concluded, as did Dr. O'Breasail, that any post-traumatic amnesia was brief. Dr. Koo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note that the initial severity of a "mild" traumatic brain injury does not necessarily correlate with functional and cognitive outcomes. Common symptoms attributed to mild traumatic brain injury include physical symptoms of headaches, nausea and dizziness which Mr. Senner initially recalled and continues to report to some degree; cognitive changes such as impaired memory, concentration, divided attention, problem solving, and speed of thinking; and emotional/behavioural changes including depression, anxiety, irritability, and disinhibition.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Koo believed that the symptoms Mr. Senner reported after the accident are attributable, to a degree, to MTBI. Dr. Koo notes that Mr. Senner had moderate to severe depression and PTSD symptoms, which he attributes to lack of sleep, cognitive and emotional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On a physical examination of Mr. Senner, he noted that Mr. Senner had a reduction in his ability to squat due to low back and inner thigh pain. He writes that Mr. Senner has unresolved soft tissue injuries arising from the muscles around his neck and the interspinous space from L3 to SI; SI joints as well as muscles in his hips. As to his headaches, Dr. Koo states that they are related to his initial MTBI and the pain and tension from his neck and shoulders which have caused the cervicogenic headaches.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but for the accident in question, I can identify no other reasonable clinical cause for his post-accident problems related to his mild traumatic brain injury, chronic soft tissue injuries arising from his neck, shoulders, back and hips; depression and posttraumatic stress symptoms; headaches; cognitive and behavioural changes; and subsequent activity limitations as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Mr. Senner complained of numbness in the balls of his feet and toes, which Dr. Koo confirmed existed. Dr. Koo also believes there is early sensory loss affecting his right fingertips. Dr. Koo says that the examination findings are consistent with "peripheral neuropathy", which he finds as unrelated to the accident and defers to a neurologist with expertise. He notes that it may suggest a pre-diabetic tendency.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Koo's prognosis is that he does not think that there will likely be a full resolution of his soft tissue injuries, but Mr. Senner may experience some degree of improvement. He recommends an active rehabilitation program and the likeliness of improvement would be two years post-injury. As to his headaches, they are likely to respond to some recovery of the soft tissue injuries and the achievement of restorative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Koo suggested there may be future risks, such as his brain will likely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susceptible, not only to academic and occupational stress, but to the effects of inebriation. He will be at a heightened risk for further cognitive changes and protracted recovery in the event of an additional brain injury, concussion or simply the effects of aging in the distant future on his cognitive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concludes that, as a result of his chronic soft tissue pain, that any re-injury will result in a longer recovery and a poor prognosis if the injuries had not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On May 12, 2014, Dr. Koo updated his assessment of Mr. Senner, which included an interview, a physical examination and a review of updated available documents relating to his injuries. Dr. Koo refers to the massage therapy in 2008, 2009 and 2010, and a reference to Mr. Senner having numbness and tingling involving both feet, which Dr. Koo confirms is likely a pre-accident condition unrelated to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When Dr. Koo saw Mr. Senner on May 12, 2014, he noted that Mr. Senner completed on May 29, 2012, a multi-disciplinary assessment and treatment program. At the time Mr. Senner saw Dr. Koo, he attended physiotherapy infrequently, but was seeing a massage therapist weekly for low back and shoulder pain, which provided relief from stiffness and discomfort for a few days. In addition, every one to two weeks Mr. Senner had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Koo stated that Mr. Senner reported that he was able to go for long walks at a moderate pace. He was also able to bicycle for approximately one-half mile before he had to stop due to his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Senner reported to Dr. Koo that his foot numbness was more noticeable and his feet were constantly cold and numb. Mr. Senner told Dr. Koo that emotionally, he was less tearful and angry and better than when he saw him two years ago. He told Dr. Koo that he learned to live with his back pain and headaches, and that the headaches were made worse by looking at a computer screen and worse at the end of the week, as he was more tired. He complained of light sensitivity to his eyes and, as a result, wore sunglasses.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He reported to Dr. Koo that he stretches and takes massage and chiropractic treatment to assist these injuries and that he avoided work and non-work activities as needed. He reported to Dr. Koo that he had changed some of his machinery on his farm to reduce the amount of physical exertion. He complained to Dr. Koo that he has difficulty concentrating at work and that he planned to retire in two years' time. He reported that he still gets up once or twice per night to use the bathroom or to re-position a pillow between his legs due to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He reported to Dr. Koo that he had hired a landscaper for outdoor work. He also reported to Dr. Koo that he had gained 20 to 25 pounds since the last assessment. Mr. Senner told Dr. Koo he had trouble falling and staying asleep, though sometimes sleeping too much, and told him that there were several days where he felt tired and had little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Koo noted that Mr. Senner's PHQ-9 scores did not support a "significant ongoing depressive disorder". He noted that his PTSD checklist had improved, but he presented symptoms of post-traumatic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examining Mr. Senner, Dr. Koo found his range of motion in his neck was normal, except with tightness and stiffness at the end of rotation and side flexion. He found there were myofascial pain trigger points identified in Mr. Senner's right shoulder. In examination of his lumbar spine, there was reduced forward flexion, extension was pain-free, rotation to the left was pain-free, but rotation towards the right reduced pain at the lower lumbar facet region (L3-4 and L4-5). He found side flexion mildly restricted. The left hip range of motion was full and pain-free, however, on the right, Mr. Senner reported low back pain and lateral hip pain at the end of external and internal rotation. Palpation of the lower back and hip girdle elicited soft tissue tenderness "overlying the left sacroiliac joint and some tenderness to the interspinous spaces from L3 to 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Koo's opinion on that occasion was that Mr. Senner had a MTBI, soft tissue issues to the neck, upper back and lower back, resulting in chronic pain, post-traumatic headaches, insomnia, decondition and an approximately 70 pound weight gain, and PTSD symptoms. He noted aggravation of post-traumatic stress symptom of a pre-injury condition and depression was currently in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Koo's opinion was that Mr. Senner has probably reached the maximum medical recovery likely to take place relating to the chronic soft tissue injuries and the mechanical pain affecting his neck, back and right hip. Mr. Senner told Dr. Koo he continues to have some degree of "emotionalism, irritability, reduced concentration, recurring headaches and claims to be forgetful with poor memory, poor concentration and taking longer to think". Dr. Koo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some of these symptoms may be related to the residual effects of the mild traumatic brain injury, neuropsychological testing would help further characterize any patterns of higher-level cognitive dysfunction. Other accident-related conditions which may also be overlapping and contributing to his cognitive and emotional changes include ongoing pain, sleep disruption due to pain, and posttraumatic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Koo endorses Mr. Senner's plan to take early retirement. Dr. Koo states that Mr. Senner has significant improvement in his MDD and reduced symptoms of PTSD, but cautions that he remains at significant risk for worsening of his depression and post-traumatic stress symptoms and thus reducing his resilience in the event of a future psychological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When Dr. Koo saw Mr. Senner on November 30, 2015, he had at that time stopped working (14 months). He had received Botox injections from Dr. Robinson, his farm was up for sale, and he was purchasing a home at Fraser Lake. He was seeing a chiropractor and a massage therapist once or twice a week. He was seeing Dr. Carmichael between once a month to every six weeks. For therapy, he was using an above ground pool at his home. He continued with ongoing sleep disturbance and headaches. He continued to experience dizziness. He walks 40 minutes with his wife four to five times a week and, during this walk, must rest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After this assessment, Dr. Koo's diagnosis is unchanged. Dr. Koo found improvement in his right shoulder and myofascial trigger points were absent, which Dr. Koo thought might be due to the Botox treatments. Overall, he concluded there had been no significant symptomatic improvement with soft tissue injuries. Dr. Koo's prognosis is unchanged and that Mr. Senner has reached a maximum medical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He recommends continued massage and chiropractic treatments to address his chronic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Koo acknowledged that prior to the accident, some of the tender areas in Mr. Senner's back were in the same areas after the accident. He acknowledged they probably overlapped. However, Mr. Senner's back pain prior to the accident was described by Mr. Senner as intermittent whereas the pain is now more severe. Dr. Koo stated that his diagnostic opinions from the first time he saw Mr. Senner to the last time he saw Mr. Senner were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Koo stated there are many factors that impact a person's ability to think, concentrate and remember. He listed them as a MTBI, chronically interrupted sleep, significant depression or PTSD. He acknowledged that before the accident because of Mr. Senner's pre-existing PTSD and depression he could have had memory and concentration changes, but pointed out that he had a good response to the treatment for these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Gordon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Robinson is a neurologist specializing in the assessment and management of patients suffering from headache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Dr. Robinson assessed Mr. Senner on April 22, 2014 and September 22, 2015, and wrote reports dated May 7, 2014 and October 16, 2015. 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Robinson accepts that Mr. Senner has mild to moderate headaches as often as three times a week on average and will have a severe headache twice a month. Dr. Robinson's opinion is that Mr. Senner's headaches are associated and aggravated by his constant neck and shoulder pain. He concludes that his chronic, post-traumatic headaches relating to the soft tissue injuries are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Robinson accepts that Mr. Senner's low back pain prior to the accident increased after the accident, that his neck and shoulders were tight and painful, and that he had difficulty sitting at a computer reading files. He accepts that after the accident Mr. Senner had a constant headache and, on occasion, there was some improvement when he had a few days without head pain, but his headaches increased towards the end of the work week. Dr. Robinson was told by Mr. Senner that he had sleep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On both April 22, 2014 and September 22, 2015, when Dr. Robinson saw Mr. Senner, Mr. Senner told Dr. Robinson that he planned to retire in April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On April 22, 2014, Dr. Robinson found no apparent deficits in attention, language or memory, but he did not conduct a detailed mental status testing. He found that Mr. Senner had reduced sensation to touch over his feet and up to his ankles. He noted his coordination, gait, and jaw were all normal. On that same date, Dr. Robinson found that Mr. Senner had full range of cervical range of motion with a mild restriction of the left lateral rotation. At that time, Mr. Senner complained of pain and tightness in certain neck muscles and tenderness in his shoulder muscles, and he could raise his legs at 90 degrees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Robinson noted that Mr. Senner had headaches prior to the accident and they were related to the PTSD, which improved with relaxation techniques.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Robinson's diagnosis is that Mr. Senner has chronic post-traumatic headaches related to his head and neck injuries sustained in the accident. He stated post-traumatic headaches can be aggravated by psychological distress, lack of sleep, working on a computer and reading files. Dr. Robinson's opinion is that Mr. Senner did not sustain a MTBI of such a severity that accounts for problems of cognitive inefficiency and that any cognitive inefficiency is related to pain and his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Robinson points out that the headaches and neck pain are subjective; there are no objective measures to measure pain and it is all based on self-report. He stated that due to his past history of PTSD and the surrounding fright of the accident, he would have likely been more susceptible to develop headache problems. Dr. Robinson also stated that chronic pain is depressing and a factor in Mr. Senner's mood. Dr. Robinson attributes the headaches to the motor vehicle accident. On Dr. Robinson's recommendation, Mr. Senner received a series of Botox injections conducted on each November 9, 2015, February 15, 2016, and May 26,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McKenzie is an orthopedic surgeon who saw Mr. Senner on December 15, 2011 and September 2, 2015. He provided his opinions to the court in letters dated December 7, 2011, and September 3, 2015. Dr. McKenzie testified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When Dr. McKenzie saw Mr. Senner on December 15, 2011, he diagnosed Mr. Senner with chronic myofascial pain relating to his neck and upper back, which Dr. McKenzie stated was caused by the motor vehicle accident. Dr. McKenzie testified that myofascial pain means: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Myofascial pain refers to pain originating from what is commonly termed soft tissue elements. This would include the muscles, the myo, and the fascial coverings of the muscles. The fascial component can also include the soft tissues such as tendons and ligaments and so on. So another term or a common term for myofascial pain would be soft tissue pain, but it's a more specific term than just the vague soft tissue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On December 15, 2011, Dr. McKenzie stated he could not give a final prognosis as to Mr. Senner's condition for another two to two and a half years from the date of the accident. At that time, Dr. McKenzie stated the opportunity for improvement was relatively good, which was based on Mr. Senner experiencing intermittent pain and "his tenderness today is relatively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As to his back pain, Dr. McKenzie opined that it is likely myofascial in nature; however, it may arise from the facet joints. Dr. McKenzie made some recommendations relating to sleep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As to Mr. Senner's complaints relating to his feet, Dr. McKenzie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is unlikely to be from a spinal cause. I agree with Dr. Collier that his description is more typical of a neuropathy. I will defer to the neurologist as to the diagnosis of his neuropathy.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Dr. McKenzie's second assessment, his opinion as to Mr. Senner's feet numbness did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As to Mr. Senner's other injuries, Dr. McKenzie states that despite Mr. Senner's complaints that he is worse, Mr. Senner's complaints were the same as when he assessed him the first time. When Dr. McKenzie saw Mr. Senner the second time, he had not worked since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his second report, Dr. McKenzie points out that Mr. Senner's pain in his neck and upper back was intermittent on the first occasion he saw him. When he assessed him on the second occasion, his pain was constant. Dr. McKenzie found in his physical examination that Mr. Senner was tender down the vertebrae of his neck and the trapezius muscles bellies, concluding that his neck was the same as when he saw Mr. Senner the first time. He found that Mr. Senner was not tender over the S1 joints, but his back was tender in the L5-S1 areas of his spine. Dr. McKenzie's opinion is that Mr. Senner's neck and back pain are chronic and that his history of back problems was aggravated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He found that Mr. Senner was deconditioned and should engage in an exercise program. He further recommended that it would help his lower back if he lost weight. In summary, Dr. McKenzie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then, this man has gone on to develop a chronic pain condition in the neck and trapezius muscles and in his lower back. It is my opinion that the causation of the neck and trapezius problem is the accident and with regard to the lower back the causation of an aggravation of a pre-existing condition is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the biopsychosocial model of pain his overall pain levels are being affected by other issues including the anxiety, depression, stress, and deconditioning. These all will play a role in his overall pain experience as well as his musculoskeletal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this chronic pain condition it is having an effect on his work as well as his yard work and his recreational pursuits. In my opinion those are consistent with the mechanism of injury, his history and my physical examination. If more information is regarded in that effect he would have to undergo a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McKenzie testified as to Mr. Senner's ability to participate in activities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opinion, he's not prevented from doing anything that his neck/upper back area and lower back will allow him to do, but, in my opinion, based on the examinations that I performed on him if he did do those tasks in my opinion he would signific -- significantly exacerbate his pain in the neck/trapezius area and the lower back and he'd be unlikely to do it on a repetitive basis. So, yes, he potentially could do it on an occasion, but, in my opinion, he'd like suffer for it that -- later that evening or the next day and would be unlikely to be able to do this in an equal fashion.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 McKenzie testified as to Mr. Senner's injuries related to performing activities at his farm. Dr. McKenzie said, following a question posed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far as the statements that he was just hanging on, exhausted, went on vacation and slept the whole time, had nothing left I was so tired, do you attribute those statements or did he attribute those statements to his back pain or did he attribute those reasons to -- to some other factor?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again, I -- it's, it's -- you can't -- it's very difficult to separate these things out. He's got a chronic pain condition, it's multifactorial, he's got pain, anxiety, depression, sleep disturbance, deconditioning, stress; all these things combined and at a certain time patients often are trying to hang into work or do whatever because in their mind they're waiting to get better.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 description of the lower back pain when I saw him 10 months after the accident and almost five years after the accident, so four and a half years let's say, they were identical. What I really think he's describing to me is is not tolerating or coping with his pain as well. That's what he was basically trying to tell me,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Loomer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Dr. Loomer is an orthopedic surgeon. He saw Mr. Senner on February 24, 2015, and wrote a report dated February 15, 2016, after receiving further medical documents from counsel for the defendants. He found that Mr. Senner had low back problems prior to the motor vehicle accident, stating they were of a degenerative nature. He concluded that Mr. Senner's ongoing symptoms in his back and neck would decrease in intensity. His opinion did not change in his letter of February 15,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cross-examination, Dr. Loomer was asked that if Mr. Senner had not improved, then why would he expect improvement to occur in the future. Dr. Loomer agreed he would not expect any future improvement.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Sleep and Fatigue - Dr. A.S.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Minhas assessed Mr. Senner on September 22, 2016. Dr. Minhas is an internist and psychiatrist who specializes in sleep disorders. He wrote a report dated October 7, 2016. He testified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At the time Dr. Minhas assessed Mr. Senner, he was no longer an RCMP officer, he had moved to Fraser Lake, and his house in Fraser Lake was in the midst of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Dr. Minhas reviewed Mr. Senner's medical records dating back to 2006, when he was diagnosed with sleep apnea. He stated that Mr. Senner has used a CPAP machine which resolved matters relating to snoring and permitted his wife to continue sharing a room and bed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Dr. Minhas stated that in 2006, Mr. Senner had a sonogram. Dr. Minhas disagreed with the diagnosis of sleep apnea at that time. However, the sonogram had shown moderate periodic limb movements which did not have a negative impact on Mr. Senner's sleep. The study showed Mr. Senner's sleep efficiency was 94%. Dr. Minhas stated that sleep efficiency of anything less than 90%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On February 17, 2015, Mr. Senner had another sonogram which took place overnight with his CPAP machine in place. Dr. Minhas said Mr. Senner did not have sleep apnea. He said he had periodic limb movement, described as severe, with no negative impact on his sleep. However, his sleep efficiency decreased to 85%. In describing the quality of Mr. Senner's sleep, Dr. Minhas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sleep architecture was reported as moderately fragmented during the latter two-thirds of the recording with numerous periods of awakenings over that time frame. He was on Sublinox, Nifedipine and Sertraline at the time of this study. The Sublinox is a sleeping pill and the Sertraline an antidepressant. The Nifedipine is an antihypertensive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 further sonogram was conducted overnight on Mr. Senner in Surrey on September 8, 2016. Dr. Minhas wrote that he had "very mild sleep apnea while on a CPAP at 6 centimetres and no significant sleep apnea at higher pressure levels" (Dr. Minhas is referring to the pressure levels of the CPAP machine). In this sonogram, Mr. Senner had periodic limb movements which had no negative impact on his sleep. Dr. Minhas noted that Mr. Senner's sleep did not improve by increasing the CPAP levels. His sleep quality is described by Dr. Minhas 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Mr. Senner reported to Dr. Minhas that his sleep has improved since he left the RCMP and decreased his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Dr. Minhas' opinion is that the brain injury and chronic pain led to his "poor-quality sleep and lack of energy and easy fatigability". At the same time, he wrote in his report:</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will be difficult to assign individual weight to chronic pain and traumatic brain injury in the causation of the poor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his report, Dr. Minhas said that poor quality of sleep does not relate to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cross-examination, Dr. Minhas said the following in response to the following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we'll limit it for your purposes of your opinion on page 4 as traumatic brain injury and chronic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most obvious thing with him was that he -- he reports himself that he is waking up during the nighttime because of -- to readjust himself. He has pain and he has this alpha intrusion. Again, we can say, well, all factors can be potentially adding, but it -- in his situation a severe alpha intrusion is more than likely due to the chronic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Dr. Minhas stated that leg cramps (Charley horses) are distinct from periodic leg movements which are quite common and they are not caused by chronic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Miranda du Preez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Since 2008, Dr. du Preez has been Mr. Senner's family doctor. Dr. du Preez supervised and treated Mr. Senner for his motor vehicle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Dr. du Preez's report is dated January 3, 2016. She testified at this trial. In her report, she outlines her treatment of Mr. Senner following the motor vehicle accident. In her letter, she records Mr. Senner's complaints; the medication she prescribed and their amounts; her communications with Dr. Carmichael; the endorsement of opinions held by other doctors who assessed Mr. Senner; and she agrees with the recommendation that Mr. Senner retire from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du Preez stated that Mr. Senner is not diabetic as she tested him for that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Dr. du Preez recorded that Mr. Senner's condition improved in 2012 as a result of the Welcome Back rehabilitation program. On October 19, 2012, she conducted Mr. Senner's annual RCMP physical. Dr. du Preez recorded that Mr. Senner had decreased sensitivity in his feet and tenderness in the L3-S1 area of his spine and decreased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November 2012, Mr. Senner told Dr. du Preez that he was not sleeping - averaging two to three hours per night. She had tested him for depression and found he was depressed. In addition, he suffered from anxiety. On that date, Dr. du Preez found some PTSD symptoms had come back. She wrote, he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...unable to make decisions, which is putting his life and his fellow officers in potential danger. Back pain has significantly worsened and he is going to go back to Welcome Back for help. Marital strife due to his anger which he is verbally taking out on Kim and Garrison (his wife and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Dr. du Preez reports that between November 2012 and July 2014, she treated Mr. Senner six times for anxiety and depression, four times for headaches, and five times for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On May 16, 2014, Dr. du Preez noted in Mr. Senner's clinical records as reported by him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Mood: Pt is feeling good, planning to retire 22 months from now, no concerns. Some headaches due to computer work and stress from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CNS: Mild decrease in concentration, spelling getting worse, able to multi task, but gets worse towards the end of the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Dr. du Preez recorded that on September 8, 2014, Mr. Senner had severe depression and PTSD symptoms. Dr. du Preez states though Mr. Senner had physical and psychological injuries as a result of the motor vehicle accident which prevented him from continuing to work,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caution though, that the PTSD suffered during his employment is a significant factor in this and that the MVA is not solely responsible for his total disability, all be it a significant part of his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her letter, Dr. du Preez notes that the PTSD symptoms in September 2014 came on as reoccurring nightmares regarding matters happening on the job, particularized in her letter, as well as the RCMP members recently killed in Moncton.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Neuropsychological Assessment for Cognition - Dr. Mel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Dr. Mel Kaushansky holds a PhD in psychology and education. He specializes in neuropsychology. He assesses children and adults who have neurological disorders and he provides planning for rehabilitation programs for them. He is a registered psychologist in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Dr. Kaushansky interviewed Mr. Senner four times: in Vancouver on October 13, 2011; in Kamloops on May 3, 2012; a telephone interview on June 11, 2013; and again in Kamloops on May 21, 2015. Dr. Kaushansky summarized his test results in his report dated January 11, 2016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reviewing his problems subsequent to the injury Mr. Senner did not appear to magnify or exaggerate his symptomatology. He was administered measures to assess motivation, which results, in addition to the usual checks and balances within the battery itself, indicated that his efforts were appropriate. Based on this information the results of the testing provide, in my view, a reliable measure of Mr. Senner's functioning at the time of the November/2011 evaluation; however, factors of low mood may have impacted upon his cognition.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Dr. Kaushansky's acceptance of Mr. Senner's weak executive skills in the workplace was based on Mr. Senner's self-report and his wife's "reported problems". Mr. Senner told Dr. Kaushansky he had his first negative feedback from his superior in December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This negative review by Mr. Senner's superior officer is as follows. Following complimentary comments about his work, his superior officer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identified with Sgt. SENNER some concerns I see with the Administration component of his unit as they relate to his duties. During this process it was recognized that Sgt. SENNER and myself have encountered difficulties in communicating.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Sgt. SENNER and myself have undertaken steps towards improving our relationship and work towards a more constructive management of SPU and GIS.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Following this comment, Mr. Senner's superior officer makes further complimentary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Dr. Kaushansky stated that Mr. Senner reported to him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...persistent cognitive inefficiencies which manifested in his workplace as errors/inaccuracies and the need for longer time to complete his work. ...a constellation of accident-related problems are also likely contributing to his diminished cognitive skills.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Dr. Kaushansky comments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Senner's problems, as reported, appear primarily related to his executive skills (that is, higher order cognitive proficiencies that include planning, judgment, reasoning, decision making, working memory), skills that are integral to his specific function with the RCMP. Given the time since the accident, his age, and the persistence of this constellation of posttraumatic problems Mr. Senner will most probably remain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Dr. Kaushansky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soft tissue injury to his neck and shoulders and have been opined to likely be permanent. These physical factors, in addition to continuing issues of fatigue and diminished stamina, have all impacted upon Mr. Senner's cognition. </w:t>
      </w:r>
      <w:r>
        <w:rPr>
          <w:rFonts w:ascii="arial" w:eastAsia="arial" w:hAnsi="arial" w:cs="arial"/>
          <w:color w:val="000000"/>
          <w:sz w:val="20"/>
          <w:u w:val="single"/>
          <w:lang w:val="en-US" w:eastAsia="en-US" w:bidi="ar-SA"/>
        </w:rPr>
        <w:t>In my view these physical symptoms are primary factors in Mr. Senner's presentation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Despite the motor vehicle accident, Mr. Senner's performance evaluations were glowing, including his superior officer, who criticized him, as described above. There was no corroborating evidence as to workplace errors or inaccuracies as described by Mr. Senner to Dr. Kaushansky. In addition, after the accident, he continued to do undercover operations for which he received very fine reports with no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However, Corporal Lamb testified that on countless occasions after the accident, Mr. Senner complained about back pain, neck pain, and headaches. He was aware that Mr. Senner was participating in various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Corporal Lamb noticed that Mr. Senner was not as engaged as an RCMP officer as he was before the accident. As to Mr. Senner's memory, Corporal Lamb remembers one specific occasion where, after the accident, Mr. Senner had given him a Friday off and then Mr. Senner saying to him, "I'll see you tomorrow". Corporal Lamb reminded Mr. Senner that he had given him the day off. I do not find this significant as this happens often to people who have not had motor vehicle accidents. However, another example that Corporal Lamb referred to was that Mr. Senner would "bring up stuff that we had already discussed prior to. And I can't be very specific". Corporal Lamb said that he joked about it and called him "the absent-minded professor".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FUNCTIONAL CAPACITY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Catherine Douglas is an occupational therapist who specializes in physical and functional capacity evaluations and cost of future care. She performed such an evaluation on Mr. Senner on November 10 and 20 of 2015. Ms. Douglas concluded that Mr. Senner qualified for part time work at 30 hours per week, five days at six hours each day or four days at eight hours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She concluded that Mr. Senner was not as competitively employable as he has physical restrictions. These restrictions are that he not sit more than one hour; bending should be occasional with some support; kneeling and crouching infrequently; and that he was suited for only light to medium strength work. He should not perform over the shoulder lifting and lifting from the floor should be infrequent.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Ms. Douglas concluded that Mr. Senner no longer had the capacity to work as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Ms. Douglas wrote that she assessed only his physical capacity and she did not take into consideration his pain, fatigue, headaches, and their impact upon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SENNER'S LIFE OUTSIDE THE RCMP AND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Early in his life, Mr. Senner developed an interest in farming and ranching. He was able to pursue this interest when he moved to Quesnel when he and his wife bought a small acreage on the outskirts of Quesnel. Ms. Reginder Rana visited Mr. Senner and his wife in Quesnel. She observed the improvements he made to the property by building a deck, a shop and putting in some waterlines. Ms. Rana described Mr. Senner as a happy, social guy, rarely down, and playing with his young son. She testified that Mr. Senner hiked and supported his wife's horseback riding at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Ms. Rana said when the Senners moved to Kamloops, as did she, they bought a house located on a little over 14 acres in the Rayleigh area of Kamloops. She lived with them for a period of time and visited them. She testified that it took Mr. Senner a couple of years to complete the fencing and cross-fencing. She testified that he seeded the hay field and eventually baled and then loaded the flat-deck trailer and then stored the hay in the barn. She said he did it all by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She testified that Mr. Senner pursued similar social activities as to those he pursued in Quesnel. Fellow officers and other friends came to the farm with their children. She testified that there were always outdoor activities going on, such as basketball, soccer, and Frisbee. There were barbecues for officers and friends. She described Mr. Senner as full of life and most often outdoors. She said he never complained of physical ailments. He participated in activities involving his young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When stationed in Kelowna, he built a shop. When he was stationed in Kamloops, he and his wife divided up the farm and household duties as "blue jobs" (Mr. Senner) and "pink jobs" (Ms. Watt-Senner), respectively, outside and inside jobs. After purchasing the farm, he renovated the house both inside and outside. An example is replacing all floors inside the home. He did some electrical work with the assistance of Constable Atila Peter in the barn he built. He built a shop by hiring two men as contractors who, along with Mr. Senner and one other person, help put up the walls and rafters.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He reconfigured part of the irrigation system which irrigated the hay fields. He fertilized the lands and produced two to three crops per season. He moved the sprinkler system during the growing season of the hay crops. He cared for horses and cattle. He sold his beef production mainly to RCMP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He continued his interest in Basketball and had a basketball hoop at the Rayleigh farm. Mr. Senner owned a boat and did some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SENNER AND KIM WATT-SENNER'S LIFE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day after the accident, Mr. Senner went into the detachment to make a drug buy as part of an RCMP investigation. It was necessary as without his participation, the investigation would be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While driving home, after the drug buy, everything went white and he went to the side of the road. As a result, he concluded he needed time off work to recover from the accident. He was away from work for about a month. During this time, he, his wife and son took a pre-planned vacation to Mexico for seven days. His evidence was that all he did was rest, sleep, and sit by the pool. He did not participate in any of the excursions, except one. While on this holiday, he was sore, fatigued and had daily headaches. To combat his headaches, he lay in a dark room. He testified, despite sleeping, he would wake up feeling tired. He testified that he has many of those symptoms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Mr. Senner took other trips and holidays after the accident with his family - a Disneyland cruise, a trip to Las Vegas, and a trip to Mexico for a wedding. He testified that on his holidays he was not engaged in the events that took place during the holiday and it was his wife who took on the responsibility for their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Mr. Senner and his wife took road trips; one to Alberta and one to Vancouver Island. By this time, Ms. Watt-Senner took on most of the responsibility for driving. As a passenger, Mr. Senner required stops to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After the accident, Ms. Rana described Mr. Senner as going out intending to pursue farm chores, but the period was short and he would come back to the house. She observed him resting a lot and sitting in a chair with the heating pad.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At Christmas, Ms. Rana visited the Senners at Fraser Lake the first year they lived there. She stated that Mr. Senner was not interested in the activities going on around him. She stated that, prior to the accident, and normally, he would be out with children and doing activities. She noticed his mood had changed and he was not the same person; he was agitated and short-tempered. She described his concentration and focus as "not there". He appeared to Ms. Rana as "in his own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Ms. Rana went camping with them in their recreational trailer. She stated Mr. Senner needed to stop along the way to the campground and he would get out. At the campground, he puttered around, read and lay down. His wife, Mrs. Watt-Senner, participated more in the camping activities than did Mr.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While camping with the Senners and during the Christmas visit, Ms. Rana observed that Mr. Senner had trouble sleeping and he would get up in the early hours of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After the accident, Mr. Senner continued to work. By this time, his duties were mainly administrative. This required him to sit at a computer and look at three computer screens.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He testified that he was so tired that he would go home, take a nap and then return to work. He stated he delegated some of his police duties to two corporals as they were very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Mr. Senner took time off work from December 2013 to March 2014 relating to his injuries. By September 2014, he was on medical leave and did not return to work. He retired from the RCMP on May 11, 2016. He testified that he did not want to leave the RCMP based on a medical leave. He anguished in coming to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Mr. Senner testified that his sleep is interrupted at night and he is up and down three or four times during the night with back pain and the need to reposition himself and stretch. His wife no longer sleeps in the same room with him because of him being up and down during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After the accident, his headaches were daily. However, over time, he now has several a week with a bad one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Physical activity, such as feeding horses and shovelling, aggravates Mr. Senner's neck and shoulder. He used to be able to throw hay bales, but no longer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After the accident, Mr. Senner did not give up farming immediately. He bought a round baler and tractor which did not require him to physically handle the hay bales. To get to his hay wagon, he had to use a step ladder to accommodate his back. He hired a male 16-year-old grade 11 student, Mason Legault, to do farm chores such as shovelling manure and moving irrigation lines. Mr. Legault testified that he was aware that Mr. Senner had back problems. He accompanied the Senner family on their trip to Fraser Lake to help them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time, Mr. Senner recognized that he could no longer farm due to his injuries. The last year he was on the Rayleigh farm, he hired a neighbour to hay his farm. He and his wife sold the Rayleigh farm and bought a house on three acres in Fraser Lake. They chose a house in which all living requirements were located on one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 REGARDING MR. SENNER'S INJURIES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make the following findings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find that Mr. Senner's evidence as to his injuries by and large are similarly described to his doctors and those doctors who assessed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Mr. Senner was originally diagnosed as having PTSD and MDD by Dr. Carmichael in 2008, and he was treated for this condition up to December 2009. The PTSD and MDD were a result of his duty-related accumulated trauma while serving as an officer in the RCMP. Before Dr. Carmichael's diagnosis, Mr. Senner had been treated for depression. This depression did not have a significant affect on Mr. Senner's life as he continued to discharge his RCMP duties and it did not impact his life outside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Before and during the diagnosis and the treatment of these conditions by Dr. Carmichael, Mr. Senner headed a significant drug investigation. He trained police officers for that investigation, which led to the elimination of a gang-related drug game group that existed within the Kamloops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Despite the diagnosis of PTSD, Mr. Senner's PTSD did not affect the fulfilment of his duties in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PTSD and depression reoccurred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PTSD symptoms reoccurred in November 2012 due to the stress at work and lack of sleep, the latter which is connected to the accident, the former relating to his "toxic working environment" as described by Mr. Kerr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Subsequent PTSD symptoms were related to the deaths of RCMP officers in Moncton and the shooting (not death) of an RCMP officer in Kamloops. These symptoms and incidents of PTSD were not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Mr. Senner returned to work after taking a month off work as a result of the accident and continued to discharge his duties as an RCMP officer. He completed a number of undercover operations and continued to receive glowing performance reviews, which included reviews of his undercover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Mr. Senner continued to work until December 2013. Up until December 2013, Mr. Senner had worked 20 months. The time away from work, starting December 2013 and returning to work in March 2014, was due to the injuries from the motor vehicle accident. He took medical leave from the RCMP in September 2014. During the time he was working and not working, he experienced back, shoulder and neck pain, which interfered and interrupted his sleep and caused him to experience fatigue. This was directly related to the accident. This eventually led him to resign from the RCMP on May 11,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During the period of time that Mr. Senner was working, as described above, he was not as engaged with his duties as he had been prior to the accident. At times he would go home during the day and try to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His chronic pain affected his relationship with his wife and son. He became disinterested in socializing. He attempted to continue pursuing his farming activities by changing equipment and changing the manner in which he did those tasks, but eventually he could not continue his farming activities. With his decision to leave the RCMP, came with his decision to sell his farm. All of this was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Mr. Senner does not have sleep apnea, despite a diagnosis in 2006. I find that the two sonograms, one administered in 2015 and the other administered in 2016, recorded that Mr. Senner had poor quality sleep. His poor quality sleep is a result of the chronic pain in his back which requires him to get up several times in the night to stretch or re-position himself. This is directly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Mr. Senner's sleep disruption is mainly caused by chronic pain, however I do not eliminate the possibility of his MTBI as a contributing factor, but I find it to be minor. I find that depression is not a cause in Mr. Senner's sleep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Mr. Senner's complaint regarding the numbness in his feet is not related to the accident. Mr. Senner's periodic limb movements detected in the sonograms did not relate to sleep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Any cognitive changes that Mr. Senner believes have occurred do not relate to the MTBI he suffered, but rather the physical injuries he suffered, his fatigue, chronic pain, and sleep disruption. These conditions will likely continue. After Mr. Senner resigned from the RCMP and moved to Fraser Lake, he has had some improvements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Although Mr. Senner is capable of working 30 hours per week, his headaches and fatigue would prevent him from taking on a regular and predictable work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Barring some unforeseen event occurring, and the RCMP finding no position for Mr. Senner as a staff sergeant, I conclude he would have made staff sergeant and continued working until age 65 as an RCMP officer. Mr. Senner loved his job. He also started in the RCMP somewhat later than a lot of his colleagues did. He was age 35 when he joined the RCMP. Staying in the RCMP until age 65 fit with his personal plan and his economic plan for the future. At the age of 65, Mr. Senner's youngest son would be age 17 and would continue to require his father's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 reject Mr. Senner's description of his pre-existing back pain as "minor" as he was awarded a pension by Veteran's Affairs. However, Mr. Senner was able to keep his back condition as "minor" by treating his back with massage therapy and chiropractic treatments as needed from time-to-time. His back condition did not interfere with his farming chores, any other recreational activities, or discharging his duties as an RCMP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Despite his PTSD condition, he carried on with all RCMP activities after its diagnosis. Dr. Carmichael stated about 30% of working police officers have PTSD. As an example, former Staff Sergeant Kerr, as a corporal in the RCMP, was diagnosed with PTSD. He was a team leader during the Gustafson Lake standoff and was demoted to constable because of his PTSD. He stated that because of his PTSD he was not able to function for a period of four months. He appealed the decision and had his corporal rank re-instated. He had a 32-year career in the RCMP and attained the rank of sergeant and staff sergeant. When he left the RCMP, he was enrolled in the officer's candidate program. Former Staff Sergeant Kerr testified that he was unaware that Mr. Senner had been diagnosed with PTSD. Mr. Kerr was his supervisor. He testified he did not observe any problems with Mr. Senner having difficulties performing his duties as a police officer. This is supported by Mr. Senner's annual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Mr. Senner had some health difficulties in February 1998. He was treated by his family doctor. His symptoms were described as fatigue, headaches, disturbed sleep, some dizziness, nausea and a decreased libido and other symptoms. Although Mr. Senner could not remember all the symptoms that his doctor noted in his clinical records, Mr. Senner attributed these events reported to his doctor as a result of working shift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 conclude that none of these health problems are sufficient to meet the crumbling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Mr. Senner seeks non-pecuniary damages between $160,000.00 and $200,000.00. These damages relate to injuries described as a reoccurrence of PTSD (pre-existing diagnosis), fatigue, chronic headaches, chronic pain in his neck, trapezius muscles, and chronic pain in his back (pre-existing low back pain), reoccurrence of depression, anxiety, and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The case law relied upon by Mr. Senner is: </w:t>
      </w:r>
      <w:r>
        <w:rPr>
          <w:rFonts w:ascii="arial" w:eastAsia="arial" w:hAnsi="arial" w:cs="arial"/>
          <w:i/>
          <w:color w:val="000000"/>
          <w:sz w:val="20"/>
          <w:lang w:val="en-US" w:eastAsia="en-US" w:bidi="ar-SA"/>
        </w:rPr>
        <w:t>Chowdhry v. Burnaby (City)</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Shongu v. Jing</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2016 BCSC 901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Sima v. Smolinski</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Tan v. Mintzler</w:t>
      </w:r>
      <w:r>
        <w:rPr>
          <w:rFonts w:ascii="arial" w:eastAsia="arial" w:hAnsi="arial" w:cs="arial"/>
          <w:color w:val="000000"/>
          <w:sz w:val="20"/>
          <w:lang w:val="en-US" w:eastAsia="en-US" w:bidi="ar-SA"/>
        </w:rPr>
        <w:t xml:space="preserve">, and </w:t>
      </w:r>
      <w:hyperlink r:id="rId376" w:history="1">
        <w:r>
          <w:rPr>
            <w:rFonts w:ascii="arial" w:eastAsia="arial" w:hAnsi="arial" w:cs="arial"/>
            <w:i/>
            <w:color w:val="0077CC"/>
            <w:sz w:val="20"/>
            <w:u w:val="single"/>
            <w:shd w:val="clear" w:color="auto" w:fill="FFFFFF"/>
            <w:lang w:val="en-US" w:eastAsia="en-US" w:bidi="ar-SA"/>
          </w:rPr>
          <w:t>2016 BCSC 1183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 non-pecuniary damages in this case law relied on by Mr. Senner is between $160,000.00 to $210,000.00. The injured plaintiffs are both male and female and, at the time of trial, ranged from ages 25 to 65 1/2. Mr. Senner was 54 at the time of the accident. At the time of trial, he was about to turn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An award of non-pecuniary damages is based on the specific facts of the injured person, their background, the medical evidence before the court, and the evidence of friends and family. No one person's pain or injury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Non-pecuniary damages are to compensate the injured person for pain, suffering, loss of enjoyment of life and the loss of amenities. Any amount of award for non-pecuniary damages has to be fair to both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When determining non-pecuniary damages, the court considers those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Those non-exhaustive factors which influence an award of non-pecuniary damages include: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The inexhaustive list of common factors cited in Boyd that influence an award of non-pecuniary damages includes: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6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6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I will review the cases referred to by Mr. Senner. In </w:t>
      </w:r>
      <w:r>
        <w:rPr>
          <w:rFonts w:ascii="arial" w:eastAsia="arial" w:hAnsi="arial" w:cs="arial"/>
          <w:i/>
          <w:color w:val="000000"/>
          <w:sz w:val="20"/>
          <w:lang w:val="en-US" w:eastAsia="en-US" w:bidi="ar-SA"/>
        </w:rPr>
        <w:t>Chowdhry</w:t>
      </w:r>
      <w:r>
        <w:rPr>
          <w:rFonts w:ascii="arial" w:eastAsia="arial" w:hAnsi="arial" w:cs="arial"/>
          <w:color w:val="000000"/>
          <w:sz w:val="20"/>
          <w:lang w:val="en-US" w:eastAsia="en-US" w:bidi="ar-SA"/>
        </w:rPr>
        <w:t>, Mr. Chowdhry was age 64 1/2 years old. He was in a violent motor vehicle accident when a high speed and out-of-control city garbage truck struck and fell on the vehicle driven by Mr. Chowdhry. Mr. Chowdhry was unconscious at the scene of the accident. The next thing he remembers is being in the hospital. He was released from hospital a day after the accident. His physical injuries were soft tissue injuries to his neck, back, left shoulder and a finger injury. An amount of glass was found embedded in Mr. Chowdhry's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Mr. Chowdhry was found to have suffered psychiatric injuries. His physical injuries, some of which were pre-existing, were for the most part resolved, but his psychiatric injuries had not. The Court found he may still be suffering from symptoms of MTBI in addition to PTSD and MDD. Mr. Chowdhry was rendered catatonic for the first six months after the accident, but after that made significant improvement. However, the Court found he had no persistent cognitive impairment and he would not have it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Mr. Chowdhry was happily employed before the accident and socially outgoing. At the time of trial, he was unemployed and he will not be employed again. His relationship with his family had changed from being the head of the family to being dependent upon them. The Court found that these relationships would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Non-pecuniary damages were assessed at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Cornish</w:t>
      </w:r>
      <w:r>
        <w:rPr>
          <w:rFonts w:ascii="arial" w:eastAsia="arial" w:hAnsi="arial" w:cs="arial"/>
          <w:color w:val="000000"/>
          <w:sz w:val="20"/>
          <w:lang w:val="en-US" w:eastAsia="en-US" w:bidi="ar-SA"/>
        </w:rPr>
        <w:t>, Ms. Cornish was age 58 at the time of her accident. Prior to the accident, Ms. Cornish had back surgeries, a nervous breakdown, raised two children as a single parent, a son diagnosed as schizophrenic, the death of her parents, and the declaration of bankruptcy, the latter brought on by a business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year before the accident, Ms. Cornish was employed part-time as an in-home care aide. Ms. Cornish had an active physical life which included hiking, fishing, and shopping at local farmers' markets. In addition, Ms. Cornish cared for her daughter's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Ms. Cornish was knocked unconscious in the accident and recovered consciousness at the scene of the accident. She immediately suffered physical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As a result of the accident, Ms. Cornish suffered from regular headaches, pain in her shoulders, neck, and back. She experienced vertigo, dizziness, and depression. She often was confused, she suffered from memory losses, and she was less social.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She was described by a long-term friend as a "totally different person". Despite these problems, Ms. Cornish was capable of looking after herself and managing her own affairs. Her relationship changed negatively with her daughter and grandchildren. She put on weight and was less attentive to her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Despite the pre-existing depression, the Court found her depression was as a result of the motor vehicle accident. The Court found that the motor vehicle accident aggravated her back condition and was the cause of her current pain and Symatic Symptom Disorder. The Court found her memory loss and confusion was as a result of her depressive disorder. The Court assessed her damages at $160,000.00 (this amount was reduced by 50% to reflect an equal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it was accepted that Mr. Pololos suffered a soft tissue injury which resulted in chronic pain. The issues left for the Court to decide were post and future loss of income and whether Mr. Pololos' depression was caused by the accident. At the scene of the accident, Mr. Pololos lost consciousness briefly. The Court found at para. 18 that Mr. Pololos' "self-perception of extreme disability is, however, I find earnestly and honestly held". The Court found they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Court found that the accident fundamentally transformed Mr. Pololos in all aspects of his life, leaving the Court to find at para. 107, Mr. Pololos' "life had little content". The prognosis was negative. The Court assessed Mr. Pololos' damages at $180,000.00.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Shongu</w:t>
      </w:r>
      <w:r>
        <w:rPr>
          <w:rFonts w:ascii="arial" w:eastAsia="arial" w:hAnsi="arial" w:cs="arial"/>
          <w:color w:val="000000"/>
          <w:sz w:val="20"/>
          <w:lang w:val="en-US" w:eastAsia="en-US" w:bidi="ar-SA"/>
        </w:rPr>
        <w:t>, Mr. Shongu was age 39 at the time of trial, he was married and had three daughters. Mr. Shongu had a difficult life, having grown up in the Dominican Republic of Congo where there was civil strife. He witnessed the death of his own father, narrowly avoiding his own death. He was later diagnosed with PTSD and, over a period of two years, slowly recovered. He had a further reoccurrence of his PTSD symptoms as a result of the violence in the civil war and witnessing his mother's death as a result of soldiers setting fire to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Mr. Shongu arrived in British Columbia as a refugee and, after several years, was issued a work permit. He was involved in immigration proceedings in Canada. He had concerns he would be sent back to the Congo, which resulted in a reoccurrence of his PTSD. He was hospitalized in a psychiatric ward for a period of six weeks. After this period of hospitalization, Mr. Shongu did not experience any significant psychiatric symptoms for a period of five years. During this time, he was employed and met his future wife. He was employed on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In the accident, he suffered injuries to his neck, shoulder, upper back and jaw, which resulted in sleep disturbance. It was agreed that Mr. Shongu suffered from chronic neck and back pain anticipated to be permanent. Mr. Shongu had a relapse of psychiatric symptoms following the accident, which was the contentious part of the litigation. The Court found that Mr. Shongu's present disability was a combination of his pre-existing psychiatric vulnerability, the chronic pain from his physical injuries and the effect of medications he was taking to control his symptoms, and that this caused Mr. Shongu's disability. The Court found there was a substantial connection between the injuries he suffered in the accident and his present symptoms such to impose full liability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 Court found that Mr. Shongu suffered soft tissue injury, which was chronic pain to his neck and back, and that his psychiatric symptoms were exacerbated by his physical condition, prolonging the suffering from his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Court assessed non-pecuniary damages at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Sima</w:t>
      </w:r>
      <w:r>
        <w:rPr>
          <w:rFonts w:ascii="arial" w:eastAsia="arial" w:hAnsi="arial" w:cs="arial"/>
          <w:color w:val="000000"/>
          <w:sz w:val="20"/>
          <w:lang w:val="en-US" w:eastAsia="en-US" w:bidi="ar-SA"/>
        </w:rPr>
        <w:t>, Ms. Sima, at the time of trial, was 25. At the time of the accident, she was an extremely accomplished athlete, a good student and had previously been enrolled and completed her third year of university. Prior to the accident, she withdrew from university to consider her career options. In university, she achieved a B average, worked part-time and continued her involvement in sports at a high level. She involved herself in other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She was rollerblading in a marked crosswalk when she was struck by the defendant's car. She was briefly unconscious on impact with the car and hit her head on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Her relationship with her boyfriend ended after two years. She had excessive fatigue. She withdrew from social and personal contact. She experienced cognitive changes as to memory and forgetfulness as a result of the MTBI. Her sense of smell was affected. The Court found that Ms. Sima sustained significant and serious ongoing physical, psychological and emotional trauma that left her with permanent functional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Court found there would be very little change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The Court assessed Ms. Sima's non-pecuniary damages at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Tan</w:t>
      </w:r>
      <w:r>
        <w:rPr>
          <w:rFonts w:ascii="arial" w:eastAsia="arial" w:hAnsi="arial" w:cs="arial"/>
          <w:color w:val="000000"/>
          <w:sz w:val="20"/>
          <w:lang w:val="en-US" w:eastAsia="en-US" w:bidi="ar-SA"/>
        </w:rPr>
        <w:t>, Ms. Tan was 56 years old, married with a daughter. She was described by her family as outgoing, independent and someone who enjoyed learning, as well as cooking and maintaining a tidy and organized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Ms. Tan was an immigrant to Canada. At the time of the accident, she was a room attendant at a Richmond hotel earning $18.86 per hour, plus benefits. She had held this position 16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As a result of the accident, Ms. Tan suffered psychological injuries, including anxiety. She no longer drives and is anxious as a passenger. She no longer socializes and has become withdrawn. She no longer cooks the complex dinners she used to. The Court concluded that Ms. Tan suffered soft tissue injuries to the left side of her body, including her neck, shoulder, mid and low back, as well as pain to her knee and foot. For a period of time she suffered headaches and dizziness and she may be suffering from jaw problems, the latter of which will improve with treatment. The Court found that these injuries have caused chronic pain on her left side. The dizziness improved and she no longer experiences a loss of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Court accepted that Ms. Tan suffers from mild depression, anxiety and PTSD, and suffers some mild cognitive difficulties, including memory issues. The Court assessed Ms. Tan's non-pecuniary damages at $210,000.00.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Mrs. Yoshikawa suffered lacerations and mild soft tissue injuries in a motor vehicle accident, which should have healed within a few weeks or a month. She developed a series of psychological conditions and other physical conditions and a significant change in her day-to-day activities and recreational activities. The Appeal Court concluded, as stated in the headnote: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thin skull principle applied equally to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The trial judge awarded non-pecuniary damages of $120,000.00; the Appeal Court reduced the amount of non-pecuniary damages to $75,000.00. This appeal was heard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Rizzotti v. Laley Estate</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2012 BCSC 1330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Olson v. Ironside</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2012 BCSC 546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Yang v. Engen</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2014 BCSC 1332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Wilson v. Ham</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2004 BCSC 842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Neyman v. Wouterse</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2013 BCSC 741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defendants' position is that Mr. Senner's pre-existing psychological conditions of PTSD and depression would have emerged in any event of the accident and that these conditions were duty-related.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In support of this proposition, the defendants rely on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Ms. Wilson was struck by a car in a marked pedestrian crosswalk. At the time of trial, she was age 45. Besides a swollen knee and abrasion to her elbow and soreness in her neck, the plaintiff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 very mild compression fracture of the top surface of her left tibia (Dr. McCormack characterized it as a 1 or 2 on a scale of 10) causing minimal displacement which required no surgical intervention at all and healed without any complications whatsoever except for the development of certain symptoms of reflex sympathetic dystrophy.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reflex sympathetic dystrophy resolved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Ms. Wilson developed some psychological symptoms diagnosed as pain disorder or chronic pain syndrome related to her knee and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The Court, after considering arguments relating to the thin skull rule, concluded, as it relates to Ms. Wilson's psychological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my view, in this case the court should not hold the defendant liable in law for symptoms which are so far disportionate in severity and so unrelated to the original injury caused by the defendant's tortious act that any reasonable person would say that they were not caused by that act but rather by factors personal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The Court assessed Ms. Wilson's non-pecuniary damages at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I do not find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helpful in assessing Mr. Senner's injuries. Unlike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Mr. Senner at trial, had chronic pain as a result of his physical injuries and, from the date of the accident to trial, displayed psychological injuries increasing over time, which related to his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Neyman</w:t>
      </w:r>
      <w:r>
        <w:rPr>
          <w:rFonts w:ascii="arial" w:eastAsia="arial" w:hAnsi="arial" w:cs="arial"/>
          <w:color w:val="000000"/>
          <w:sz w:val="20"/>
          <w:lang w:val="en-US" w:eastAsia="en-US" w:bidi="ar-SA"/>
        </w:rPr>
        <w:t>, Ms. Neyman was injured in a motor vehicle accident. Her physical injuries were soft tissue to the neck, upper and lower back, and left hip. Ms. Neyman had pre-existing injuries to her neck, upper back and a generalized anxiety disorder, the latter the Court found was aggravated by the accident, which the Court found prolonged her recovery of her soft tissue injuries. The Court assessed Ms. Neyman's non-pecuniary damages at $60,000.00.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Based on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Neyman</w:t>
      </w:r>
      <w:r>
        <w:rPr>
          <w:rFonts w:ascii="arial" w:eastAsia="arial" w:hAnsi="arial" w:cs="arial"/>
          <w:color w:val="000000"/>
          <w:sz w:val="20"/>
          <w:lang w:val="en-US" w:eastAsia="en-US" w:bidi="ar-SA"/>
        </w:rPr>
        <w:t>, the defendants submit that Mr. Senner's non-pecuniary damages should be assessed at $80,000.00.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In the alternative, the defendants argue that Mr. Senner's damages should be no more than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Rizzotti</w:t>
      </w:r>
      <w:r>
        <w:rPr>
          <w:rFonts w:ascii="arial" w:eastAsia="arial" w:hAnsi="arial" w:cs="arial"/>
          <w:color w:val="000000"/>
          <w:sz w:val="20"/>
          <w:lang w:val="en-US" w:eastAsia="en-US" w:bidi="ar-SA"/>
        </w:rPr>
        <w:t>, Ms. Rizzotti was age 49 at the time of trial. She was married with grown children. Ms. Rizzotti had been involved in three different accidents. Liability was admitted in all three. Of the three accidents, the most severe one occurred June 25, 2005, when the plaintiff was a front seat passenger in a vehicle driven by her husband. The accident was a head-on collision in which the defendant driver was killed. The other two accidents were rear-enders.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In the first accident, her recollection was she recalls a lady hanging out of the defendant car with blood coming out of her mouth and running off to the side of the road. Ms. Rizzotti recalls that she had concerns about her husband and kept thinking it could have been her or her husband who died at the accident. Her physical injuries were to her neck, shoulders, chest, lower back, abdomen, left hip, left knee, and tailbone.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 second accident brought up scenes of the first accident causing her to cry hysterically at the scene of the accident. She felt only a twinge of pain in the centre of her back after that accident. In the third accident, she did not suffer any significant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Prior to the accident, her health was excellent. After the accident, her hip bothered her for a long time and her tailbone continued to bother her on a daily basis. Emotionally, the plaintiff considered herself a very strong person. However, she now cries at the simplest of things and unexpected loud noises bother her and cause her to cry.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 Court found that Ms. Rizzotti developed physical injuries which are chronic and long-standing and a serious psychological injury. The Court awarded Ms. Rizzotti $110,000.00.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Olson</w:t>
      </w:r>
      <w:r>
        <w:rPr>
          <w:rFonts w:ascii="arial" w:eastAsia="arial" w:hAnsi="arial" w:cs="arial"/>
          <w:color w:val="000000"/>
          <w:sz w:val="20"/>
          <w:lang w:val="en-US" w:eastAsia="en-US" w:bidi="ar-SA"/>
        </w:rPr>
        <w:t>, Ms. Olson was age 23 at the time of trial. She developed chronic soft tissue injuries with myofascial pain in her neck and upper back present on a daily basis, chronic soft tissue injuries with myofascial pain in her lower back present on an intermittent basis and chronic cervicogenic headaches present daily, an exacerbation of pre-existing migraine headaches, post-traumatic thoracic outlet syndrome bilaterally, chronic sleep disruption, major depressive disorder presently in remission, PTSD presently in partial remission and permanent right Temporomandibular joint dysfunction. The Court awarded Ms. Olson $100,000.00 in non-pecuniary damages considering it to be "a mid-range award for the circumstances of this case":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Shapiro</w:t>
      </w:r>
      <w:r>
        <w:rPr>
          <w:rFonts w:ascii="arial" w:eastAsia="arial" w:hAnsi="arial" w:cs="arial"/>
          <w:color w:val="000000"/>
          <w:sz w:val="20"/>
          <w:lang w:val="en-US" w:eastAsia="en-US" w:bidi="ar-SA"/>
        </w:rPr>
        <w:t>, in the Court below, the trial judge found Ms. Shapiro has disabling cervogenic headaches and periodic headaches of a migraine nature, chronic pain disorder manifesting itself as myofascial pain syndrome and post-traumatic fibromyalgia syndrome, depressive symptoms falling short of depressive disorder, mood disorder, including resolving PTSD, anxiety disorder, panic attacks, and mild but not significant cognitive difficulties in concentration and memory. The trial judge awarded $110,000.00 for non-pecuniary damages. This award was not under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Yang</w:t>
      </w:r>
      <w:r>
        <w:rPr>
          <w:rFonts w:ascii="arial" w:eastAsia="arial" w:hAnsi="arial" w:cs="arial"/>
          <w:color w:val="000000"/>
          <w:sz w:val="20"/>
          <w:lang w:val="en-US" w:eastAsia="en-US" w:bidi="ar-SA"/>
        </w:rPr>
        <w:t>, Ms. Yang was a passenger in a vehicle driven by her husband which was involved in an accident. Prior to this accident, Ms. Yang had been in another motor vehicle accident and, as a result, she had developed a driving phobia. She resolved this phobia by not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Ms. Yang suffered moderate soft tissue injuries to her neck, both upper and lower back, as well as injury to her index finger which caused her pain and suffering for three years prior to the trial. In addition, she suffered "serious and ever-increasing emotional difficulties and mood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 Court found that Ms. Yang's soft tissue injuries were of moderate severity to her neck and back. The Court also found that her psychological and emotional difficulties dramatically affected her life and well-being. The Court found that she suffered from General Anxiety Disorder which the Court also found were solely attributable to the motor vehicle accident. The Court found that Ms. Yang, as a consequence of her untreated phobia of driving, had an elevated vulnerability to develop the General Anxiety Disorder, which the Court stated must be addressed in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Court awarded Ms. Yang $90,000.00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 FOR MR.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Because of his chronic pain, Mr. Senner was deprived of sleep, which over time led to fatigue, lack of energy and the inability to focus on his day-to-day activities. Simply put, Mr. Senner's chronic pain wore him down, which prevented him, over time, from pursuing all of his work, recreational farm and family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At the time of the accident, Mr. Senner was a member of the RCMP who intended on retiring at age 65. His duties were drug investigation and undercover operations. He had a passion for both of these work-related activities. At the time of the accident he lived on a farm, which he and his wife had acquired, which met his earlier interest in farming.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There is no evidence before me that his back problems prior to the accident interfered in the execution of his duties as an RCMP officer, or performing his chores on the farm or interfered in his family and social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Prior to the accident, Mr. Senner had some headaches. Those headaches were tension headaches and quite different from the headaches he suffered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Living on the farm met all of Mr. Senner's needs for exercise. The farm represented a place for Mr. Senner, his wife and child to conduct most of their social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The day-to-day outside work was performed solely by Mr. Senner. Improvements to the farm and home they lived in were performed by Mr. Senner with the occasional outside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The farm was where Mr. Senner wanted to be when he was not working. He and his wife, upon his retirement, planned to continue to reside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The physical injuries which caused him to suffer from headaches, chronic pain, sleep interruptions and constant fatigue eventually interfered with him working as an RCMP officer. Despite making changes to the equipment used in his farm operation, he eventually could not continue to physically operate the farm and had to sell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The injuries he suffered affected his relationship with his son and grandchildren. He could no longer participate with all of his son's activities, such as roughhousing; he could not pick up his grandchildren.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Mr. Senner cried unnecessarily. He was irritable with his wife and over matters that were not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His wife, Ms. Watt-Senner, became his caregiver, making many decisions for him, which prior to the accident, he made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Mr. Senner lost most of his intimate relationship with his wife due to his interrupted sleep, chronic pain and the medication he takes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He has become withdrawn socially due to the accident. He is restricted as to the length of his walks, hikes and bicycle riding. In the months and years after the accident, Mr. Senner became a different person than he was before the accident. Whether Mr. Senner's condition at trial is because of chronic pain or psychological condition, exacerbated by the accident, Mr. Senner's condition at the time of trial was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There is no evidence before me that the injuries that Mr. Senner suffered will significantly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Based on the evidence and the case law that guides me, I award Mr. Senner non-pecuniary damages of $150,000.00.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From the date of taking medical leave to the date of retirement, September 5, 2014 to May 11, 2016, Mr. Senner was paid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Mr. Senner's loss of income from January 1, 2014 to the date of trial as a staff sergeant would be $97,081.00. After taking into consideration a discount of 24.5% for income tax and EI premiums, as agreed by counsel, Mr. Senner's past income loss as a staff sergeant is $73,296.00 ($70,426.00 + $26,655.00 x 75.5% = $73,296.00). I make this award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INCOME LOSS AND IMPAIRMENT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I have found Mr. Senner would have made staff sergeant and have found that his intention would have been to work until age 65 and then retire. The economist, Mr. Carson, calculated that Mr. Senner, as a staff sergeant, until age 65, would have earned $571,683.00. Mr. Carson calculated Mr. Senner's loss of non-wage benefits as a sergeant and a staff-sergeant. As a staff sergeant, he determined a loss of pension benefits of $134,300.00.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The principle in assessing future loss of income or earning capacity is not based on a balance of probabilities, rather on hypotheticals of future events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Hypothetical events (such as how the plaintiff's life would have proceeded without the tortious injury) or future events need not be proven on a balance of probabilities. Instead, they are simply given weight according to their relative likelihood: </w:t>
      </w:r>
      <w:r>
        <w:rPr>
          <w:rFonts w:ascii="arial" w:eastAsia="arial" w:hAnsi="arial" w:cs="arial"/>
          <w:i/>
          <w:color w:val="000000"/>
          <w:sz w:val="20"/>
          <w:lang w:val="en-US" w:eastAsia="en-US" w:bidi="ar-SA"/>
        </w:rPr>
        <w:t>Mallett v. McMonagle</w:t>
      </w:r>
      <w:r>
        <w:rPr>
          <w:rFonts w:ascii="arial" w:eastAsia="arial" w:hAnsi="arial" w:cs="arial"/>
          <w:color w:val="000000"/>
          <w:sz w:val="20"/>
          <w:lang w:val="en-US" w:eastAsia="en-US" w:bidi="ar-SA"/>
        </w:rPr>
        <w:t xml:space="preserve">, [1970] A.C. 166 (H.L.); </w:t>
      </w:r>
      <w:r>
        <w:rPr>
          <w:rFonts w:ascii="arial" w:eastAsia="arial" w:hAnsi="arial" w:cs="arial"/>
          <w:i/>
          <w:color w:val="000000"/>
          <w:sz w:val="20"/>
          <w:lang w:val="en-US" w:eastAsia="en-US" w:bidi="ar-SA"/>
        </w:rPr>
        <w:t>Malec v.J.C. Hutton Proprietary Ltd</w:t>
      </w:r>
      <w:r>
        <w:rPr>
          <w:rFonts w:ascii="arial" w:eastAsia="arial" w:hAnsi="arial" w:cs="arial"/>
          <w:color w:val="000000"/>
          <w:sz w:val="20"/>
          <w:lang w:val="en-US" w:eastAsia="en-US" w:bidi="ar-SA"/>
        </w:rPr>
        <w:t xml:space="preserve">. (1990), 169 C.L.R. 638 (Aust. H.C.);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For example, if there is a 30 percent chance that the plaintiff's injuries will worsen, then the damage award may be increased by 30 percent of the anticipated extra damages to reflect that risk.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Schrump v. Koot</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A claim for a loss of future earning capacity is not a mathematical calculation. Rather, it is an assessment accompanied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In assessing this loss, there are two approaches - one is the earnings approach as taken in </w:t>
      </w:r>
      <w:r>
        <w:rPr>
          <w:rFonts w:ascii="arial" w:eastAsia="arial" w:hAnsi="arial" w:cs="arial"/>
          <w:i/>
          <w:color w:val="000000"/>
          <w:sz w:val="20"/>
          <w:lang w:val="en-US" w:eastAsia="en-US" w:bidi="ar-SA"/>
        </w:rPr>
        <w:t>Pallos Insurance Corp. of British Columbia</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and the other approach is the capital asset approach as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injured plaintiff must be put into the same position as he or she would have been in had the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Mr. Justice Kent described the earnings approach as involving: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[157]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As I have found, Mr. Senner intended on working until age 65, based on the evidence of Mr. Senner being well-regarded as an RCMP officer, his love of the job, his professional goals and personal and financial goals, which I referred to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xml:space="preserve">  Mr. Senner would have earned $571,683.00 and pension benefits of $134,300.00 as a staff sergeant. At the same, I must discount the amount for any negative contingencies that may occur: </w:t>
      </w:r>
      <w:r>
        <w:rPr>
          <w:rFonts w:ascii="arial" w:eastAsia="arial" w:hAnsi="arial" w:cs="arial"/>
          <w:i/>
          <w:color w:val="000000"/>
          <w:sz w:val="20"/>
          <w:lang w:val="en-US" w:eastAsia="en-US" w:bidi="ar-SA"/>
        </w:rPr>
        <w:t>O'Brien (Guardian ad litem of) v. Anderson</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2000 BCCA 460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Hay v. Hoffmann</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1999 BCCA 26</w:t>
        </w:r>
      </w:hyperlink>
      <w:r>
        <w:rPr>
          <w:rFonts w:ascii="arial" w:eastAsia="arial" w:hAnsi="arial" w:cs="arial"/>
          <w:color w:val="000000"/>
          <w:sz w:val="20"/>
          <w:lang w:val="en-US" w:eastAsia="en-US" w:bidi="ar-SA"/>
        </w:rPr>
        <w:t>, the Appeal Court stated, when considering a future loss of earning capacity of future loss of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...a trial judge, in deciding on an award of damages under the heading of anticipated future loss, ...ought to endeavour to make an informed estimate or assessment of anticipated loss as opposed to merely undertaking to do a computation. Because one is considering the future which has about it always an aspect of the unknowable, contingencies positive and negative fall to be considered. Ultimately, a best estimate is required and while there will almost invariably be mathematical calculations to be considered, a purely mathematical approach will usually not be appropriate because such an analysis is too limited in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making this assessment, it is based on the past history of the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The defendants point to Mr. Senner suffering from further episodes of PTSD or depression. This may occur, but it cannot be assumed that Mr. Senner would not be working if these events occurred. The defendants point to Dr. Carmichael's evidence that statistically police officers experience traumatic events that the average citizen does not. I accept this negative contingency. A further negative contingency is that Mr. Senner may suffer other health problems not related to the accident. The defendants state another contingency is that Mr. Senner's pension would have vested on December 5, 2016, at which time he would have retired. However, this contradicts Mr. Senner's evidence that he wanted to work to age 65, which I addressed earlier. I accept Mr. Senner's evidence and the reasons for wanting to work until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 reject the defendants' position that I should reduce the future loss of income by 10% to reflect part-time employment and loss of employment. Mr. Senner said that RCMP officers do not work part-time. There was no evidence to the contrary. There is no evidence to suggest RCMP officers become unemployed for economic reasons. RCMP officers may become unemployed by being discharged for conduct reasons. Mr. Senner's history in the RCMP is exemplary.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Taking into consideration Mr. Senner's estimated earnings to age 65, his non-wage benefits, and the negative contingencies, I award Mr. Senner's loss of earning capacity or loss of future income at $500,000.00.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 defendants argue that the award for future income loss and impairment of capacity be reduced by Mr. Senner's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Ms. Douglas determined the kind of work and the hours of work that Mr. Senner was capable. However, she was very clear her opinion relates only to the physical testing of Mr. Senner. Dr. O'Breasail's opinion in his report of October 21, 2015, bears repeating: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man is currently totally vocationally disabled and incapable of working secondary to injuries he suffered in the motor vehicle accident of 15 February 2011. The disability is secondary to a number of factors. It is secondary to his chronic pain and associated limitation in physical functioning. It is secondary to his ongoing depression and anxiety and also secondary to the residual effects of his post concussion syndrome, his low energy, fatigue, and cognitive difficulties, in particular. Given the time that has elasped since the accident occurred, the chronic nature of his symptoms, and the great difficulty he had coping in the work environment, in my opinion, it is unlikely he will ever be capable of returning to work and this his disability is total. In my opinion, had the accident not occurred, it is likely he would have continued to work until age 65, retirement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Mr. Senner has some physical earning capacity. However, at the time of trial, he continued to suffer from fatigue, headaches, and chronic pain in his back, shoulders and neck. I conclude that the only manner in which Mr. Senner could be employed would be based on his health and not on the needs of an employer. He could not work on a regular basis for 30 hours a week, meeting a schedule. As a result, I find that Mr. Senner has no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Mr. Senner's claim for special damages is based on certain physical tasks he could have undertaken and completed except for the injuries he suffered as a result of the motor vehicle accident. Mr. Senner claims $49,078.04.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The defendants take issue with the following special damages represented by the named accounts.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Devick Ranch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This account is for materials and labour. The defendants argue Mr. Senner should be responsible for materials. I agree. There is no evidence before me as to the breakdown between material and labour. I reduce this account by 50% to take into consideration the cost of materials.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 Bovin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Mr. Senner seeks 50% of this account attributing 50% to materials. The defendants argue it should 75% on account of materials as they are "more expensive". This account is for constructing a sidewalk, deck and some fencing. I will use the same reasoning on the previous account and attribute 50% to the materials.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Lee ABC Contracting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The defendants object to this account as they allege the tasks performed were when Mr. Senner was on holidays and not a matter of incapacity to perform the tasks. It is apparent that this is a regular lawn and tree maintenance, and other yard tasks during the year 2011 to 2013 inclusive. The cost of materials has been removed by Mr. Senner. There are some items Mr. Senner's wife could perform. Examples are picking fruit and moving hoses. As a result, I reduce this account by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JKL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The defendants argue that the materials are included in this account for $5,550.00, plus GST, sought by Mr. Senner. Mr. Senner had some materials on hand. However, the additional materials are described in the account as four, five inch posts and three, four inch rails. These are not expense items deserving of discount of 30% as sought by the defendants. I will allow the amount sought at $6,216.00 for that account and another account not disputed for $5,306.95.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Northern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This account is for renovations to Mr. Senner and his wife's new home in Fraser Lake. The amount sought is $8,876.91. It is for labour only. Nothing should be allowed as Ms. Watt-Senner testified it was necessary for these renovations to be done quickly so as to accommodate Mr. Senner and his wife's son. The labour relates not only to renovations, but also the demolition. I do not accept this argument. Mr. Senner and his family lived in a travel trailer and the basement of a house until the work was complete. I cannot conclude that had Mr. Senner not been injured, he would have been able to perform these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In summary, I have reduced the special damages claim of Mr. Senner by $10,745.21. I order that the defendants pay Mr. Senner his special damages of $38,332.83.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Mr. Senner's expenses for medication, massage treatment, chiropractic treatment and other medical benefits are being satisfied through the terms of the medical discharge negotiated by Mr. Senner with the RCMP. Mr. Senner is seeking future Botox treatments which are not covered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Up to the date of trial, Mr. Senner had a number of Botox treatments which to-date have failed. Mr. Senner is seeking an allowance of $5,000.00 for these treatments. However, Dr. Robinson stated that it was unlikely any future Botox treatments would assist Mr. Senner.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 make no award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YARD/FARM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Mr. Senner seeks the sum of $25,000.00 to compensate him for this loss. The defendants wrote in their written argument:</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future yard/farm work, the defendants appreciate that the calculation of future yard/ farm work (housekeeping) is warranted irrespective of whether it fits under the head of Cost of Care or as a separate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The defendants will pay to Mr. Senner the sum of $25,000.00 for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$73,296.00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$38,332.83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yard/farm work:</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cost of care: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Subtotal:</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$786,628.83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Minus 10% (contributory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($78,662.88)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$707,965.95 (rounded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$708,000.00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court ordered interest:</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 applicable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Mr. Senner's total award is $708,000.00, plus any applicable interest under the </w:t>
      </w:r>
      <w:r>
        <w:rPr>
          <w:rFonts w:ascii="arial" w:eastAsia="arial" w:hAnsi="arial" w:cs="arial"/>
          <w:i/>
          <w:color w:val="000000"/>
          <w:sz w:val="20"/>
          <w:lang w:val="en-US" w:eastAsia="en-US" w:bidi="ar-SA"/>
        </w:rPr>
        <w:t>Court Order Interest</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The above sum is reduced by 10% to reflect the Mr. Senner's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Mr. Senner will have his costs and disbursements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Appendix B,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Woo v. Crème De La Crumb Bakeshop &amp; Catering Ltd., [2019] B.C.J. No. 1925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24-28, July 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S159510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2019 BCSC 1752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Sam Kwon Woo, also known as Sam Woo, by his litigation Guardian Ok Yon Woo, Plaintiff, and Crème De La Crumb Bakeshop &amp; Catering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(165 paras.)</w:t>
      </w:r>
    </w:p>
    <w:p>
      <w:pPr>
        <w:jc w:val="both"/>
        <w:rPr>
          <w:rFonts w:ascii="arial" w:eastAsia="arial" w:hAnsi="arial" w:cs="arial"/>
          <w:sz w:val="20"/>
          <w:lang w:val="en-US" w:eastAsia="en-US" w:bidi="ar-SA"/>
        </w:rPr>
      </w:pPr>
      <w:bookmarkStart w:id="126" w:name="Counsel_16"/>
      <w:bookmarkEnd w:id="1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M.D. Wilhelmson, R.K. Buchanan.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 Eged, A. Jiwaji.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6"/>
      <w:bookmarkEnd w:id="127"/>
      <w:r>
        <w:pict>
          <v:line id="_x0000_s1104" style="position:absolute;z-index:251726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R.A. SKOLROOD J."/>
            <w:bookmarkEnd w:id="128"/>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17, 2015, the plaintiff, Sam Kwon Woo, suffered catastrophic injuries when he fell from a ladder (the "Accident") while working at premises leased by the defendant Crème de la Crumb Bakeshop &amp; Catering Ltd. ("Crème").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Accident, the plaintiff was left in a vegetative state and he requires round-the-clock care. He currently lives in Purdy Pavilion, a care facility located at the University of British Columbia ("Purdy").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acting though his wife as litigation guardian, claims damages against Crème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Evidence about the plaintiff's background was provided by his wife, Ok Yon Woo, his daughter, Sharine Woo, and his son, Chang Wan Woo who goes by the name of Stefan. Given the common last name of a number of key individuals, I will refer to Stefan and Sharine by their given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born in South Korea in 1948. He is married with three children. The family came to Canada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Korea, the plaintiff worked as a property developer and general contractor. When he came to Canada, he continued to work in the construction industry through a sole proprietorship under the name "Sam's Construction". He typically worked on home and small business renovation projects. It can fairly be said that, at the time of the Accident, the plaintiff was an experienced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minimal English language facility, so his son Stefan often assisted him. In 2013, as the plaintiff was beginning to wind down his work, a new company called Incircle Business Development Inc. ("Incircle") was incorporated. At the time of incorporation, the sole shareholder was Stefan but the plaintiff was named as the sole director. I accept Stefan's evidence that this was because, at the time, he was an undischarged bankrupt and therefore precluded from acting as a director. Subsequently, in January 2015, after being discharged from bankruptcy, Stefan was appointed as a director in place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Accident, the plaintiff was 66 years old and was about 5'7" tall.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Ryan Lee and Lydia Lai are the principals of Crème. They are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worked in the financial services industry prior to starting Crème. Ms. Lai worked as a bank teller then as a manger for a financial planning firm. Mr. Lee also worked as a teller then as a financial planner.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Lai had always loved baking and for a period of time they operated a small catering company out of their apartment. In 2009, they incorporated Crème with a goal of developing a storefront café business. Mr. Lee and Ms. Lai were the sole shareholders, officers and directors of Crème.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2010, they were introduced to Stefan by a friend. Stefan had some experience in the restaurant business, which they lacked, through his involvement with a Bread Garden franchise. Mr. Lee and Ms. Lai were told that he might be able to secure them space to open a café. Stefan did secure a lease for Crème for premises located in Vancouver at 466 Granville Street, which became Crème's first outlet.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Lee, Ms. Lai and Stefan developed a business arrangement. Stefan was not made an officer, director or shareholder of Crème because he still had a relationship with Bread Garden, however he was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owner and a partner. He was a partner because he participated in profit sharing (50% to Stefan, 25% to Mr. Lee and 25% to Ms. Lai) and was involved in all key decisions. Stefan's position with Crème was Director of Business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Lee, Ms. Lai and Stefan divided up responsibilities for the operation of Crème. Ms. Lai was the food person, who developed recipes and products. Mr. Lee was in charge of day-to-day operations like hiring staff and ordering inventory. Stefan's role was to seek out opportunities for new locations and, where necessary, negotiate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also Stefan's responsibility to organize and oversee any renovation or construction work that needed to be done in order to open a new café.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Stefan performed that role with respect to the premises at 466 Granville as well as at four other locations that Crème opened from 2012 to 2015. Stefan testified that on each of these projects, he acted as the general contractor and the plaintiff did most of the construction work. Initially the work was done through Sam's Construction and then, beginning in 2013, through Incircle.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I will discuss this point in greater detail below, it is useful to note at this point that no written contracts were produced between Crème and Sam's Construction or Crème and Incircle for any of the work done.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Premises at 200 Granville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or about the fall of 2014, Stefan identified an opportunity to open a new Crème café in a ground floor space at 200 Granville Street, Vancouver (the "Premises"). Stefan negotiated a lease with the landlord on behalf of Crème and signed the lease on behalf of Crème.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space required an extensive build out in order to house the café. As with previous Crème projects, Stefan was in charge of the construction. By the time this project commenced, the plaintiff had largely retired but he continued to assist Stefan with the construction at the Premises on an unpaid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was the case with the previous Crème construction projects, there was no written contract covering the construction at the Premises. Introduced into evidence was an unsigned letter, purportedly dated September 24, 2014, from Ryan Lee to Incircle confirming that Incircle had been selected to do the work at the Premises commencing on November 24, 2014. Mr. Lee testified that, after the Accident, Stefan asked him to write the letter in order to hopefully obtain WCB benefits for his father. Mr. Lee drafted the letter but then decided not to sign it or to use it. Subsequently, Mr. Lee did prepare and sign a letter dated March 25, 2015 addressed "[t]o whom it may concern," in which he states that "[Crème] hired [Incircle] to perform all construction work for the new store location at 200 Granville Street, commencing in November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Incircle issued an invoice to Crème dated March 16, 2015, for a total of $282,324.00 in respect to the construction project. However, the only evidence of any payments are two cheques from Crème to Incircle, one dated March 11, 2015, in the amount of $33,865.15, the other was a certified draft dated September 1, 2015, in the amount of $72,324.00.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February 17, 2015, prior to the Accident, the plaintiff and Stefan were at the Premises doing some final work in anticipation of the café opening. A number of other individuals were also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One of the jobs the plaintiff was doing was installing diffusers in the ceiling. The diffusers are vents for distributing air from the heating, ventilation and air conditioning system which had ducts running throughout the ceiling. The diffusers were 24 and 36 inches long, 2-3 inches wide and weighed about 1-1.5 kilograms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installation process involved inserting the diffusers into slots in the ceiling then attaching them with two screws, one at each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were two ceiling heights in the Premises where the diffusers were to be installed: a 9 foot ceiling and a ceiling that was about 11 feet 4 or 6 inches. There is a divergence in the evidence about the exact height of the higher ceiling, the plaintiff's expert Gerald Sdoutz says 11'6'' and the defendant's expert Craig Brown says 11'4". For ease of reference I will refer to the higher ceiling as the "11 foot ceiling".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Stefan, he assisted the plaintiff in installing the first few diffusers in the 9 foot ceiling. The plaintiff was using an 8 foot ladder (the "Ladder") that he positioned below the ceiling slot. The Ladder was an aluminum "A" frame ladder which had 6 rungs or steps, not including the top or cap. There was also a 10 foot ladder available at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climbed the Ladder and Stefan handed him the diffuser. The plaintiff then inserted the diffuser, held it in place with one hand and screwed in the screws with the other hand, using a screw gun. While the plaintiff was doing this, Stefan held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the first few diffusers were installed, Stefan left the plaintiff to work on his own. That included installing the diffusers in the 11 foot ceiling. The plaintiff continued to use the Ladder for the higher ceiling. Stefan said that the plaintiff had to stand on the second rung down from the top in order to do the work in the higher ceiling. Once Stefan left the plaintiff, there was no one else holding the Ladder or otherwise assisting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direct evidence of how the Accident occurred. Stefan testified that he heard a noise, turned and saw his father falling. This is different from what he told WorkSafe BC ("WSBC") investigator, where he said he did not see his father actually fall. Regardless, Stefan did not say in his evidence what caused the plaintiff to fall. What is clear is that he fell while installing a diffuser in the 11 foot ceiling.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photo was entered into evidence of the diffuser that the plaintiff was installing at the time he fell. While it is not entirely clear from the photo, it appears that one end of the diffuser had been secured in place and the other end had been inserted into the ceiling slot but not secured. The photo also shows a screw lodged in the ceiling just adjacent to the diffuser.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the plaintiff fell, Stefan yelled for someone to call 911 and rushed to his side. The plaintiff was holding his head and Stefan heard him mumbling in Korean "Oh my head". An ambulance arrived and Stefan accompanied his father to the hospital.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WorkSafe BC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Michael Stewart is an investigation officer for WSBC. He is a former police officer, having spent 30 years with the Vancouver Police Department. Mr. Stewart conducted an investigation into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Stewart testified that he is familiar with the relevant workers compensation legislation, including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and related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Stewart attended the Premises on February 19, 2019, two days after the Accident. While there, he spoke with Stefan, Anthony Lee, Crème's store manager, and Devon Wing who was another worker on site. He also took a number of photos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Stewart returned to the Premises on February 25, 2019. On that visit, he took some measurements of the Ladder, including the height and the distance between the rungs. He also obtained from Stefan the dimensions of the diffuser that the plaintiff was installing. At that visit, he also conducted more extensive, recorded interviews of Stefan, Anthony Lee and Devon Wing. I will return to the interview with Stefan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Stewart prepared an Inspection Report dated March 13, 2015. The report identified Crème as the employer and included a direction for Crème to produce a number of documents including Crème's health and safety program, safe work procedures, training procedures, a written contract between Crème and Incircle, Incircle's scope of work and any site orientation provided by Crème to new workers. The final page of the report indicates that it was delivered to Stefan, which Mr. Stewart confirmed. He testified that he also delivered a copy of the report to Ryan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response, Ryan Lee wrote a letter to Mr. Stewart dated March 25, 2015, which stated in part:</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and Safety Program - this document has not been produced as we did not have this in place. We will be referencing the WCB website for guidance on how to create a proper one for going forward.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Safe Work Procedures - Contained in our New Hire Letter...under Work Safety and also verbally instructed by our managers to all new hires and reminded throughout their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contract - we did not create a written contract but had a verbal agreement with [Incircle] to do the construction work for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apparent Crème had some procedures in place to train employees about safety issues relating to the operation of a café, but not in relation to safety on a construction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According to Mr. Stewart, he did not complete his investigation of the Accident. His manager had instructed him that it was determined the plaintiff was not a worker within the meaning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and therefore was not covered by WSBC.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Notice of Incident Report, created February 18, 2015, includes as part of the entry dated May 13,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determined that the injured worker is a sole active principal of a limited company and the company was not registered with WorkSafeBC, therefore he is not considered a worker. There does not appear to be violations of OHS Regulation which may have contributed to the incident and a full investigation will not yield any lessons to be learned.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noted above, Mr. Stewart interviewed Stefan as part of his investigation and it is worth noting some of the statements made by Stefan to Mr. Stewart: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Stefan is the majority owner of Crème;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Incircle was the prime contractor for the renovation work at the Premises;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 charge of Incircle;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written contract between Crème and Incircle, just a verbal agreement between Stefan on behalf of Crème and the plaintiff on behalf of Incircle;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Stefan was on site as the representative of Crème.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an interview with an insurance adjuster, Stefan made similar statements that Incircle was the plaintiff's company and it was contracted by Crème to do the renovation work at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relies on the expert opinion evidence of Gerald Sdoutz, a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Sdoutz prepared an expert report dated March 20, 2019. In his report, Mr. Sdoutz opined that the Ladder used by the plaintiff was not tall enough to safely install the diffusers in the 11 foot ceiling. Using the Ladder would have required the plaintiff to only be in contact with the Ladder with his feet and would not have enabled the plaintiff to maintain a third point of contact with his hand. Mr. Sdoutz further opined that the Ladder used by the plaintiff was damaged and therefore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relies on the expert opinion evidence of two engineers, Craig Brown and Eric Lalli.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Brown prepared an expert report dated February 21, 2019, in which he sets out the results of his inspection of the Ladder. In Mr. Brown's opinion, the Ladder was in "excellent working condition" and its mechanical and structural stability was "excellent, comparable to as-new".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Lalli prepared an expert report dated May 6, 2019, entitled "Ladder Injury Analysis Report". In addition to being a professional engineer, Mr. Lalli has a number of additional occupational health and safety qualifications. It is Mr. Lalli's opinion that the Ladder used by the plaintiff was of sufficient height to permit him to safely work on the 11 foot ceiling. In particular, the plaintiff could have maintained three points of contact with the Ladder by leaning into the Ladder frame while using both hands to work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will address the expert evidence in greater detail below when dealing with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Post-Accident Condition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helpfully prepared an agreed statement of facts that provides many of the relevant details concerning the plaintiff's post-accident condition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a result of the Accident, the plaintiff suffered a traumatic brain injury and acute right subdural hematoma.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was transported to Vancouver General Hospital ("VGH"). He remained at VGH for approximately 6 months and, while there, underwent a number of surgeries. This included a right-sided decompressive craniectomy, a permanent tracheostomy to enable him to breathe and a percutaneous endoscopic gastronomy which enables him to receive nutrition through a feeding tube.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VGH, the plaintiff transferred to the George Pearson Centre ("George Pearson"), a residential care facility for patients with complex needs. The plaintiff was at George Pearson from September 2015 to February 2016, when he transferred to CareLife Fleetwood Residential Care in Surrey ("CareLife"), which is another complex care facility. He remained there until November 14, 2017, at which time he transferred to Purdy where he continues to reside.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remains in a non-verbal vegetative state and requires total assistance with all activities of daily life, including brushing his teeth, washing, shaving and changing his hospital gown. He breathes by way of the tracheostomy and receives nutrition through the feeding tube. His condition is unlikely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Currently, at Purdy, he receives a high level of care from the nurses and other professional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addition, Mrs. Woo spends at least 10-12 hours per day with him providing additional care. Sharine also comes to assist after work 4 to 5 days per week, generally staying for about 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Mrs. Woo and Sharine have been trained by the professional staff to perform some of the necessary care tasks, for example suctioning out Mr. Woo's breathing tube. They also reposition him in bed, massage him and speak to him in Korean.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Mrs. Woo and Sharine have had issues with the care the plaintiff has received at the various facilities. Those concerns are what led the plaintiff to move from George Pearson to CareLife and then to Purdy. While they believe that he receives good care at Purdy, they continue to have some concerns. Essentially, they believe that because of staffing and scheduling issues, the plaintiff does not receive care and attention as frequently as he should. That is in large part why they spend as much time as they do at the facility. They believe that their efforts are helping the plaintiff, for example by eliminating bed sores. They also believe that the plaintiff responds to them and benefits from their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Tom Elliott is a medical expert in the fields of internal medicine, endocrinology and life expectancy. He prepared an expert report dated January 18, 2019, in which he opined on the plaintiff's life expectancy. According to Dr. Elliott, individuals with conditions similar to the plaintiff have a life expectancy in the range of 1.1 to 5.1 years. He estimated the plaintiff's life expectancy to be 3.7 years from the date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Rajiv Reebye is a specialist in physical medicine and rehabilitation who prepared an expert report dated February 25, 2019. Dr. Reebye reviewed various medical records concerning the plaintiff but did not examine him. Based upon that review, Dr. Reebye is of the view that the plaintiff is in a permanent vegetative state and is unable to interact with his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following issues arise: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Crème owe the plaintiff a duty of care?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applicable standard of care and was it breached?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breach cause the plaintiff's injuries?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there be an apportionment of liability?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damages to which the plaintiff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relies on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relevant provisions of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Occupiers' duty of care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Independent contractors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(1) Despite section 3 (1),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 circumstances,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also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test for determining whether a duty of care exists is well-established and has been discussed in numerous cases, including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It involves two elements:</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so that, in the reasonable contemplation of the defendant, carelessness on its part might cause damage to the plaintiff?</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there any consideration which ought to negative or limit the scope of the duty, the class of persons to whom it is owed or the damages that a breach may give rise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Nielsen</w:t>
      </w:r>
      <w:r>
        <w:rPr>
          <w:rFonts w:ascii="arial" w:eastAsia="arial" w:hAnsi="arial" w:cs="arial"/>
          <w:color w:val="000000"/>
          <w:sz w:val="20"/>
          <w:lang w:val="en-US" w:eastAsia="en-US" w:bidi="ar-SA"/>
        </w:rPr>
        <w:t>, at 10-11)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Observations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was considerable evidence adduced about the WSBC investigation; however, that investigation has minimal relevance to the issues now before the Court. As Mr. Stewart acknowledged, his investigation was never completed since it was determined that the plaintiff was not covered by WSBC. Further, the evidentiary record before the Court is far more extensive than what was available to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Crème however, places considerable weight on many of the statements made by Stefan in the course of that investigation, for example his statement that the plaintiff was the primary contractor for the renovation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Many of the statements made by Stefan to Mr. Stewart were contradicted by his evidence at trial. For example, he testified at trial that Incircle was his company and that he, not the plaintiff, acted as the general contractor and was in charge of overseeing the renovation work at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Stefan did not have a compelling explanation for these inconsistencies. At various points he attributed them to the stress he was feeling with respect to his father's fall or to the fact that he may have been drinking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Regardless, it is clear to me that much of what Stefan told Mr. Stewart was false. While that impacts Stefan's credibility and the weight I attach to his testimony at trial, I am nonetheless satisfied that his evidence at trial more accurately reflects the actual state of affairs with respect to Incircle, his role on behalf of Crème as the person responsible for the renovation work and the involvement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particular, I accept that Incircle was Stefan's company. As I noted at paragraph 7 above, I accept Stefan's evidence that the plaintiff was initially named as the sole director because Stefan was an undischarged bankrupt. However, by January 2015, prior to the Accident, Stefan had replaced the plaintiff as the director. This finding is supported by the fact that Stefan continues to operate Incircle.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also accept that by the time of the Accident, the plaintiff was largely retired and was assisting Stefan at the Premises on a voluntary, unpaid basis. These findings help to inform the issue of whether Crème owed the plaintiff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 indicated above, there is no direct evidence about how the Accident happened. There is nothing to suggest that the Ladder was bumped by someone else or that there was some hazard, such as a dirty or slippery floor, that may have caused the Ladder to slip. What may logically be inferred is that the plaintiff, while standing on the Ladder, lost his balance and was unable to right himself. There is again a photograph showing a screw partially inserted into the ceiling adjacent to the diffuser which is consistent with him losing his balance while attempting to install the diffuser.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Crème Owe the Plaintiff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Central to the duty of care issue is the proper characterization of the relationship between Crème on the one hand and the plaintiff on the other, as well as the role of Stefan and Incircle.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submits that Stefan was at all times acting as a principal and/or agent of Crème when overseeing the construction work at the Premises, including when overseeing and directing the plaintiff. As such, Crème owed the duties set out in s.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The plaintiff submits further that by virtue of Stefan's relationship to and involvement in Crème, Incircle was not an independent contractor and, as such, Crème cannot avail itself of s. 5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Crème submits that Incircle was an independent contractor and that it exercised reasonable care in selecting Incircle to do the work. Crème submits further that, as the occupier of the Premises, its duty did not extend to supervising the manner in which an experienced and qualified contractor like the plaintiff carried out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on the evidence that it was Stefan who was carrying out the construction work on the Premises. In doing so, he was acting in his capacity as an owner and partner of Crème, as well as its agent, rather than as an independent, arm's length contractor. A number of facts support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From the inception of their business relationship, it was agreed between Stefan, Mr. Lee and Ms. Lai that it was Stefan's responsibility to source new opportunities and to arrange and supervise all necessary renovation and construction work. It was in that capacity that Stefan managed the construction work at the Premises. While some or all of the work was done through Incircle, the company was merely the vehicle by which Stefan carried out his responsibilities on behalf of Crème. In her evidence, Ms. Lai said that Stefan had oversight of the renovation work on behalf of Crème and that he was Crème's key onsite liaison to ensure that the Premises were built out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Stefan's role in building the business with Mr. Lee and Ms. Lai was coupled with an explicit profit sharing structure. In the absence of any evidence that suggests otherwise, it is clear this venture was a partnership: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R.S.B.C. 1996, c. 348, ss. 2</w:t>
        </w:r>
      </w:hyperlink>
      <w:r>
        <w:rPr>
          <w:rFonts w:ascii="arial" w:eastAsia="arial" w:hAnsi="arial" w:cs="arial"/>
          <w:color w:val="000000"/>
          <w:sz w:val="20"/>
          <w:lang w:val="en-US" w:eastAsia="en-US" w:bidi="ar-SA"/>
        </w:rPr>
        <w:t>, 4(c)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was no written contract between Crème and Incircle, nor between Crème and Sam's Construction, for the work at the Premises or for any of the construction work done at any of the other Crème locations. In every instance, it was Stefan managing and supervising the work in his role as Crème's Director of Business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this regard, I agree with the plaintiff that while Crème and Incircle are distinct legal entities, no documents were produced that would establish an arms length relationship between the two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absence of a written contract is also relevant in respect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Pursuant to s. 118(1)(b), where there is no written contract between an owner and a contractor, the owner is deemed to be the prime contractor. In this case, both the absence of any written contract and the direct relationship between Stefan and Crème lead to the inescapable conclusion that Crème, through Stefan, was supervising the renovation work at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the circumstances, I find that Crème was the occupier of the Premises for the purposes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as such, owed a duty of care to the plaintiff as described in ss. 3(1) and (2)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As a result, the two stage common law duty of care analysis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find further that neither Incircle, nor the plaintiff, were independent contractors within the meaning of s. 5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thus Crème cannot avail itself of that section. Even if Incircle could be characterized as an independent contractor, there is no evidence that Crème took reasonable, or any, care in the selection or supervision of Incircle.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Crème relies on s. 3(3)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which limits an occupier's liability for risks willingly assumed by a person on the subject premises as well as a number of cases that suggest that an occupier has no duty to supervise an experienced and skilled tradesperson in carrying out his duties. I will address these arguments below when considering the applicable standard of care and the issue of whether there has been a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is the Applicable Standard of Care and Was it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 30, the Court described the standard of care under both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these terms: "it is to protect others from an objectively unreasonable risk of harm." According to the Court, the question of whether a risk is objectively unreasonable is one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the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key question therefore is whether the use of the Ladder in the manner undertaken by the plaintiff to install the diffusers in the 11 foot ceiling posed an objectively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cites a number of legislative provisions as well as various authorities in support of his position that the standard of care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For example, the plaintiff relies on various provisions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that impose obligations on owners, employers and supervisors to ensure the health and safety of workers (see for example, ss. 115-19). While the plaintiff concedes that he was not covered under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he submits that these statutory obligations nonetheless inform the standard of care (see </w:t>
      </w:r>
      <w:r>
        <w:rPr>
          <w:rFonts w:ascii="arial" w:eastAsia="arial" w:hAnsi="arial" w:cs="arial"/>
          <w:i/>
          <w:color w:val="000000"/>
          <w:sz w:val="20"/>
          <w:lang w:val="en-US" w:eastAsia="en-US" w:bidi="ar-SA"/>
        </w:rPr>
        <w:t>Pogorzelec v. Wincor Properties Ltd. et al</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2000 BCSC 702</w:t>
        </w:r>
      </w:hyperlink>
      <w:r>
        <w:rPr>
          <w:rFonts w:ascii="arial" w:eastAsia="arial" w:hAnsi="arial" w:cs="arial"/>
          <w:color w:val="000000"/>
          <w:sz w:val="20"/>
          <w:lang w:val="en-US" w:eastAsia="en-US" w:bidi="ar-SA"/>
        </w:rPr>
        <w:t xml:space="preserve"> at para. 50;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at para. 28). The plaintiff relies further on similar provisions in the </w:t>
      </w:r>
      <w:r>
        <w:rPr>
          <w:rFonts w:ascii="arial" w:eastAsia="arial" w:hAnsi="arial" w:cs="arial"/>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in particular, s. 13.6(1)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work cannot be done from a ladder without hazard to a worker, a work platform must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this point, the defendant submits that even if there was a breach of the statutory provisions cited by the plaintiff (which it contends there was not), such a breach does not give rise to a cause of action (</w:t>
      </w:r>
      <w:r>
        <w:rPr>
          <w:rFonts w:ascii="arial" w:eastAsia="arial" w:hAnsi="arial" w:cs="arial"/>
          <w:i/>
          <w:color w:val="000000"/>
          <w:sz w:val="20"/>
          <w:lang w:val="en-US" w:eastAsia="en-US" w:bidi="ar-SA"/>
        </w:rPr>
        <w:t>The Queen (Can.) v. Saskatchewan Wheat Pool</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also relies on a number of cases where plaintiffs were injured while performing services on premises occupied by the defendants:</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Wiens v. Serene Lea Farms Ltd. et al</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2000 BCSC 1306</w:t>
        </w:r>
      </w:hyperlink>
      <w:r>
        <w:rPr>
          <w:rFonts w:ascii="arial" w:eastAsia="arial" w:hAnsi="arial" w:cs="arial"/>
          <w:color w:val="000000"/>
          <w:sz w:val="20"/>
          <w:lang w:val="en-US" w:eastAsia="en-US" w:bidi="ar-SA"/>
        </w:rPr>
        <w:t>, aff'd (</w:t>
      </w:r>
      <w:r>
        <w:rPr>
          <w:rFonts w:ascii="arial" w:eastAsia="arial" w:hAnsi="arial" w:cs="arial"/>
          <w:i/>
          <w:color w:val="000000"/>
          <w:sz w:val="20"/>
          <w:lang w:val="en-US" w:eastAsia="en-US" w:bidi="ar-SA"/>
        </w:rPr>
        <w:t>sub nom. Wiens et al v. Krahn</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2001 BCCA 739</w:t>
        </w:r>
      </w:hyperlink>
      <w:r>
        <w:rPr>
          <w:rFonts w:ascii="arial" w:eastAsia="arial" w:hAnsi="arial" w:cs="arial"/>
          <w:color w:val="000000"/>
          <w:sz w:val="20"/>
          <w:lang w:val="en-US" w:eastAsia="en-US" w:bidi="ar-SA"/>
        </w:rPr>
        <w:t xml:space="preserve"> - The plaintiff was one of a number of men working on constructing a barn roof at a farm owned by the defendant when he fell and sustained a sever brain injury. Mr. Justice Romilly found that the fall occurred when the ladder on which the plaintiff was standing slipped on the manure covered concrete surface below. When the plaintiff initially climbed the ladder, it was held by another individual, who subsequently let go. Mr. Justice Romilly held that the defendant farm and its manager were negligent in failing to take positive action to make the premises safe, specifically by removing manure from the area where it was known that a ladder would be placed. These defendants were found 40% liable. The individual who let go of the ladder was found 30% liable. The plaintiff was found to be contributorily negligent for placing the ladder on a slippery manure covered surface was held 30% liable. The Court of Appeal dismissed the appeal;</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Lettich v. Ocvirk</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(1967), 65 D.L.R. (2d) 690</w:t>
        </w:r>
      </w:hyperlink>
      <w:r>
        <w:rPr>
          <w:rFonts w:ascii="arial" w:eastAsia="arial" w:hAnsi="arial" w:cs="arial"/>
          <w:color w:val="000000"/>
          <w:sz w:val="20"/>
          <w:lang w:val="en-US" w:eastAsia="en-US" w:bidi="ar-SA"/>
        </w:rPr>
        <w:t xml:space="preserve"> (Ont. C.A.) - The plaintiff was a tenant of the defendant landlord and was asked by the defendant to assist in installing a storm window. The plaintiff climbed a ladder supplied by the defendant and one of the rungs broke causing the plaintiff to fall and sustain injuries. The trial judge found the defendant liable and the Court of Appeal dismissed the appeal. The Court of Appeal held that the defendant owed the plaintiff a duty to ensure that the ladder was in a fit condition for the intended use (at 691). This duty was not diminished by virtue of the fact that the plaintiff was a volunteer;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Pringle et al. v. Price</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(1971), 20 D.L.R (3d) 229</w:t>
        </w:r>
      </w:hyperlink>
      <w:r>
        <w:rPr>
          <w:rFonts w:ascii="arial" w:eastAsia="arial" w:hAnsi="arial" w:cs="arial"/>
          <w:color w:val="000000"/>
          <w:sz w:val="20"/>
          <w:lang w:val="en-US" w:eastAsia="en-US" w:bidi="ar-SA"/>
        </w:rPr>
        <w:t xml:space="preserve"> (B.C.C.A.) - The plaintiff was assisting the defendant, who was a friend, in clearing underbrush on the defendant's property and she was injured when a large radio antenna pole fell on her. The trial judge found the defendant liable on the basis that she had failed to maintain a reasonable system of inspection and thus failed to discover the pole had a rotten base and a broken supporting guide wire. The Court of Appeal agreed that this amounted to a breach of the duty owed by the defendant to the plaintiff (see for example, at 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submits that Stefan, as the supervising representative of Crème, owed a duty to ensure that the Ladder used by the plaintiff was suitable for the task at hand and failed to recognize that the use of an 8 foot ladder to install the diffusers in the 11 foot ceiling constituted an objectively unreasonable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relies on a number of cases where it has been held that an occupier's duty does not extend to supervising an experienced tradesperson in the carrying out of his or her occupation:</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Beronja v. Nagra et al</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2004 BCSC 371</w:t>
        </w:r>
      </w:hyperlink>
      <w:r>
        <w:rPr>
          <w:rFonts w:ascii="arial" w:eastAsia="arial" w:hAnsi="arial" w:cs="arial"/>
          <w:color w:val="000000"/>
          <w:sz w:val="20"/>
          <w:lang w:val="en-US" w:eastAsia="en-US" w:bidi="ar-SA"/>
        </w:rPr>
        <w:t xml:space="preserve"> - The plaintiff was hired by the defendants to paint the interior of their home. When that job was done, he went onto the defendant's roof to reattach a television cable wire that had become disconnected. While descending, he fell off the ladder he had used to access the roof and was injured. Madam Justice Wedge dismissed the claim on a summary trial. She held that as occupiers, the defendants' duty was to take reasonable care to see that persons using the premises were reasonably safe. However: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 They were not under a duty, in the circumstances, to supervise [the plaintiff's] use of the ladder or assist him in its use. This very unfortunate accident was not the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Wray v. MacLeod</w:t>
      </w:r>
      <w:r>
        <w:rPr>
          <w:rFonts w:ascii="arial" w:eastAsia="arial" w:hAnsi="arial" w:cs="arial"/>
          <w:color w:val="000000"/>
          <w:sz w:val="20"/>
          <w:lang w:val="en-US" w:eastAsia="en-US" w:bidi="ar-SA"/>
        </w:rPr>
        <w:t>, 1992 CanLII 156 (B.C.S.C.) - The plaintiff was the mother-in-law of the defendant and had gone to his home with her husband to assist the defendant and his wife (the plaintiff's daughter) with some repairs and renovations. The plaintiff was standing on a six foot wooden step ladder while painting some roof joists over an outdoor patio when she fell and injured herself. Mr. Justice Provenzano dismissed the plaintiff's claim against the defendant. He noted that while there was some obvious lateral instability in the ladder, which would have been readily noticeable by anyone using it, the ladder was reasonably safe. In his view, the plaintiff's fall was not caused by the construction of the ladder but rather by its use. The plaintiff had used the ladder for sometime before her fall and thus would have been aware of its condition (at 12). As such, there was no duty to warn. Justice Provenzano further held that the plaintiff had willingly accepted the risks associated with the ladder (at 13).</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Osmond v. Watkins</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2018 ONCA 386</w:t>
        </w:r>
      </w:hyperlink>
      <w:r>
        <w:rPr>
          <w:rFonts w:ascii="arial" w:eastAsia="arial" w:hAnsi="arial" w:cs="arial"/>
          <w:color w:val="000000"/>
          <w:sz w:val="20"/>
          <w:lang w:val="en-US" w:eastAsia="en-US" w:bidi="ar-SA"/>
        </w:rPr>
        <w:t xml:space="preserve"> - The appellant was hired by the respondents to construct a two-story front porch at their home. He was injured when he fell from the roof of the porch. The appellants claim was dismissed on a summary judgment application and the Court of Appeal declined his appeal. The Court of Appeal, at para. 5, referenced the reasons of the motion judge, who in turn cited </w:t>
      </w:r>
      <w:r>
        <w:rPr>
          <w:rFonts w:ascii="arial" w:eastAsia="arial" w:hAnsi="arial" w:cs="arial"/>
          <w:i/>
          <w:color w:val="000000"/>
          <w:sz w:val="20"/>
          <w:lang w:val="en-US" w:eastAsia="en-US" w:bidi="ar-SA"/>
        </w:rPr>
        <w:t>Mahe v. Boulianne</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2010 ABCA 32</w:t>
        </w:r>
      </w:hyperlink>
      <w:r>
        <w:rPr>
          <w:rFonts w:ascii="arial" w:eastAsia="arial" w:hAnsi="arial" w:cs="arial"/>
          <w:color w:val="000000"/>
          <w:sz w:val="20"/>
          <w:lang w:val="en-US" w:eastAsia="en-US" w:bidi="ar-SA"/>
        </w:rPr>
        <w:t xml:space="preserve"> at paras. 11, 12, 15. where the following was said about the applicable standard of care in similar cases: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visitor is a trained professional or tradesman who is retained by the occupier to provide skilled work, the duty of the occupier only encompasses the safety of the premises, but does not extend to telling the visitor how to practice his occupation.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must be remembered that where a lay customer engages a professional or tradesman, it is presumed that the tradesman knows how to do the work. ... If the tradesman fails to do the work properly or safely, he cannot blame his customer on the basis that the customer should have known better.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appellant's duty, as the occupier of the premises, was to ensure that the premises were reasonably safe. He had no overriding duty to monitor whether the practices followed by the professional electrician respondent were safe. The work had certain inherent and obvious risks, particularly the risk of falling, which were well-known to the respondent.</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Fochler v. Dancer-Poulin &amp; Barnes</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2007 BCSC 294</w:t>
        </w:r>
      </w:hyperlink>
      <w:r>
        <w:rPr>
          <w:rFonts w:ascii="arial" w:eastAsia="arial" w:hAnsi="arial" w:cs="arial"/>
          <w:color w:val="000000"/>
          <w:sz w:val="20"/>
          <w:lang w:val="en-US" w:eastAsia="en-US" w:bidi="ar-SA"/>
        </w:rPr>
        <w:t xml:space="preserve"> - The plaintiff, an acquaintance of the defendant, volunteered to fix some leaks in the roof of the defendant's manufactured home. The plaintiff positioned a ladder on a damp deck in order to access the roof. Both the plaintiff and the defendant used the ladder to access the roof and they did so without any difficulty. The parties had forgotten a particular tool so the plaintiff got back on the ladder to descend. As she was doing so, the ladder slid out from under her and she was injured.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Justice Chamberlist reviewed numerous cases involving ladder accidents and observed at paras. 69-70: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[69] All of these cases demonstrate that ladders and scaffolding have been the subject of many decisions in and out of British Columbia. Ladders are a device that are dangerous and extreme caution must be used when placing, ascending and descending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[70] ... the plaintiff has not proved how the accident occurred nor has she proven any negligent conduct on behalf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concluded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[78] In this case I am satisfied that there was no breach of any duty that was owed by the defendant ... to the plaintiff. The plaintiff had positioned the ladder and was aware of the damp surface of the deck upon which it was placed. While she had some initial concerns about its placement she nevertheless ascended it. She did not ask for assistance in descending the ladder. She was knowledgeable in the use of ladders and the defendant was not. The position of the ladder had not changed from when she first ascended it. She did not request [the defendant] to hold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I have indicated, central to the standard of care analysis is the question of whether an 8 foot ladder was suitable or appropriate for the work being undertaken or whether it gave rise to an objectively unreasonable risk. This question is addressed in the expert evidence relied on by the parties, which I briefly summarized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experts considered whether the Ladder was suitable both in terms of its condition, i.e. whether it was damaged and therefore unsafe, and in terms of its height in relation to the 11 foot ceiling.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first point, the evidence established that three of the rear cross support pieces were slightly bent which resulted in a narrowing of the space between the rear feet, by about 10 millimetres. The evidence also suggested that the plastic feet of the Ladder were scuffed and worn and one of the rear feet was missing a piece.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Sdoutz opined that given the condition of the Ladder, it was not safe to be used. However, he did not undertake any testing to determine if the integrity or stability of the Ladder was in fact compromised by the relatively minor damage. His opinion on this point is largely speculative. Similarly, Mr. Brown did not test the Ladder beyond apparently standing on it and, as such, his opinion that the stability of the Ladder was "excellent, comparable to as-new" is somewhat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Regardless, there is nothing in the evidence that would allow me to conclude, or even infer, that it was the condition of the Ladder that caused the plaintiff to fall. Again, there was also nothing in the evidence to indicate that there were other hazards present, for example a dirty or slippery floor that would have caused or contributed to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 respect to the height of the Ladder, Mr. Sdoutz opined that it was not tall enough to permit the plaintiff to safely install a diffuser in the 11 foot ceiling, which he again measured at 11'6''. In reaching his opinion, he relied on guidelines published by the Canadian Centre for Occupational Health and Safety ("CCOHS") that recommend that a step ladder should be about one meter or three feet shorter than the highest point needed to be reached using the ladder. It was common ground between Mr. Sdoutz and Mr. Lalli that the 8 foot Ladder in fact was 7'6'' tall at its peak, thus according to Mr. Sdoutz, the maximum ceiling height that could properly be reached using the 8 foot Ladder was 10'6", well short of the ceiling height of either 11'4" or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Sdoutz also noted the WSBC requirement that a worker be able to maintain three points of contact on a ladder at all times. If the plaintiff was standing on the second to last rung from the top of the Ladder, given his height of about 5'7", he would not have been able to reach down far enough to maintain a third point of contact using a free hand (the first two points of contact being his feet on the rung). In contrast, if a 10 foot ladder had been used, the plaintiff would have been able to use his hand for a third point of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Mr. Lalli expresses a contrary opinion to Mr. Sdoutz. He notes that the CCOHS guidelines referred to by Mr. Sdoutz have no regulatory force. Mr. Lalli cites the requirements of the </w:t>
      </w:r>
      <w:r>
        <w:rPr>
          <w:rFonts w:ascii="arial" w:eastAsia="arial" w:hAnsi="arial" w:cs="arial"/>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which require that ladders must comply with applicable Canadian Standards Association ("CSA") or American National Standards Institute ("ANSI")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Under the CSA standards for portable ladders (CSA standard Z11-12), the maximum work height for a step ladder is determined by adding the user's height and safe reach to the highest standing level dimension for the particular ladder, meaning the highest point on the ladder on which it is safe to stand. For an 8 foot ladder, the CSA standard recommends a highest standing level of 6 feet. The "safe reach" is the distance that a user can reach overhead while maintaining three-point contact with the ladder and the belt buckle between the side rails (i.e. while remaining centered on the ladder). Mr. Lalli uses a "conservative" safe reach of one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Using the CSA recommended maximum standing height of 6 feet and adding the plaintiff's height of 5'7" and a one foot safe reach distance, results in a maximum work height of 12'7", well above the 11'4" or 6" ceiling. According to Mr. Lalli, the second to last rung on the subject Ladder, on which the plaintiff was likely standing, has an actual height of 5'7.5" which still results in a maximum work height of 12'2.5". Mr. Lalli states that the 8 foot Ladder therefore met the statutory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Lalli also refers to cl. 10.4.2 of CSA standard Z11-12 which deals specifically with the use of portable step ladders. That clause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user shall climb or work with the body near the middle of the step or rung. The user shall not stand higher than the level indicated on the label. The user shall not stand on a rung higher than the fourth rung below the top of the ladder, and the user shall maintain three-point contact at all times or use fall protection equipment in accordance with applicable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Various other publications cited by Mr. Lalli also state that the user should not stand higher than the level indicated on the ladder's label. However, the label attached to the Ladder, as depicted in photographs entered into evidence, does not indicate the top rung on which it is safe to stand. The label simply warns against standing on the top or cap of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publications cited by Mr. Lalli also confirm the necessity of the user being able to maintain three points of contact. The CSA standard does not specify how three points of contact are to be maintained, however the ANSI standards dealing with portable ladders stipulate that contact may be maintained by i) leaning into the ladder and using the body as the third contact point, or ii) using a hand to hold onto the ladder. WSBC also has publications, referred to by Mr. Lalli, depicting how contact may be maintained. These publications show a worker standing on a step ladder and using one free hand to grip or brace against a fixed structure like a wall joist.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Lalli did not take issue with the fact that if the plaintiff was standing on the second rung down from the top of the Ladder, he could not reach the top to establish a third point of contact with his hand. However, it was Mr. Lalli's opinion that the plaintiff could maintain contact by leaning into the Ladder with his shins and/or by using a hand to brace against the ceiling or grip the opening in which the diffuser was being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are problems with this opinion. It does not account for the fact that the nature of the work being done by the plaintiff required him to use both hands: one to hold the diffuser in place and the other to operate the screw gun. Thus, it was not open to the plaintiff to use one hand to establish or maintain a third point of contact. Even if he could, it is not clear that there was anything for him to grip onto. Pushing a hand against the ceiling is vastly different than gripping a fixed wall joist. Using the diffuser itself for support or balance was also not a viable option given that it was not yet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That means that the only viable means of establishing or maintain three points of contact would have been for the plaintiff to lean into the Ladder. Assuming he was standing on the second rung from the top, this would have involved him leaning his shins into the higher rung. The Ladder however has a slope to it which would require the user to lean into the slope while at the same time using both hands to reach straight above. In cross-examination, Mr. Lalli agreed that he did not factor the slope into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Lalli noted in his report the danger of overreaching sideways while using the Ladder. The diffusers were 24" and 36" long, meaning that if the plaintiff had centered the ladder under the diffuser, he would have had to reach 12" to 16" to each side in order to insert screws at the ends of the diffusers. If the Ladder was not centered, the risk of overreaching sideways would have increased which in turn would have made it even more difficult for the plaintiff to maintain a third point of contact using his shins or lower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accept that as between Mr. Sdoutz and Mr. Lalli, Mr. Lalli has more direct experience with the issue of ladder safety and is more knowledgeable about the regulatory framework governing the use of ladders. However, I do not accept his opinion that the 8 foot Ladder was suitable and safe for the work the plaintiff was doing installing diffusers in the 11 foot ceiling.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Viewed objectively, the concept of a worker standing on the second or third rung from the top of a sloped step ladder, five or six feet above the floor, using both hands to hold and attach a diffuser into the ceiling with no ability to reach out and grab anything to stabilize himself is manifestly unsafe and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This brings me back to the question of the defendant's standard of care and whether it had an obligation to supervise the plaintiff in carrying out his work. In my view, the cases relied on by the defendant in support of its position to the contrary are distinguishable on two principal grounds:</w:t>
      </w:r>
      <w:r>
        <w:rPr>
          <w:rFonts w:ascii="arial" w:eastAsia="arial" w:hAnsi="arial" w:cs="arial"/>
          <w:sz w:val="20"/>
          <w:lang w:val="en-US" w:eastAsia="en-US" w:bidi="ar-SA"/>
        </w:rPr>
        <w:cr/>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those cases, there was no allegation that the ladder being used was improper, unsuitable or "inherently unsafe" for the work being done (as stated by Wedge J. in </w:t>
      </w:r>
      <w:r>
        <w:rPr>
          <w:rFonts w:ascii="arial" w:eastAsia="arial" w:hAnsi="arial" w:cs="arial"/>
          <w:i/>
          <w:color w:val="000000"/>
          <w:sz w:val="20"/>
          <w:lang w:val="en-US" w:eastAsia="en-US" w:bidi="ar-SA"/>
        </w:rPr>
        <w:t>Beronja</w:t>
      </w:r>
      <w:r>
        <w:rPr>
          <w:rFonts w:ascii="arial" w:eastAsia="arial" w:hAnsi="arial" w:cs="arial"/>
          <w:color w:val="000000"/>
          <w:sz w:val="20"/>
          <w:lang w:val="en-US" w:eastAsia="en-US" w:bidi="ar-SA"/>
        </w:rPr>
        <w:t xml:space="preserve">, at para. 40, distinguishing </w:t>
      </w:r>
      <w:r>
        <w:rPr>
          <w:rFonts w:ascii="arial" w:eastAsia="arial" w:hAnsi="arial" w:cs="arial"/>
          <w:i/>
          <w:color w:val="000000"/>
          <w:sz w:val="20"/>
          <w:lang w:val="en-US" w:eastAsia="en-US" w:bidi="ar-SA"/>
        </w:rPr>
        <w:t>Wiens</w:t>
      </w:r>
      <w:r>
        <w:rPr>
          <w:rFonts w:ascii="arial" w:eastAsia="arial" w:hAnsi="arial" w:cs="arial"/>
          <w:color w:val="000000"/>
          <w:sz w:val="20"/>
          <w:lang w:val="en-US" w:eastAsia="en-US" w:bidi="ar-SA"/>
        </w:rPr>
        <w:t>). As such, the risk of harm was not as readily apparent. In contrast, here I have found that the 8 foot Ladder was clearly unsuitable for the work; and</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cases all involved work done at residential homes where the defendants had no particular experience or expertise and there was no requirement or expectation that they would supervise the work. Here, the work was being done on a commercial construction site where Stefan was specifically charged with overseeing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Despite that obligation, on the evidence, there was no meaningful supervision of the plaintiff and how he carried out his work and no attention paid by Crème to ensuring that the activity being conducted on the Premises was reasonably safe: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ss. 3(1), 3(2)(b)..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It is worth reiterating my earlier finding that s. 5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apply in this case. Neither Incircle, nor the plaintiff, were independent contractors. Even if Incircle could be characterized as an independent contractor, there is no evidence that Crème took reasonable, or any, care in the selection or supervision of Incircle 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submits that imposing a duty on owners or occupiers to supervise the activity of qualified tradespersons would be unduly onerous and would likely be beyond the knowledge or expertise of many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disagree. First, s. 5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requires supervision in the context of independent contractors (</w:t>
      </w:r>
      <w:r>
        <w:rPr>
          <w:rFonts w:ascii="arial" w:eastAsia="arial" w:hAnsi="arial" w:cs="arial"/>
          <w:i/>
          <w:color w:val="000000"/>
          <w:sz w:val="20"/>
          <w:lang w:val="en-US" w:eastAsia="en-US" w:bidi="ar-SA"/>
        </w:rPr>
        <w:t>Grochowich v. Okanagan University College</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2004 BCCA 325</w:t>
        </w:r>
      </w:hyperlink>
      <w:r>
        <w:rPr>
          <w:rFonts w:ascii="arial" w:eastAsia="arial" w:hAnsi="arial" w:cs="arial"/>
          <w:color w:val="000000"/>
          <w:sz w:val="20"/>
          <w:lang w:val="en-US" w:eastAsia="en-US" w:bidi="ar-SA"/>
        </w:rPr>
        <w:t xml:space="preserve"> at para. 23). A lesser duty in a situation when this exclusionary provision does not apply would be inconsistent with the legislation. Second, the obligation of owners and occupiers is not to supervise or direct tradespersons in every aspect of how they carry out their work. Rather, it is to take reasonable steps to protect persons on the premises from an "objectively unreasonable risk of harm" (</w:t>
      </w:r>
      <w:r>
        <w:rPr>
          <w:rFonts w:ascii="arial" w:eastAsia="arial" w:hAnsi="arial" w:cs="arial"/>
          <w:i/>
          <w:color w:val="000000"/>
          <w:sz w:val="20"/>
          <w:lang w:val="en-US" w:eastAsia="en-US" w:bidi="ar-SA"/>
        </w:rPr>
        <w:t>Agar</w:t>
      </w:r>
      <w:r>
        <w:rPr>
          <w:rFonts w:ascii="arial" w:eastAsia="arial" w:hAnsi="arial" w:cs="arial"/>
          <w:color w:val="000000"/>
          <w:sz w:val="20"/>
          <w:lang w:val="en-US" w:eastAsia="en-US" w:bidi="ar-SA"/>
        </w:rPr>
        <w:t xml:space="preserve"> at para. 30) in respect of the condition of the premises, activities on the premises or the conduct of third parties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 3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At a minimum, that must involve maintaining an adequate system of supervision and intervening to stop manifestly unsafe activities or procedures. To suggest otherwise would be to permit owners and occupiers to turn a blind eye, if not to sanction, unsafe practices with no fear of liability. In my respectful view, that position is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This by no means is intended to excuse tradespersons who engage in unsafe practices. That approach is equally untenable in that it would effectively establish owners and occupiers as insurers of all workers who attend their premises. That is not the objective of the occupier's liability regime or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will return to the question of the plaintiff's responsibility or liability for the Accident below when I consider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summary on the duty of care and standard of care issues, I find that Crème owed the plaintiff a duty of care and that it breached the applicable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Crème's Breach Cause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and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As is also noted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at para. 9,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While there is again no direct evidence of exactly what caused the plaintiff to fall, as set out above in para. 70, it can fairly be inferred that the plaintiff lost his balance while attempting to install a diffuser in the 11 foot ceiling and he was unable to right himself because there was nothing for him to grip onto. I am satisfied that this was a direct result of the fact that the Ladder was unsuitable for the work the plaintiff was doing. I am further satisfied that had Crème, in the person of Stefan, provided any reasonable degree of supervision, he would have recognized that the use of the Ladder was inappropriate and constituted an objectively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the circumstances, I have no difficulty concluding that Crème's breach caused the plaintiff's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While I have found that the plaintiff's injuries were caused by Crème's breach, the plaintiff is not free of any responsibility for the Accident. I am satisfied that his own conduct was a significant contributing factor to the Accident and his resulting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25, Mr. Justice Tysoe adopted the description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9th ed. (Sydney: LBC Information Services, 1998) at 302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plaintiff's failure to meet the standard of care to which he is required to conform for his own protection and which is a legally contributing cause, together with the defendant's default, in bringing about his injury. The term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unfortunately not altogether free from ambiguity. In the first place,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here used in a sense different from that which it bears in relation to a defendant's conduct. It does not necessarily connote conduct fraught with undue risk to </w:t>
      </w:r>
      <w:r>
        <w:rPr>
          <w:rFonts w:ascii="arial" w:eastAsia="arial" w:hAnsi="arial" w:cs="arial"/>
          <w:i/>
          <w:color w:val="000000"/>
          <w:sz w:val="20"/>
          <w:lang w:val="en-US" w:eastAsia="en-US" w:bidi="ar-SA"/>
        </w:rPr>
        <w:t>others</w:t>
      </w:r>
      <w:r>
        <w:rPr>
          <w:rFonts w:ascii="arial" w:eastAsia="arial" w:hAnsi="arial" w:cs="arial"/>
          <w:color w:val="000000"/>
          <w:sz w:val="20"/>
          <w:lang w:val="en-US" w:eastAsia="en-US" w:bidi="ar-SA"/>
        </w:rPr>
        <w:t xml:space="preserve">, but rather failure on the part of the person injured to take reasonable care of himself in his </w:t>
      </w:r>
      <w:r>
        <w:rPr>
          <w:rFonts w:ascii="arial" w:eastAsia="arial" w:hAnsi="arial" w:cs="arial"/>
          <w:i/>
          <w:color w:val="000000"/>
          <w:sz w:val="20"/>
          <w:lang w:val="en-US" w:eastAsia="en-US" w:bidi="ar-SA"/>
        </w:rPr>
        <w:t>own</w:t>
      </w:r>
      <w:r>
        <w:rPr>
          <w:rFonts w:ascii="arial" w:eastAsia="arial" w:hAnsi="arial" w:cs="arial"/>
          <w:color w:val="000000"/>
          <w:sz w:val="20"/>
          <w:lang w:val="en-US" w:eastAsia="en-US" w:bidi="ar-SA"/>
        </w:rPr>
        <w:t xml:space="preserve"> interest. ... Secondly, the term "contributory" might misleadingly suggest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concurring with the defendant's, must have contributed to the </w:t>
      </w:r>
      <w:r>
        <w:rPr>
          <w:rFonts w:ascii="arial" w:eastAsia="arial" w:hAnsi="arial" w:cs="arial"/>
          <w:i/>
          <w:color w:val="000000"/>
          <w:sz w:val="20"/>
          <w:lang w:val="en-US" w:eastAsia="en-US" w:bidi="ar-SA"/>
        </w:rPr>
        <w:t>accident</w:t>
      </w:r>
      <w:r>
        <w:rPr>
          <w:rFonts w:ascii="arial" w:eastAsia="arial" w:hAnsi="arial" w:cs="arial"/>
          <w:color w:val="000000"/>
          <w:sz w:val="20"/>
          <w:lang w:val="en-US" w:eastAsia="en-US" w:bidi="ar-SA"/>
        </w:rPr>
        <w:t xml:space="preserve"> in the sense of being instrumental in bringing it about. Actually, it means nothing more than his failure to avoid getting hurt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Where it is shown that a plaintiff was contributorily negligent, then the court must also consider the proper apportionment of liability as between the parties. In this regard, s. 1(1)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Mr. Justice Cohen described the approach to apportionment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(1), requires that apportionment of liability must be made on the basis of "the degree to which each person was at fault". As stated in </w:t>
      </w:r>
      <w:r>
        <w:rPr>
          <w:rFonts w:ascii="arial" w:eastAsia="arial" w:hAnsi="arial" w:cs="arial"/>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at para. 19 (C.A.), the assessment to be made is of degrees of fault, not degrees of causation, with "fault" meaning blameworthiness. Courts must gauge the amount by which each proximate and effective causative agent fell short of the standard of care that was required of that person in all of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In assessing the respective fault and blameworthiness of the parties as contemplated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courts are to evaluate the extent or degree to which each party departed from the standard of care each party owed under the circumstances: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 Finch J.A. (as he then was) described the range of blameworthiness,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See as well: </w:t>
      </w:r>
      <w:r>
        <w:rPr>
          <w:rFonts w:ascii="arial" w:eastAsia="arial" w:hAnsi="arial" w:cs="arial"/>
          <w:i/>
          <w:color w:val="000000"/>
          <w:sz w:val="20"/>
          <w:lang w:val="en-US" w:eastAsia="en-US" w:bidi="ar-SA"/>
        </w:rPr>
        <w:t>Aberdeen v. Township of Langley, Zanatta, Cassels</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paras. 54-63, for a thorough discussion of the principles governing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considering the degree to which the plaintiff was at fault for the Accident, his experience is a relevant factor. In his written submissions, the plaintiff sought to downplay that experience, stating at para. 390: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establish that the plaintiff was a professional or highly skilled tradesperson, hired by a lay customer who would be entitled to rely on the tradesperson's skill and experience. Rather, the plaintiff had some skill as a labourer or handyman renovating a residential property, but not someone who had the knowledge or experience to properly assess the risk posed by using an 8-foot ladder in the circumstances leading to the [Accident]. He had been a general contractor in the distant past but due to [an] inability to communicate in English, and with the assistance of his wife who translated for him, he ran a small reno business servicing mostly the Korean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my view, this understates the knowledge and experience of the plaintiff. According to Mrs. Woo, before she and the plaintiff came to Canada he worked as a general contractor and built houses. After coming to Canada in 1990, the plaintiff continued as a general contractor doing renovation work. Prior to the Accident, he worked on several of the Crème renovation projects. Stefan agreed that the plaintiff was an experienced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the time of the Accident, while the plaintiff was working under the supervision of Stefan, as Stefan acknowledged, he would not instruct his father on how to do his work. It can fairly be inferred that it was the plaintiff who chose the 8 foot Ladder for the job of installing the diffusers. Again, Stefan worked with him while he installed the first few in the 9 foot ceiling, however Stefan left before the plaintiff moved to the 11 foot ceilings. It can also be fairly inferred that it was the plaintiff who decided to continue on using the 8 foot Ladder notwithstanding the increased ceiling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That decision, in particular the plaintiff's failure to assess the risk or appreciate the danger of using an inadequate ladder, demonstrated a significant disregard for his own safety. At the same time, as set out above, in permitting the plaintiff to continue as he was, Crème failed its duty to ensure proper supervision and to address or eliminate objectively unreasonable risks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the circumstances, the plaintiff and Crème are equally at fault and I apportion liability between them at 50% 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will deal first with the claim for cost of future care as this will to some degree inform my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 the Court of Appeal confirmed the well established test for future care damages emanating from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test for assessing future care costs is well-settled: the test is whether the costs are reasonable and whether the items are medically necessary: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page 78; affirmed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for future care is based on what is reasonably necessary to promote the mental and physical health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McLachlin J., as she then was, then went on to state what has become the frequently cited formulation of the "test" for future care awards at page 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relies on a cost of future care report prepared by Sholeh Salehi, an occupational therapist, in which she recommends various future treatment and care items for the plaintiff, as well as the report of an economist Mark Szekely, who provides a methodology for determining the present value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should note at this point that there was some uncertainty at trial about whether the plaintiff can or will remain at Purdy for the remainder of his life. Given this uncertainty, the parties agreed to defer consideration of a possible future care cost for residential care until after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will deal with each of the other claimed items in turn:</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 the plaintiff is currently on a number of medications all of which are covered by BC Pharmacare or are provided by Purdy. Ms. Salehi however recommends an annual allowance of $500 - $1,000 for medications that may not be covered. In my respectful view, this claim is speculative in that all of the plaintiff's medications have been covered to date and there is no indication that will change. Accordingly, there is no basis to an award a sum for future medication costs;</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Medical/Rehabilitation Equipment - Ms. Salehi recommends a manual tilt wheelchair for the plaintiff, along with a special cushion and a particular type of mattress. She notes that these items are currently provided by Purdy but the recommendation is based on the possibility that the institution may no longer do so. Again, this is speculative and there is no evidence that the plaintiff's equipment needs are not, or will not in the future, be fully met by Purdy. I decline to make an award for these items; and</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Licenced practical nurse ("LPN") to provide additional care - Ms. Soleh recommends that the plaintiff receive the services of a LPN for four hours per day, seven days per week. The intent is to allow needed respite for Mrs. Woo and Sharine and to provide the plaintiff with a level of care beyond what Purdy can give him. This would involve assistance with movement and exercise, suctioning and other aspects of his daily needs. Ms. Soleh estimates the cost of such care at about $75,000 per year. I accept that services of this type would benefit the plaintiff in terms of providing an additional level of care and would also benefit his family. However, I agree with Crème that the services are not medically justified given that the plaintiff resides in a specialized, fully-funded complex care facility. To the extent that additional services would fill a gap left by the public services, or would supplement those services, this is more properly considered as an element of a non-pecuniary award. Additionally, there is an intrust claim in respect of the care provided by both Mrs. Woo and Sharine that I will address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For these reasons, I am not satisfied that the plaintiff has established an entitlement to any future care costs above what he will receive from Purdy or otherwise through the public healthcare system.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parties agree on the approach to assessing non-pecuniary damages but disagree fundamentally on how that approach is to be applied in this case. The plaintiff submits that given the catastrophic nature of his injuries and the devastating impact on his life, damages should be assessed at or near the high end of the scale. The defendant submits that given the fact that the plaintiff is in a vegetative state and cannot comprehend the extent of his loss, the damages should be relatively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Both parties cite the seminal case of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where the Supreme Court described the objective of non-pecuniary damages and established the functional approach to assessing such damages. Mr. Justice Dickson, as he then was, said at 261-62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 "functional" approach ... attempts to assess the compensation required to provide the injured person "with reasonable solace for his misfortune." "Solace" in this sense is taken to mean physical arrangements which can make his life more endurable rather than "solace" in the sense of sympathy. To my mind, this last approach has much to commend it, as it provides a rationale as to why money is considered compensation for non-pecuniary losses such as loss of amenities, pain and suffering, and loss of expectation of life. Money is awarded because it will serve a useful function in making up for what has been lost in the only way possible, accepting that what has been lost is incapable of being replaced in any direct way. As Windeyer J. said in </w:t>
      </w:r>
      <w:r>
        <w:rPr>
          <w:rFonts w:ascii="arial" w:eastAsia="arial" w:hAnsi="arial" w:cs="arial"/>
          <w:i/>
          <w:color w:val="000000"/>
          <w:sz w:val="20"/>
          <w:lang w:val="en-US" w:eastAsia="en-US" w:bidi="ar-SA"/>
        </w:rPr>
        <w:t>Skelton v. Collins, supra</w:t>
      </w:r>
      <w:r>
        <w:rPr>
          <w:rFonts w:ascii="arial" w:eastAsia="arial" w:hAnsi="arial" w:cs="arial"/>
          <w:color w:val="000000"/>
          <w:sz w:val="20"/>
          <w:lang w:val="en-US" w:eastAsia="en-US" w:bidi="ar-SA"/>
        </w:rPr>
        <w:t>, at p. 495: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he is, I do not doubt, entitled to compensation for what he suffers. Money may be compensation for him if having it can give him pleasure or satisfaction... But the money is not then a recompense for a loss of something having a money value. It is given as some consolation or solace for the distress that is the consequence of a loss on which no monetary value can be put.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damages for non-pecuniary loss are viewed from a functional perspective, it is reasonable that large amounts should not be awarded once a person is properly provided for in terms of future care for his injuries and disabilities. The money for future care is to provide physical arrangements for assistance, equipment and facilities directly related to the injuries. Additional money to make life more endurable should then be seen as providing more general physical arrangements above and beyond those relating directly to the injuries. The result is a coordinated and interlocking basis for compensation, and a more rational justification for non-pecuniary loss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the Supreme Court affirmed the functional approach. Justice Dickson said at 637: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at p. 284 of S.C.R.).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Justice Dickson went on to discuss the rationale underlying the establishment of an upper limit on non-pecuniary damages, at 639-640: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already indicated that the social costs of the award cannot be controlling when assessing damages for loss of income and the cost of future care. The plaintiff must be provided with a fund of money which will provide him with adequate, reasonable care for the rest of his life. The social impact of the award must be considered, however, in calculating the damages for non-pecuniary loss. There are a number of reasons for this. First, the claim of a severely injured plaintiff for damages for non-pecuniary loss is virtually limitless. This is particularly so if we adopt the functional approach and award damages according to the use which can be made of the money. There are an infinite number of uses which could be suggested in order to improve the lot of the crippled plaintiff. Moreover, it is difficult to determine the reasonableness of any of these claims. There are no accurate measures available to guide decision in this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second factor that must be considered is that we have already fully compensated the plaintiff for his loss of future earnings. Had he not been injured, a certain portion of these earnings would have been available for amenities. Logically, therefore, even before we award damages under the head of non-pecuniary loss, the plaintiff has certain funds at his disposal which can be used to provide a substitute for lost amenities. This consideration indicates that a moderate award for non-pecuniary damages is justified.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third factor is that damages for non-pecuniary loss are not really 'compensatory'. The purpose of making the award is to substitute other amenities for those that have been lost, not to compensate for the loss of something with a money value. Since the primary function of the law of damages is compensation, it is reasonable that awards for non-pecuniary loss, which do not fulfil this function, should be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Both parties cite a number of cases in which the functional approach has been applied in the context of catastrophic injury claims. The plaintiff relies on the following:</w:t>
      </w:r>
      <w:r>
        <w:rPr>
          <w:rFonts w:ascii="arial" w:eastAsia="arial" w:hAnsi="arial" w:cs="arial"/>
          <w:sz w:val="20"/>
          <w:lang w:val="en-US" w:eastAsia="en-US" w:bidi="ar-SA"/>
        </w:rPr>
        <w:cr/>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Chow v. Hiscock</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2005 BCSC 1933</w:t>
        </w:r>
      </w:hyperlink>
      <w:r>
        <w:rPr>
          <w:rFonts w:ascii="arial" w:eastAsia="arial" w:hAnsi="arial" w:cs="arial"/>
          <w:color w:val="000000"/>
          <w:sz w:val="20"/>
          <w:lang w:val="en-US" w:eastAsia="en-US" w:bidi="ar-SA"/>
        </w:rPr>
        <w:t xml:space="preserve"> - The plaintiff was the subject of a vicious assault that left him in a permanent semi-vegetative state, requiring 24 hour a day care, 365 days a year. At paras. 13-14, Madam Justice Koenigsberg described the plaintiff's condition in greater detail: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As a result of each of the assaults ..., [the plaintiff] will live in a state of permanent helplessness. He cannot speak. He cannot swallow properly and must be fed pureed foods by others' hands. He is completely paralyzed on his right side and has spasticity and only limited control of his left side. He is incontinent. He is incapable of sitting up by himself and when lifted from a lying position in his bed by a crane-swing device, he must be strapped into a wheelchair.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 He appears to recognize his mother and family, can smile, or look sad, say "Ah" when excited, reach out his left arm, and grasp things with his left hand. In other words, he is imprisoned in a helpless body for the rest of his life. He requires constant care and supervision so that he does not choke or fall sideways and lose his airway.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Justice Koenigsberg, at para. 22, held that non-pecuniary damages were "clearly at the catastrophic high end of the scale" and thus awarded the maximum amount, which at that time, adjusted for inflation, was $306,500.</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Steinebach v. O'Brien</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2011 BCCA 302</w:t>
        </w:r>
      </w:hyperlink>
      <w:r>
        <w:rPr>
          <w:rFonts w:ascii="arial" w:eastAsia="arial" w:hAnsi="arial" w:cs="arial"/>
          <w:color w:val="000000"/>
          <w:sz w:val="20"/>
          <w:lang w:val="en-US" w:eastAsia="en-US" w:bidi="ar-SA"/>
        </w:rPr>
        <w:t xml:space="preserve"> - The infant plaintiff suffered sever brain damage during birth. The trial judge found the defendant medical practitioners liable and awarded the rough upper limit for non-pecuniary damages which was $321,000. The Court of Appeal upheld the award. In doing so, Mr. Justice Mackenzie relied on the findings of the trial judge as follows, at para. 35: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[35] The trial judge summarized the extent of [the plaintiff's] disability and his approach to the assessment as follows: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The evidence indicates, and I find, that [the plaintiff's] physical injury at birth was catastrophic. She cannot speak and is not likely to speak. She cannot swallow and must be fed and will always be fed by a gastronomy tube. Her respiratory capacity is severely impaired. It is likely that she will suffer a range of respiratory illnesses through her lifetime. Her motor ability is severely restricted. She will never be able to walk. She may be able to turn herself over but she cannot yet do so at age five. </w:t>
      </w:r>
      <w:r>
        <w:rPr>
          <w:rFonts w:ascii="arial" w:eastAsia="arial" w:hAnsi="arial" w:cs="arial"/>
          <w:color w:val="000000"/>
          <w:sz w:val="20"/>
          <w:u w:val="single"/>
          <w:lang w:val="en-US" w:eastAsia="en-US" w:bidi="ar-SA"/>
        </w:rPr>
        <w:t>There is no way of knowing what appreciation, if any, [the plaintiff] has or will have of her circumstances. It is not likely that she will develop intelligence beyond that of a four-year old. There is no way of knowing whether she is in pain or whether she will experience pain in the course of her lifetime</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[150] The only factor that could justify an award of less than the permitted maximum is acceptance of the fact that [the plaintiff] may not be able to appreciate the nature of her circumstances so as to be able to ask "what might have been?" Medical or any other science cannot provide a meaningful answer to that question.</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[151] I am not persuaded that it is appropriate to attempt to assess the level to which [the plaintiff's] cognitive development will permit her to sense pain, or to compare herself and her situation to that of her peers.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[152] The evidence that has been adduced in this case by those who have observed [the plaintiff] indicates that she appears to derive pleasure from interacting with members of her family and enjoyment from being in the company of others. It is not an overstatement to say that interaction with others at a most basic level is likely to be the only enjoyment [the plaintiff] will experience in her life.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[153] A significant award of non-pecuniary damages will permit [the plaintiff's] family and caregivers to undertake activities that are family-centered and very likely different from what the family might otherwise have done in order to involve [the plaintiff], thereby providing her with the greatest degree of companionship and comfort possible in the circumstances. The family should not be hindered because of economic constraints in the pursuit of family activities which involve [the plaintiff] and bring her any degree of pleasure.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 by Mackenzie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Justice Mackenzie then went on to say: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read this passage, the trial judge concluded that [the plaintiff's] capacity to experience pain and discomfort was indeterminate as was her capacity to appreciate her circumstances. Essentially he concluded that any answer to those questions would be speculative and he declined to engage in speculation. He noted that the award of non-pecuniary damages could be used to fund family activities that would be directed toward providing amenities for [the plaintiff] in the form of pleasurable companionship and comfort and [the plaintiff] would be capable of appreciating those amenities.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Justice Mackenzie concluded that there was no basis for interfering with the trial judge's findings (at para. 36).</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 The plaintiff suffered a significant brain injury when she was struck by a vehicle driven by the defendant while walking in a crosswalk. There was considerable evidence at trial about the plaintiff's level of awareness. Madam Justice Morrison found that the plaintiff had a level of awareness and was "not a person in a vegetative state or even a near vegetative state" (at para. 23). At para. 50, Justice Morrison concluded: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Compensation by way of non-pecuniary damages may allow the plaintiff to improve the quality of her life in small ways that may seem insignificant to the able bodied, but not to her. In my view, an award of $175,000 for non-pecuniary damages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cites a number of cases in which courts have awarded relatively modest amounts for non-pecuniary damages based on findings that the plaintiff lacked the cognitive capacity to comprehend the degree of loss suffered:</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Campbell et al v. Jones et al</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2016 MBQB 10</w:t>
        </w:r>
      </w:hyperlink>
      <w:r>
        <w:rPr>
          <w:rFonts w:ascii="arial" w:eastAsia="arial" w:hAnsi="arial" w:cs="arial"/>
          <w:color w:val="000000"/>
          <w:sz w:val="20"/>
          <w:lang w:val="en-US" w:eastAsia="en-US" w:bidi="ar-SA"/>
        </w:rPr>
        <w:t xml:space="preserve"> - the 11 year old plaintiff suffered significant brain damage as a result of complications following tonsillectomy surgery. Chief Justice Joyal held that the defendant medical practitioners were not liable but he nonetheless went on to conduct a "provisional assessment of damages" (at para. 469). He concluded that the plaintiff was in a vegetative state and then said the following about an award of non-pecuniary damages, at paras. 486-487: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[486] Having noted what I regrettably must find to be [the plaintiff's] vegetative state, I must consider my award respecting general damages mindful of the proposition that general damages are not correlated to the degree of injury, but rather, to the potential to improve the condition of the victim in his or her particular situation. In other words, the provision of money in many tragic circumstances, because of the state of a given victim, will have limited capacity to improve the victim's situation. It is for that reason that the courts have determined that non-pecuniary damages should be awarded commensurate to their capacity to serve a useful purpose in providing an alternative source of satisfaction. In this connection, the defendants submit that there is nothing that an award of general damages can buy that will provide [the plaintiff] with solace over his remaining life expectancy. Accordingly, they justifiably submit that this is one of those cases where the jurisprudence suggests the need for a modest award. [487] In the particular circumstances of this case, I have determined that a general damages award of $50,000 would be fair and reasonable.</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Semenoff v. Kokan</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(1989), 42 B.C.L.R. (2d) 6</w:t>
        </w:r>
      </w:hyperlink>
      <w:r>
        <w:rPr>
          <w:rFonts w:ascii="arial" w:eastAsia="arial" w:hAnsi="arial" w:cs="arial"/>
          <w:color w:val="000000"/>
          <w:sz w:val="20"/>
          <w:lang w:val="en-US" w:eastAsia="en-US" w:bidi="ar-SA"/>
        </w:rPr>
        <w:t xml:space="preserve"> (S.C.), var'd on other grounds 59 B.C.L.R. (2d) 915 (C.A.) - the plaintiff suffered a catastrophic brain injury as a result of cardiac arrest during surgery. According to Mr. Justice Macdonell, "[t]he consensus of medical opinion is that he is in a chronic and permanent semi-vegetative state with no hope of recovery" (at 9). Justice Macdonell rejected the plaintiff's claim for non-pecuniary damages at the upper limit, however based on his finding that the plaintiff demonstrated "some awareness and response, particularly to music", he was entitled to come compensation. Justice Macdonnell awarded $25,000 (at 12).</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Toneguzzo-Norvell (Guardian ad litem of) v. Burnaby Hospital</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[1991] B.C.J. No. 2206</w:t>
        </w:r>
      </w:hyperlink>
      <w:r>
        <w:rPr>
          <w:rFonts w:ascii="arial" w:eastAsia="arial" w:hAnsi="arial" w:cs="arial"/>
          <w:color w:val="000000"/>
          <w:sz w:val="20"/>
          <w:lang w:val="en-US" w:eastAsia="en-US" w:bidi="ar-SA"/>
        </w:rPr>
        <w:t xml:space="preserve"> (S.C.), var'd on other grounds </w:t>
      </w:r>
      <w:hyperlink r:id="rId434" w:history="1">
        <w:r>
          <w:rPr>
            <w:rFonts w:ascii="arial" w:eastAsia="arial" w:hAnsi="arial" w:cs="arial"/>
            <w:i/>
            <w:color w:val="0077CC"/>
            <w:sz w:val="20"/>
            <w:u w:val="single"/>
            <w:shd w:val="clear" w:color="auto" w:fill="FFFFFF"/>
            <w:lang w:val="en-US" w:eastAsia="en-US" w:bidi="ar-SA"/>
          </w:rPr>
          <w:t>73 B.C.L.R. (2d) 116</w:t>
        </w:r>
      </w:hyperlink>
      <w:r>
        <w:rPr>
          <w:rFonts w:ascii="arial" w:eastAsia="arial" w:hAnsi="arial" w:cs="arial"/>
          <w:color w:val="000000"/>
          <w:sz w:val="20"/>
          <w:lang w:val="en-US" w:eastAsia="en-US" w:bidi="ar-SA"/>
        </w:rPr>
        <w:t xml:space="preserve"> (C.A.), rev'd in part </w:t>
      </w:r>
      <w:hyperlink r:id="rId435" w:history="1">
        <w:r>
          <w:rPr>
            <w:rFonts w:ascii="arial" w:eastAsia="arial" w:hAnsi="arial" w:cs="arial"/>
            <w:i/>
            <w:color w:val="0077CC"/>
            <w:sz w:val="20"/>
            <w:u w:val="single"/>
            <w:shd w:val="clear" w:color="auto" w:fill="FFFFFF"/>
            <w:lang w:val="en-US" w:eastAsia="en-US" w:bidi="ar-SA"/>
          </w:rPr>
          <w:t>[1994] 1 S.C.R. 114</w:t>
        </w:r>
      </w:hyperlink>
      <w:r>
        <w:rPr>
          <w:rFonts w:ascii="arial" w:eastAsia="arial" w:hAnsi="arial" w:cs="arial"/>
          <w:color w:val="000000"/>
          <w:sz w:val="20"/>
          <w:lang w:val="en-US" w:eastAsia="en-US" w:bidi="ar-SA"/>
        </w:rPr>
        <w:t xml:space="preserve"> - the infant plaintiff suffered brain damage during birth. Based on the medical evidence, Mr. Justice Hogarth concluded that the plaintiff was "totally incapacitated and incapable of displaying any cognition beyond that of a reflexive nature" (at 2). Mr. Justice Hogarth, citing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said at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amounts have been appropriately awarded for future care and those matters directly related to the injuries, non-pecuniary damages should be seen as compensation for arrangements above and beyond those directly related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awarded $20,000.</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Knutson (Guardian ad litem of) v. Farr</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(1982), 38 B.C.L.R. 291</w:t>
        </w:r>
      </w:hyperlink>
      <w:r>
        <w:rPr>
          <w:rFonts w:ascii="arial" w:eastAsia="arial" w:hAnsi="arial" w:cs="arial"/>
          <w:color w:val="000000"/>
          <w:sz w:val="20"/>
          <w:lang w:val="en-US" w:eastAsia="en-US" w:bidi="ar-SA"/>
        </w:rPr>
        <w:t xml:space="preserve"> (S.C.) var'd </w:t>
      </w:r>
      <w:hyperlink r:id="rId437" w:history="1">
        <w:r>
          <w:rPr>
            <w:rFonts w:ascii="arial" w:eastAsia="arial" w:hAnsi="arial" w:cs="arial"/>
            <w:i/>
            <w:color w:val="0077CC"/>
            <w:sz w:val="20"/>
            <w:u w:val="single"/>
            <w:shd w:val="clear" w:color="auto" w:fill="FFFFFF"/>
            <w:lang w:val="en-US" w:eastAsia="en-US" w:bidi="ar-SA"/>
          </w:rPr>
          <w:t>55 B.C.L.R. 145</w:t>
        </w:r>
      </w:hyperlink>
      <w:r>
        <w:rPr>
          <w:rFonts w:ascii="arial" w:eastAsia="arial" w:hAnsi="arial" w:cs="arial"/>
          <w:color w:val="000000"/>
          <w:sz w:val="20"/>
          <w:lang w:val="en-US" w:eastAsia="en-US" w:bidi="ar-SA"/>
        </w:rPr>
        <w:t xml:space="preserve"> (C.A.) - The plaintiff suffered permanent and irreversible brain damage as a result of a motor vehicle accident which left him in a permanent vegetative or semi-vegetative state. The trial judge awarded non-pecuniary damages $77,000, relying on the decision of </w:t>
      </w:r>
      <w:r>
        <w:rPr>
          <w:rFonts w:ascii="arial" w:eastAsia="arial" w:hAnsi="arial" w:cs="arial"/>
          <w:i/>
          <w:color w:val="000000"/>
          <w:sz w:val="20"/>
          <w:lang w:val="en-US" w:eastAsia="en-US" w:bidi="ar-SA"/>
        </w:rPr>
        <w:t>The Queen v. Jennings et al.</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for the proposition that an unconscious plaintiff may be awarded damages for loss of amenities (at 308).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 reduced the award to $15,000. It noted that the plaintiff displayed a "meagre degree of awareness" with only a slight possibility of future improvement. Applying the functional approach, the Court concluded that the lower award was justified (at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is clear on the evidence (and indeed was agreed by the parties in the agreed statement of facts) that the plaintiff is in a permanent vegetative state and requires full-time care for all of his needs. He is non-verbal and unable to communicate his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also evidence, from Mrs. Woo and Sharine, that the plaintiff responds to them, particularly when they speak to him in Korean. Sharine testified that the plaintiff exhibits signs when he is in pain or discomfort. They provide him with physiotherapy and massage beyond what is available at Purdy. They also suction him and move him more frequently than what the hospital staff can do. Patricia Barry, who is a registered nurse and the resident care coordinator at Purdy, testified that while the hospital provides all medically necessary care, there are things that the family provides that the hospital cannot.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my view, this is a case like </w:t>
      </w:r>
      <w:r>
        <w:rPr>
          <w:rFonts w:ascii="arial" w:eastAsia="arial" w:hAnsi="arial" w:cs="arial"/>
          <w:i/>
          <w:color w:val="000000"/>
          <w:sz w:val="20"/>
          <w:lang w:val="en-US" w:eastAsia="en-US" w:bidi="ar-SA"/>
        </w:rPr>
        <w:t>Steinebach</w:t>
      </w:r>
      <w:r>
        <w:rPr>
          <w:rFonts w:ascii="arial" w:eastAsia="arial" w:hAnsi="arial" w:cs="arial"/>
          <w:color w:val="000000"/>
          <w:sz w:val="20"/>
          <w:lang w:val="en-US" w:eastAsia="en-US" w:bidi="ar-SA"/>
        </w:rPr>
        <w:t xml:space="preserve"> in which it cannot be said with any degree of certainty the extent to which the plaintiff comprehends, or does not comprehend, his circumstances. While the medical evidence does paint a dire picture, it does not go so far as to undermine the evidence of Mrs. Woo and Sharine in terms of what they observe in the plaintiff. Paraphrasing what the trial judge said in </w:t>
      </w:r>
      <w:r>
        <w:rPr>
          <w:rFonts w:ascii="arial" w:eastAsia="arial" w:hAnsi="arial" w:cs="arial"/>
          <w:i/>
          <w:color w:val="000000"/>
          <w:sz w:val="20"/>
          <w:lang w:val="en-US" w:eastAsia="en-US" w:bidi="ar-SA"/>
        </w:rPr>
        <w:t>Steinebach</w:t>
      </w:r>
      <w:r>
        <w:rPr>
          <w:rFonts w:ascii="arial" w:eastAsia="arial" w:hAnsi="arial" w:cs="arial"/>
          <w:color w:val="000000"/>
          <w:sz w:val="20"/>
          <w:lang w:val="en-US" w:eastAsia="en-US" w:bidi="ar-SA"/>
        </w:rPr>
        <w:t>, interaction with his family is likely the only thing close to pleasure that the plaintiff will experience for the balance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assessing non-pecuniary damages, it is useful to return to first principles, as articulated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where Dickson J. again described such damages as "money to make life more endurable ... [by] providing more general physical arrangements above and beyond those relating directly to the injuries" (at 262). In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Dickson J. described the object of an award as being to "ameliorate the condition of the victim considering his or her particular situation" (at 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Dudas v. Munro</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[1997] B.C.J. No. 774</w:t>
        </w:r>
      </w:hyperlink>
      <w:r>
        <w:rPr>
          <w:rFonts w:ascii="arial" w:eastAsia="arial" w:hAnsi="arial" w:cs="arial"/>
          <w:color w:val="000000"/>
          <w:sz w:val="20"/>
          <w:lang w:val="en-US" w:eastAsia="en-US" w:bidi="ar-SA"/>
        </w:rPr>
        <w:t xml:space="preserve"> (S.C.), Mr. Justice Macdonald described an award of non-pecuniary damages in these terms,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can make life more endurable and enjoyable by providing devices and activities not directly related to the injuries. It can "fill the gap" where some item does not fall within future care expenses and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Dudas</w:t>
      </w:r>
      <w:r>
        <w:rPr>
          <w:rFonts w:ascii="arial" w:eastAsia="arial" w:hAnsi="arial" w:cs="arial"/>
          <w:color w:val="000000"/>
          <w:sz w:val="20"/>
          <w:lang w:val="en-US" w:eastAsia="en-US" w:bidi="ar-SA"/>
        </w:rPr>
        <w:t>, Justice Macdonald found that the defendant was not liable, however he proceeded to assess damages "in general terms" (at para. 49) in the event his liability findings was reversed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Justice Macdonald's description of the purpose of a non-pecuniary award is particularly apt in this case. An award of non-pecuniary damages may be used to make the plaintiff's life more bearable and to "fill the gap" by providing an additional degree of personal care and attention that would not other wise qualify as a recoverable future care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am not persuaded however that this is a case that warrants an award at the upper limit. In each of the cases relied on by the plaintiff, the injured individual had a life expectancy considerably longer than that of the plaintiff here. In </w:t>
      </w:r>
      <w:r>
        <w:rPr>
          <w:rFonts w:ascii="arial" w:eastAsia="arial" w:hAnsi="arial" w:cs="arial"/>
          <w:i/>
          <w:color w:val="000000"/>
          <w:sz w:val="20"/>
          <w:lang w:val="en-US" w:eastAsia="en-US" w:bidi="ar-SA"/>
        </w:rPr>
        <w:t>Chow</w:t>
      </w:r>
      <w:r>
        <w:rPr>
          <w:rFonts w:ascii="arial" w:eastAsia="arial" w:hAnsi="arial" w:cs="arial"/>
          <w:color w:val="000000"/>
          <w:sz w:val="20"/>
          <w:lang w:val="en-US" w:eastAsia="en-US" w:bidi="ar-SA"/>
        </w:rPr>
        <w:t xml:space="preserve">, the plaintiff was expected to live another 45-50 years (para. 20), in </w:t>
      </w:r>
      <w:r>
        <w:rPr>
          <w:rFonts w:ascii="arial" w:eastAsia="arial" w:hAnsi="arial" w:cs="arial"/>
          <w:i/>
          <w:color w:val="000000"/>
          <w:sz w:val="20"/>
          <w:lang w:val="en-US" w:eastAsia="en-US" w:bidi="ar-SA"/>
        </w:rPr>
        <w:t>Steinebach</w:t>
      </w:r>
      <w:r>
        <w:rPr>
          <w:rFonts w:ascii="arial" w:eastAsia="arial" w:hAnsi="arial" w:cs="arial"/>
          <w:color w:val="000000"/>
          <w:sz w:val="20"/>
          <w:lang w:val="en-US" w:eastAsia="en-US" w:bidi="ar-SA"/>
        </w:rPr>
        <w:t xml:space="preserve"> it was 20 years from birth (para. 37) and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it was 18 years (para. 45). Here. Dr. Elliott estimates the plaintiff's life expectancy to be 3.7 years, starting from January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To the extent that the award of damages is intended to ameliorate the condition of the plaintiff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xml:space="preserve"> at 637), the time period, i.e. life span over which that occurs, is a relevant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Considering the principles reviewed above and the particular circumstances of the plaintiff, I find that an award of non-pecuniary damages in the amount of $175,000 is reasonable and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 Trust Claim for Mrs. Woo and Sharine Woo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Madam Justice D. Smith, as she then was, reviewed a number of the leading authorities dealing with in trust claims and set out the following principles, at para.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review of these authorities one can construct a summary of the factors to be considered in the assessment of "in trust" claims:</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evidence establishes that Mrs. Woo spends much of each day with the plaintiff, providing him with care and comfort beyond what the hospital can provide. Similarly, Sharine spends several hours with him many days a week. Together, they move him, massage him, provide him with suctioning as needed and generally attend to his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quantifies the claim for Mrs. Woo by comparing what she does for the plaintiff to the services provided by an LPN and roughly multiplying a percentage of an LPN hourly wage rate by an average number of hours spent by Mrs. Woo. This approach results in a claim in the amount of $196,300. Using a similar approach for Sharine, acknowledging that she spends fewer hours, results in a claim on her behalf for $96,800.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defendant acknowledges the extensive and admirable efforts of Mrs. Woo and Sharine, but cites a number of cases in which relatively modest in-trust awards have been made where the plaintiff is receiving full time professional care. See for example, </w:t>
      </w:r>
      <w:r>
        <w:rPr>
          <w:rFonts w:ascii="arial" w:eastAsia="arial" w:hAnsi="arial" w:cs="arial"/>
          <w:i/>
          <w:color w:val="000000"/>
          <w:sz w:val="20"/>
          <w:lang w:val="en-US" w:eastAsia="en-US" w:bidi="ar-SA"/>
        </w:rPr>
        <w:t>Kahlon v. Vancouver Coastal Health Authority</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2009 BCSC 922</w:t>
        </w:r>
      </w:hyperlink>
      <w:r>
        <w:rPr>
          <w:rFonts w:ascii="arial" w:eastAsia="arial" w:hAnsi="arial" w:cs="arial"/>
          <w:color w:val="000000"/>
          <w:sz w:val="20"/>
          <w:lang w:val="en-US" w:eastAsia="en-US" w:bidi="ar-SA"/>
        </w:rPr>
        <w:t xml:space="preserve"> at para. 451. The defendant submits that an award of $50,000 in favour of Mrs. Woo and $25,000 in favour of Sharine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my view, the care provided by Mrs. Woo and Sharine has exceeded by a significant degree what would normally be expected by family members and, as I have indicated, their efforts have provided the plaintiff with a level of care beyond what is provided by the hospital. However, given that the plaintiff does receive full time care, an award of the magnitude sought by the plaintiff is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Accordingly, I make an in trust award in the amount of $100,000 in favour of Mrs. Woo and $50,000 in favour of Sharine.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claims special damages for the costs incurred by Mrs. Woo to travel from her home to visit the plaintiff and, as well, for the approximately $100 per month Mrs. Woo and Sharine spend on additional supplies for the plaintiff. The defendant agrees that both are recoverable and submits that an award of $15,000 would be fair and reasonable to compensate for these expenses as incurred to date and as will be incurred over the remainder of the plaintiff's life.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summary, I award the plaintiff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60"/>
        <w:gridCol w:w="1359"/>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Cost of Future Care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532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Non-Pecuniary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$175,000</w:t>
            </w:r>
          </w:p>
        </w:tc>
        <w:tc>
          <w:tcPr>
            <w:tcW w:w="532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In Trust for Mrs. Woo</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532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In Trust for Sharine Woo</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532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532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$340,000</w:t>
            </w:r>
          </w:p>
        </w:tc>
        <w:tc>
          <w:tcPr>
            <w:tcW w:w="532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This amount will be reduced by 50% to reflect the apportionment of liability between the plaintiff and Crème.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parties agreed to defer consideration of a number of issues until after the release of these Reasons, including management fee and tax gross up, if any, cost of past and future residential care and the plaintiff's health care costs recovery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parties may make arrangements through Supreme Court Scheduling for a further hearing to deal with these matters, as well as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778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Lee v. Tse, [2013] B.C.J. No. 2219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6-7,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M120145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1740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Lee, Plaintiff, and Man Ho Michael Tse,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2"/>
      <w:bookmarkEnd w:id="12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damages suffered in motor vehicle accident allowed — Defendant was solely liable for accident — Vehicles collided as plaintiff made a left turn at an intersection — Plaintiff alleged defendant proceeded through intersection on red light while plaintiff was turning left — Defendant argued traffic light was green when he entered intersection — Court accepted plaintiff' evidence that light was red when he made left turn — Plaintiff not required to wait until all approaching drivers had stopped — Being far enough away to safely stop, defendant was under a statutory obligation to do so.</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0"/>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as a result of a motor vehicle accident. The plaintiff proceeded to make a left hand turn at an intersection. The light was green. He then proceeded about half way into the intersection and stopped to wait for oncoming traffic to pass through. He waited until the light turned amber. He noticed the defendant's vehicle approaching the intersection westbound a good four to five car lengths back. According to the plaintiff, the light was red when he made the left turn. He collided with the defendant's vehicle. The defendant claimed that he entered the intersection on an amber light. According to the defendant, it was after he entered the intersection that the plaintiff started to turn left. There were inconsistencies in the defendant's evidence at trial about when and what he observed about the colour of the traffic light.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8"/>
            <w:bookmarkEnd w:id="13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solely liable for the accident. The defendant's testimony about where he was located when he first observed the plaintiff attempting to turn left was also not credible and entirely inconsistent with the expert evidence. The defendant could have stopped at the light. If the defendant had remained in the fast lane and braked rather than swerved right, the plaintiff would have had enough time to clear the fast lane and the collision would have been avoided. The court rejected the defendant's testimony that he was in the intersection when the plaintiff began his left turn. The court accepted the plaintiff's evidence that the light turned yellow before he started the left turn and that the light was red when he made the left turn. A left turning driver was not required to wait until he saw that all approaching drivers had stopped. Being far enough away to safely come to a stop, the defendant was under a statutory obligation to do so. The plaintiff was entitled to act on the assumption that the defendant would obey the rules of the road and stop for the traffic light, and therefore proceed to turn left. The plaintiff was not negligent for failing to observe the defendant changing lanes and proceeding toward him despite the red traffic light.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Legislation Cited_9"/>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7"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49" w:history="1">
        <w:r>
          <w:rPr>
            <w:rFonts w:ascii="arial" w:eastAsia="arial" w:hAnsi="arial" w:cs="arial"/>
            <w:i/>
            <w:color w:val="0077CC"/>
            <w:sz w:val="20"/>
            <w:u w:val="single"/>
            <w:shd w:val="clear" w:color="auto" w:fill="FFFFFF"/>
            <w:lang w:val="en-US" w:eastAsia="en-US" w:bidi="ar-SA"/>
          </w:rPr>
          <w:t>RSBC 1996, c. 318, s. 128</w:t>
        </w:r>
      </w:hyperlink>
      <w:r>
        <w:rPr>
          <w:rFonts w:ascii="arial" w:eastAsia="arial" w:hAnsi="arial" w:cs="arial"/>
          <w:color w:val="000000"/>
          <w:sz w:val="20"/>
          <w:lang w:val="en-US" w:eastAsia="en-US" w:bidi="ar-SA"/>
        </w:rPr>
        <w:t>, s. 129,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3" w:name="Counsel_17"/>
      <w:bookmarkEnd w:id="1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N.J. Hopewell.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M.S. Dermer.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17"/>
      <w:bookmarkEnd w:id="134"/>
      <w:r>
        <w:pict>
          <v:line id="_x0000_s1109"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M.L. FLEMING J."/>
            <w:bookmarkEnd w:id="135"/>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action arises from a motor vehicle accident that occurred on February 24, 2010 at the intersection of Canada Way and Kensington Avenue in Burnaby, BC (the "accident"). The trial of this matter was regarding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position is the defendant is solely liable for the accident because he proceeded through the intersection on a red light while the plaintiff was turning left. The defendant's position is the traffic light was green when he entered the intersection and the plaintiff turned left in breach of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evidence at trial included testimony from both parties, their passengers, and two experts in accident reconstruction, as well as diagrams of the accident site and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Just prior to the accident, the plaintiff was driving eastbound along Canada Way in a Toyota Camry. His nephew Bailey Wong was sitting in the front passenger seat. The plaintiff was driving Mr. Wong home from a family dinner at a restaurant. He was planning to turn left at Kensington Avenue and proceed north. It was approximately 9:30 in the evening. The road conditions were wet and it was drizzling. Visibility however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intersection is controlled by traffic lights. Canada Way is a four lane arterial road that travels in a northwest and southeast direction, referred to here as north and east. The eastbound direction has two through lanes and a dedicated left turn lane for northbound traffic at Kensington Avenue. The westbound direction has two through lanes and a dedicated right turn lane at Kensington Avenue. Kensington Avenue is a four lane arterial road that runs in a north and south direction. It intersects on the north side of Canada Way only forming a "T" intersection. There are left turning lanes and a right turning lane for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the plaintiff approached the intersection he merged into the left turning lane on Canada Way at Kensington Avenue. The light was green. He then proceeded about half way into the intersection and stopped to wait for oncoming traffic to pass through. There were no vehicles ahead of him making a left turn. He noted some southbound traffic stopped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his vehicle was stopped for quite a long time at the green light. He could not recall how many westbound vehicles passed through the intersection but he was waiting for traffic to clear. The plaintiff also could not recall how long it was after the last car passed through before he began his turn. He waited until the light turned amber. He noticed the defendant's vehicle approaching the intersection westbound a "good" four to five car lengths back. Given the colour of the light, he assumed the car would stop. After the light had been amber for between two to five seconds, he commenced his turn. According to the plaintiff, the light was red when he made the left turn. He recalled looking up and seeing that the light was red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did not observe the defendant's vehicle again prior to impact, although he saw what he described as a strong light approaching in a rapid fashion and then the impact occurred. The accident happened in what the plaintiff described as a split second. He could not estimate the defendant's speed but testified that it must have been excessive given how far away the vehicle was when the plaintiff began his turn. The plaintiff testified that the collision occurred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unsure if his foot was on the accelerator at the time of the impact. He just recalled continuing to make his slow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Very shortly after the accident, the plaintiff approached the defendant and challenged him about speeding and driving through a red light. The plaintiff recalled the defendant replying with words to the effect of it did not matter if the light is green, amber or red; he had the right of way. The plaintiff was surprised and upset by what he regarded as the defendant's arrogance.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evidence regarding his exchange with the defendant vis-à-vis the colour of the traffic light was confirmed by the passenger witnesses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Bailey Wong, the plaintiff's passenger, also testified that the plaintiff's vehicle moved into the intersection when the light was green. He added that when the light was yellow, they still had to wait to allow other traffic to go through. It was after the light turned yellow that Mr. Wong first saw the defendant's vehicle. Mr. Wong testified to seeing other westbound traffic slowing down in the right curb lane. This observation was not made by any other witness. According to Mr. Wong, he also observed the defendant's vehicle slowing down before the intersection really late in the yellow. It was after this that the plaintiff commenced his left turn. In cross examination he testified to then seeing the defendant's vehicle accelerate when it was already past the line into the intersection and the light was red. Mr. Wong said he was certain the light was red when the plaintiff started the left turn. After the accident, he did not recall the plaintiff asking the defendant about speeding but he did recall the defendant saying in a pretty loud voice that it did not matter if the light was red, yellow or green; he was going straight and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testified that just prior to the accident, he was driving westbound along Canada Way in a Dodge Caravan with his friend Gordon Soon seated in the front passenger seat. Mr. Soon had a plastic bucket between his legs that contained tropical fish in plastic bags. They were en route from New Westminster to Mr. Soon's home travelling in the inside or fast lane. The defendant testified he was travelling at approximately 60 kilometers per hour although he did not look at his speedometer. He first saw the intersection from over 100 metres away. He did not observe any other vehicles travelling ahead of him. The light was green. He did not observe the plaintiff's vehicle until he was much closer to the intersection. His evidence as to when he first observed the plaintiff's vehicle was inconsistent. In direct examination he testified it was from a distance of approximately 4 to 6 feet. In cross examination he changed the estimate to 20 feet. He maintained, however, that he did not see the vehicle earlier because his attention was focused on the light, which was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also gave evidence that he tapped his brakes at some point before entering the intersection. He was also inconsistent as to when this occurred. He testified that he tapped his brakes just before the line but also before he saw the plaintiff's vehicle. The light was green when the tap occurred. The defendant said that he tapped the brakes because he always does so just before entering an intersection. The tap did have the effect of slowing the vehicle but he could not say by how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defendant when he first saw the plaintiff's vehicle it was stopped in the left turning lane behind the line at the entrance to the intersection. He knew the plaintiff intended to turn left. He testified that from the moment he saw the plaintiff's vehicle, his attention remained focused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not surprising then that from this point on, his evidence about the colour of the light and when and whether he checked it, varied somewhat. In direct examination he testified the light was green when he entered the intersection. But he also testified it turned yellow just when he passed the line into the intersection. In cross examination he testified that he did not look at the light as he crossed the plane of the intersection. When he was half way into the intersection, he saw the plaintiff begin to move. He checked the light and it was amber. At times the defendant's responses were hesitant. He seemed uncertain or perhaps confused. Further on in cross examination, he repeated his earlier testimony that he had recollection of the light still being green when he entered the intersection because he was pretty sure he would have looked at the light at that point. The only basis for his recollection appeared to be a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was cross examined with respect to his evidence given at discovery and an earlier written statement he provided to ICBC. In his statement to ICBC, the defendant said that he had just reached the intersection when the light changed from green to yellow. During his examination for discovery, the defendant was asked about the colour of the light at a number of points. The initial exchange was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As you approached the intersection the light turned green to yellow,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How far away were you from the intersection when the light changed colour?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Boy, can't 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Entered the intersection still green. Just before I hit the other side of the lines turned yellow, so I was in the middle and it turned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 on at discovery, the defendant was asked if he had entered the intersection on a yellow or red light and he answered no to both questions. At the conclusion of the examination for discovery, however, the question was essentially put to him again after reviewing his conversation with the plaintiff following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said it didn't matter that you entered on a red light,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said that because you, in fact, did enter on a red light, didn't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testified at trial that he misheard this last question as, "You said that because you, in fact, didn't enter on a red light, didn't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the defendant, it was after he entered the intersection that the plaintiff started to turn left. In response, the defendant swerved hard to the right and applied the brakes in an effort to avoid a collision. The front of the plaintiff's vehicle struck the left hand side of the defendant's vehicle and he was pushed toward Kensington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remembered cars stopped southbound on Kensington waiting to go eastbound.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recalled the plaintiff asking him why he ran a red light. He testified that he denied doing so but admitted he also said words to the effect that it did not matter what colour the light was because he had the right of way. He was pressed about why he would make such a statement if he in fact did not run a red light. His response made little sense. Although he did not disagree that the point of his response was the colour of the light was irrelevant, he said he would have stopped if the light was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passenger Mr. Soon testified that he was looking out the passenger window as they were approaching the intersection. He then heard the defendant curse. In response he turned his head to look forward and saw the plaintiff's vehicle going into the intersection. He was not sure if it was going to continue or stop. Mr. Soon could not be sure if the plaintiff's vehicle was still moving or not. He thought the defendant's vehicle was in the intersection at this point. He recalls glancing at the light and it was amber. After that, the defendant's car swerved sharply right and then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Both parties relied on expert evidence. The plaintiff relied on the opinion of engineer Robin Brown and the defendant on that of engineer James Bowler. Both are experts in the field of accident reconstruction. Their reports deal with the speed of the parties' vehicles at impact and the ability of the drivers to have avoided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dispute between Mr. Brown and Mr. Bowler about the likely position of the two vehicles at the time of impact. The damage patterns suggest the vehicles were approximately perpendicular when the plaintiff's vehicle struck the defendant's. The likely impact location was the westbound curb or slow lane about half way through the intersection. The experts also agree that the defendant's vehicle was travelling at 51 kilometers per hour and the plaintiff's at about 20 kilometers per hour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Bowler also accepted Mr. Brown's conclusion that the defendant's vehicle was likely 45.3 meters east of the impact area in the fast or inside lane, rather than in the intersection, when the plaintiff began his left turn. In addition, Mr. Bowler testified that it was physically impossible for the defendant to have been in the intersection when he began his swerve manoeuvre in an effort to avoid the plaintiff as he turned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Brown concluded the defendant likely required a distance of about 27 to 38 metres to perceive, react and brake to a stop from a speed of 50 kilometers per hour, based on a perception reaction time ranging from 0.7 to 1.5 seconds. This estimate would place the defendant's vehicle about 7.3 to 18.3 meters east of the impact area, if he noticed the plaintiff when he started his left turn. In addition, Mr. Brown concluded that if the defendant had remained in the fast lane and braked rather than swerved right, the plaintiff would have had enough time to clear the fast lane and collision would have been avoided. Mr. Brown's conclusions did not assume the defendant had anti-lock brakes but did assume wet road conditions. It was Mr. Brown's opinion that swerving right put the defendant directly in harm's way and was not a reasonable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Bowler's report sets out the results of his own simulation relying on Mr. Brown's acceleration rates for the plaintiff's vehicle. In the simulation, the defendant observed the movement of the plaintiff's vehicle early in the turn and had a short reaction time before initiating the right swerve at 1.2 seconds. Mr. Bowler's report at Figure 1 sets out that 3.2 seconds passed from when the plaintiff commenced his left turn and the impact, based on Mr. Brown's figures for acceleration rate and time to impact for the plaintiff, as well as the assumption that the defendant travelled at a constant speed of 50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 examination, Mr. Bowler agreed that if the defendant were travelling faster than 50 kilometers per hour and then braked before the impact, his vehicle would have been even further back from the intersection when the plaintiff commenced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Bowler went on to conclude that although braking would have been a better choice for the defendant than swerving to avoid the collision, the decision between braking and swerving was made when the plaintiff had only moved partly into its turn and the defendant did not know that the plaintiff was going to continue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Where the two experts disagreed was regarding the plaintiff's ability to avoid the collision. Mr. Brown offered the opinion that the plaintiff could only have stopped his vehicle and avoided the collision if, as soon as he started the left turn, he perceived and reacted to the defendant. Mr. Bowler was of the view that if the plaintiff started his perception reaction phase one second after he started his turn the collision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Neither expert made any assumptions about the colour of the traffic lights when the plaintiff began his left turn, or the defendant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was no evidence provided regarding the timing of the light sequencing for the traffic lights at Canada Way and Kensington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factors to be considered when assessing credibility are well established and uncontested. They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Applying the factors summarized by Dillon J.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to the instant case, I find the defendant to be a less than credible witness. There were inconsistencies in the defendant's evidence at trial about when and what he observed about the colour of the traffic light. His evidence on these points was also vague and uncertain at times. I agree with the plaintiff's submission that the defendant's evidence was sometimes based on reconstructions, the most glaring of which was his denial that the light was red when he entered the intersection because he would have stopped for a red light. There is the additional inconsistency between his testimony at discovery where he eventually admitted to entering the intersection on a red light and his denial of this at trial. His explanation for his answer at discovery was not convincing. I do not accept that he simply misunderstood the question. His credibility was further compromised by the contradiction between the undisputed evidence regarding his comments after the accident that he had the right of way regardless of the colour of the light, and his testimony that that the light was green when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testimony about where he was located when he first observed the plaintiff attempting to turn left was also not credible and entirely inconsistent with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expert evidence, which I accept, is that the defendant's vehicle was 45.3 metres east of the intersection when the plaintiff started his left turn if the defendant was travelling at approximately 50 kilometers per hour. I also accept Mr. Brown's evidence that the defendant likely required a distance of about 27 to 38 metres to perceive, react and brake to a stop from a speed of 50 kilometers per hour placing the defendant's vehicle about 7.3 to 18.3 meters east of the impact area, if he noticed the plaintiff when he started his left turn. Given the defendant's testimony that he noticed the plaintiff before he started to turn left, which I do accept because he was not inconsistent on this point and it accords with other evidence regarding visibility and the plaintiff's location prior to commencing his turn, I find the defendant could have stopped as described by Mr. Brown. I further accept Mr. Brown's opinion that if the defendant had remained in the fast lane and braked rather than swerved right, the plaintiff would have had enough time to clear the fast lane and collision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Under cross examination the defendant demonstrated considerable confusion about where his vehicle was located when he commenced his swerve. Although he refused to acknowledge that he could not have been in the intersection, he was unable to explain how the collision could have happened as it did if he was there when he first saw the plaintiff begin to turn left. Accordingly, I firmly reject the defendant's testimony that he was in the intersection when the plaintiff began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also do not accept the defendant's evidence that he braked at the time he swerved to the right in an effort to avoid the collision. Although, I do accept that he tapped his brakes sometime prior to the collision, causing his vehicle to slow to a speed of 51 kilometers per hour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the defendant's passenger Mr. Soon presented as a sincere and honest witness, I do not find that much of his evidence was reliable and accurate. Mr. Soon's attention was focussed outside the passenger window until immediately before he heard the defendant curse. Therefore, he had far less opportunity to observe the circumstances leading to the accident than either of the parties or Mr. Wong. I do accept that when Mr. Soon glanced forward he noticed an amber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the plaintiff to be a credible witness. He testified in a straight forward manner. He acknowledged particular circumstances leading to the accident that he could not remember or never observed in the first place, such as the number and timing of the vehicles that passed through the intersection before he began his left turn, and the location of damage to the vehicles caused by the collision. He was also willing to admit when his evidence was based on assumptions, such as his conclusion that the defendant must have been travelling at an excessive speed immediately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gave careful answers to the questions he was asked. His evidence did not change in any significant way between direct and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accept the plaintiff's evidence that the light turned yellow before he started the left turn. I also accept that he then waited some further amount of time and observed the defendant's vehicle a safe distance away before beginning his turn. I accept the light was red when he made the left turn. His evidence about the colour of the light is consistent with the observations of Mr. Soon who, after hearing the defendant curse, looked forward and at a glance saw the light was already yellow. It was not until after this point that the sharp swerve to the right occurred. Mr. Soon was not sure at this point if the plaintiff was going to go or stop, indicating the plaintiff was about to start or in the very initial phase of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Wong presented as an honest, sincere witness. While I accept some of his evidence was also accurate and reliable, I believe his observation of a westbound vehicle stopped in the curb lane was inaccurate. It is not something that was observed by any other witness including the plaintiff. Although I accept the light was red when the plaintiff made his left turn, I am not convinced that Mr. Wong made this observation. While he testified in cross-examination that he observed a red light when the plaintiff commenced his left turn, in direct examination he was only certain it was really late in the yellow before the turn commenced and he could not remember what colour the light was when the turn actually started. His focus at this point was on the defendant's vehicle, which he thought was slowing down. I accept that Mr. Wong likely observed the defendant's vehicle as he tapped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Based on the opinion evidence of Mr. Brown and Mr. Bowler regarding the location of the defendant's vehicle at the time the plaintiff commenced his left turn, and the testimony of the plaintiff, all of which I accept, I find the defendant was at least 45.3 metres back from the intersection after the light had turned yellow and just before the left turn commenced. Given the evidence of the plaintiff that he waited for some seconds after the light turned yellow before commencing his turn, I find the defendant was even further back when the light first turned yellow. It was at this point, and not the point at which the plaintiff commenced his turn, that the defendant ought to have applied his brakes and stopped for the light. The evidence of Mr. Brown and Mr. Bowler is that 3.2 seconds passed between the time the plaintiff started his turn and the collision. It being really late in the yellow before the plaintiff started his turn, I find the light was red while the plaintiff was turning left and at the time the defendant passed into the intersection. In reaching this conclusion I have also relied upon the undisputed evidence regarding the defendant's comments to the plaintiff shortly after the accident to the effect that he had the right of way, whether the light was red, yellow or green. I infer from this evidence the defendant knew he entered the intersection on a red light or at the very least he was uncertain about having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Legal Framework: Liability under the </w:t>
      </w:r>
      <w:r>
        <w:rPr>
          <w:rFonts w:ascii="arial" w:eastAsia="arial" w:hAnsi="arial" w:cs="arial"/>
          <w:b/>
          <w:i/>
          <w:color w:val="000000"/>
          <w:sz w:val="20"/>
          <w:u w:val="single"/>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statutory obligation of a motorist intending to turn left at an intersection is set out in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Sections 128 and 129 set out the statutory obligations of motorists faced with yellow and red traffic lights respectively: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(1) When a yellow light alone is exhibited at an intersection by a traffic control signal, following the exhibition of a green light,</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Red light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summary then,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requires a left turning driver to yield to oncoming traffic that is in the intersection or so close as to constitute an "immediate hazard". A driver facing a yellow light must stop before entering an intersection unless the stop cannot be made in safety. A driver must not enter an intersection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duty on a left turning driver pursuant to section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not absolute. It is well established that left turning drivers are entitled to rely on the assumption that other drivers will obey the rules of the road, absent any reasonable indication to the contrary. In particular, a left turning driver is not required to wait until he or she sees that all approaching drivers have stopped: see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[1996] B.C.J. No. 1560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Uyeyama (Guardian ad litem of) v. Wittenberg</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relies on the authority of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 At issue in that case, however, were the relative obligations of a left hand driver pursuant to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a straight through driver passing a stationary left turning vehicle on the right pursuant to s. 158(1)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trial judge, </w:t>
      </w:r>
      <w:hyperlink r:id="rId460" w:history="1">
        <w:r>
          <w:rPr>
            <w:rFonts w:ascii="arial" w:eastAsia="arial" w:hAnsi="arial" w:cs="arial"/>
            <w:i/>
            <w:color w:val="0077CC"/>
            <w:sz w:val="20"/>
            <w:u w:val="single"/>
            <w:shd w:val="clear" w:color="auto" w:fill="FFFFFF"/>
            <w:lang w:val="en-US" w:eastAsia="en-US" w:bidi="ar-SA"/>
          </w:rPr>
          <w:t>[2011] B.C.J. No. 1748</w:t>
        </w:r>
      </w:hyperlink>
      <w:r>
        <w:rPr>
          <w:rFonts w:ascii="arial" w:eastAsia="arial" w:hAnsi="arial" w:cs="arial"/>
          <w:color w:val="000000"/>
          <w:sz w:val="20"/>
          <w:lang w:val="en-US" w:eastAsia="en-US" w:bidi="ar-SA"/>
        </w:rPr>
        <w:t>, accepted the plaintiff's evidence that she could not see the defendant's vehicle when she started to turn left, but concluded she ought to have seen the oncoming defendant. Upon nearing the intersection at a high rate of speed, the defendant swerved to the right to pass another vehicle that was waiting to turn left. When the defendant did so, her visibility was obscured by the vehicle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upheld the trial judge's conclusion that the obligation of left turning drivers under s. 174 takes priority over the obligation created by s. 158 where each party's vision of the other is blocked by traffic. The facts did not involve a yellow or red traffic light. The Court of Appeal expressly distinguished the application of cases involving a left turning driver and a through driver in breach of his or her obligation to obey traffic signals.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also relies upon the decision of Stromberg-Stein J. (as she then was) in </w:t>
      </w:r>
      <w:r>
        <w:rPr>
          <w:rFonts w:ascii="arial" w:eastAsia="arial" w:hAnsi="arial" w:cs="arial"/>
          <w:i/>
          <w:color w:val="000000"/>
          <w:sz w:val="20"/>
          <w:lang w:val="en-US" w:eastAsia="en-US" w:bidi="ar-SA"/>
        </w:rPr>
        <w:t>Dawes v. Valadas</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2005 BCSC 1319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is of limited assistance here because of its very different facts. In Dawes, the defendant was turning left on a green light. He was impaired by alcohol at the time when he made the turn without signaling, into the path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in the instant case relies on a number of authorities including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where the defendant proceeded into an intersection on a yellow light although he could have safely stopped. One of the issues in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was whether it was negligent for the plaintiff to take her eyes off of oncoming traffic to check cross traffic as she prepared to start her left turn. Because of this, she failed to see the defendant prior to the collision. At trial, the plaintiff was found 50 % responsible for the accident. This finding was overturned on appeal and fault was reapportioned 100% to the defendant. Newbury J.A. concluded the trial judge had imposed too high a burden on the plaintiff. She said this at para. 10,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say that the plaintiff can be found at fault because she relied on the assumption that Mr. Hall would stop, and because she checked cross-traffic, would in my view subvert the duty on Mr. Hall to bring his vehicle to a safe stop at the amber light as the other traffic did. An amber light is not, as the current witticism suggests, a signal to accelerate or to pass traffic that is slowing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Ballance J. reached the same conclusion in similar circumstances, after carefully considering a range of authorities including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involved a left turning defendant who entered the intersection on a green light and was at a stop when the light turned amber. A vehicle then stopped across from the defendant and partially obscured her view of oncoming traffic. When the light turned red, the defendant made her turn. Her vehicle was then struck by the plaintiff's. The plaintiff was found to be solely at fault. In concluding that the defendant was entitled to proceed on the assumption that oncoming traffic would act in the accordance with the law and come to a stop on the late amber, absent any reasonable indication to the contrary, the court questioned the merits of the dominant-subservient driver analysis which carries with it a presumptive right of way for the through driver. Ballance J. held this analysis should be confined to cases where the dominant driver has proceeded lawfully and is not in breach of a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weight of the authorities dealing with left turning drivers who commence their turn on a stale yellow or red light is to find the straight through driver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provides an example of a case where the court specifically considered the competing duties described in ss. 174 and 128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court found the plaintiff who was driving straight through had entered the intersection on a yellow light and therefore did not have the right of way. After finding the plaintiff had increased his speed and "run" the yellow light contrary to s. 128, Bruce J. turned to consider the defendant's actions. She found the defendant had failed to assess whether the plaintiff was an "immediate hazard" or not as required by s. 178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because the defendant had wrongly assumed he had the right of way due to an advance green signal. Accordingly both parties were found equally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courts have often considered the meaning of "immediate hazard" for left turning drivers. It is well established that an approaching vehicle is an "immediate hazard" if it is so close to the intersection that its driver must take some sudden or violent action to avoid the threat of a collision with the vehicle that is attempting a left turn: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 The point in time to assess whether the through driver is an "immediate hazard" is the moment before the driver who proposes to turn left actually starts to make the turn: see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Here the combined evidence of the plaintiff and Mr. Brown and Mr. Bowler establishes that prior to the plaintiff commencing his left hand turn, the light turned amber and the defendant was more than 45.3 metres away from the intersection. Being far enough away to safely come to a stop, the defendant was under a statutory obligation to do so. The plaintiff was entitled to act on the assumption that the defendant would obey the rules of the road and stop for the traffic light, and therefore proceed to turn left. At the time the plaintiff commenced his left turn, there was no indication that the defendant would do what he proceeded to do - that is, swerve sharply to the right and carry on into the intersection. I conclude therefore that at the moment immediately prior to the plaintiff commencing his turn, he properly determined that the defendant was not an "immediate hazard". Further the traffic light was amber at that point in time and the defendant proceeded in breach of his statutory obligation to come to a stop prior to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Having found the defendant negligent for failing to stop at the traffic light and the plaintiff not in breach of his obligation pursuant to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only remaining question then is whether the plaintiff was negligent for failing to observe the defendant changing lanes and proceeding toward him despite the red traffic light. The defendant argues that the plaintiff failed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Although the plaintiff was entitled to rely on the defendant's obligation to obey the rules of the road, he continued to have a concurrent obligation to act reasonably as circumstances dictate. In </w:t>
      </w:r>
      <w:r>
        <w:rPr>
          <w:rFonts w:ascii="arial" w:eastAsia="arial" w:hAnsi="arial" w:cs="arial"/>
          <w:i/>
          <w:color w:val="000000"/>
          <w:sz w:val="20"/>
          <w:lang w:val="en-US" w:eastAsia="en-US" w:bidi="ar-SA"/>
        </w:rPr>
        <w:t>Kokinnis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both left turning drivers were found to not be in breach of this obligation. In both cases, the left turning drivers were not able to see the straight through driver because of other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evidence in essence was that after he observed the defendant approaching the intersection from a safe distance away, he commenced his left turn and the impact occurred all of a sudden. He did not see the defendant swerve to the right and enter the intersection. The defendant argued that rather than focusing on oncoming traffic and any potential hazards the plaintiff was looking at the traffic light. The expert evidence of Mr. Bowler is helpful in this regard. His opinion was that the plaintiff could have avoided the collision if he started his perception reaction phase one second after starting his left turn. However, Mr. Brown's report also included evidence that the defendant started to swerve right 1.2 seconds after the plaintiff started to turn left which Mr. Bowler also assumes. Taken together this evidence leads to the conclusion that one second after the plaintiff started to turn, the defendant had not yet swerved sharply to the right. There was no reason then for the plaintiff to attempt to stop his left turn at that point. None of the evidence before me suggests that it was possible for the plaintiff to observe the defendant and avoid the collision after the defendant commenced his swerve to the right, and therefore I conclude the plaintiff was not negligent by failing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is entirely at fault for the accident. The plaintiff's claim as to liability is allowed and the plaintiff shall have costs in accordance with Appendix B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1216393 Ontario Inc. v. Parabellum Law Corp., [2017] B.C.J. No. 1362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114108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1223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1216393 Ontario Inc., Tylon Steepe Homes Ltd. and Dennis Kretschmer, Plaintiffs, and Parabellum Law Corporation,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13"/>
      <w:bookmarkEnd w:id="136"/>
      <w:r>
        <w:rPr>
          <w:rFonts w:ascii="arial" w:eastAsia="arial" w:hAnsi="arial" w:cs="arial"/>
          <w:b/>
          <w:color w:val="000000"/>
          <w:sz w:val="20"/>
          <w:lang w:val="en-US" w:eastAsia="en-US" w:bidi="ar-SA"/>
        </w:rPr>
        <w:t xml:space="preserve">Civil litigation — Civil procedure — Costs — Security for costs — Where plaintiff is corporation or association — Where plaintiff resident out of jurisdiction — Application by defendant law firm for security for costs of former clients'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allowed — One former client was Ontario corporation with no assets in B.C. — One former client had been deleted from corporate registry — Principal of clients admitted he lacked funds to pay costs is action unsuccessful — Merits of action were questionable, given prior court decisions impugning credibility of principal in blaming improper conduct on lawyers.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7" w:name="Case Summary_11"/>
            <w:bookmarkEnd w:id="1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Parabellum Law for an order requiring 1216393, Tylon and Kretschmer to post security for costs of their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companies and their principal, Kretschmer, were involved in a series of lawsuits between 2005 and 2011 arising out of a subdivision development on Kalamalka Lake. In most cases, they were unsuccessful, and negative findings were made about Kretschmer's credibility. They retained Turner of Parabellum Law to represent them in 2009 in connection with a legal-fee review respecting one of the companies' former lawyers, Rotstein. The companies recovered $108,000 from Rotstein, funds which Turner maintained in the Parabellum trust account based on his claim he had over $200,000 in legal fees outstanding from the companies. A legal-fee review with respect to Turner's accounts had yet to be resolved.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8" w:name="Holdings of Court_9"/>
            <w:bookmarkEnd w:id="13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121 was a company with no assets or presence in B.C. Tylon had been struck from the register for failing to file annual reports and did not exist. Kretschmer admitted that he lacked the ability to pay costs, if the claim against Parabellum did not succeed. The claims against Parabellum were not particularly meritorious, given previous statements by the court that Kretschmer had been less than credible in blaming his lawyers for his improper actions. The action was document-heavy and complex, and was expected to take at least 15 days to try.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Counsel_18"/>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and on behalf of all Plaintiffs: D. Kretschmer.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J.C. MacInnis.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18"/>
      <w:bookmarkEnd w:id="140"/>
      <w:r>
        <w:pict>
          <v:line id="_x0000_s1113"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G.P. WEATHERILL J. (orally)"/>
            <w:bookmarkEnd w:id="141"/>
            <w:r>
              <w:rPr>
                <w:rFonts w:ascii="arial" w:eastAsia="arial" w:hAnsi="arial" w:cs="arial"/>
                <w:b/>
                <w:color w:val="000000"/>
                <w:sz w:val="30"/>
                <w:lang w:val="en-US" w:eastAsia="en-US" w:bidi="ar-SA"/>
              </w:rPr>
              <w:t>G.P. WEATHERILL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security for costs to be posted by the plaintiffs. The plaintiffs sued the defendant law corporation for damages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some five and a half years after the termination of the parties' solicitor/client relationship. The defendant is owned and operated by Mr. Stephen Turner, lawyer, who in separate proceedings claims in excess of $200,000 from the plaintiffs for unpaid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Kretschmer is a principal of the two corporate plaintiffs 1216393 Ontario Inc. ("121") and Tylon Steepe Homes Ltd. ("Tylon").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were involved in a series of lawsuits between 2005 and 2011 arising out of a subdivision development on Kalamalka Lake, north of Kelowna, B.C., known as Crystal Waters. That development started in the 1999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focus of the plaintiffs' complaint against Mr. Turner starts in 2009 when the plaintiffs retained him in connection with a legal-fee review respecting one of the plaintiffs' former lawyers, Mr. Rotstein.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history of the Crystal Waters development and various lawsuits that arose out of it is long and complicated. It has been described at length in a number of decisions both in this Court and in the Court of Appeal. The details need not be recited here. It is fair to say that the entire affair has been expensive and unpleasant for the plaintiffs, who were unsuccessful in most every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However, a brief summary would be helpful to put my decision in perspective. The story begins in the 2002-2003 timeframe and involves what was referred to as "First-Tier" purchasers ("Original Purchasers") entering into contracts with 121 for the purchase of strata lots at Crystal Waters ("First Purchase Contracts"). Mr. Kretschmer put the Purchase Contracts together on behalf of 121. Tylon was to be the home building contractor for the Original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2005 while the subdivision was being developed, 121 terminated the First Purchase Contracts seeking instead to re-sell the properties to other purchasers, referred to as the "Second-Tier" Purchasers, for more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121 then entered into binding contracts to sell the same lots to the Second-Tier Purchasers ("Second Purchase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number of the Original Purchasers sued claiming specific performance of the First Purchase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One of those actions, known as the "Romfo" action was heard by Mr. Justice Myers in September 2007. Judgment was granted in favour of the Romfo plaintiffs and specific performance of the First Purchase Contracts was ordered. The plaintiffs' then lawyer, Mr. Rotstein, was counsel representing them in the Romfo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result of the Romfo decision, 121 could not complete on the Second Purchase Contracts and some of the Second-Tier Purchasers also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Romfo matter was appealed and in April 2008, the Court of Appeal dismissed the appeal. Mr. Rotstein was counsel on that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November 2010, Mr. Turner took over as counsel of record in what has been called the "Roy" and the "Landon" actions involving Second Purchase Contracts. Mr. Turner also assisted another of the plaintiffs' lawyers, Mr. Le Dressay, in a related Second Purchase Contract action known as the "Pont"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Turner also represented the plaintiffs in a legal-fee review hearing against Mr. Rotstein's account. That review took place in December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Rotstein fee-review hearing was successful for the plaintiffs and funds in the order of $108,000 were ordered to be repaid by Mr. Rotstein. Those funds are currently being held in Mr. Turner's trust account. Mr. Turner is claiming a solicitor's lien over those funds because he alleges has over $200,000 in legal fees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April 2011, Justice Josephson heard the Roy action. While he found 121 liable for damages to the plaintiffs, he dismissed the claim against Mr. Kretschmer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Also in the April 2011 timeframe, the Landon and Pont actions settled. The plaintiffs say this was because of poor preparation, poor advice and other misdeeds by Mr. Turner. These allegations against Mr. Turner are part of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June 2011, the solicitor/client relationship between the plaintiffs and the defendant ceased and Mr. Turner commenced a fee-review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December 2011, the Court of Appeal heard the appeal of Mr. Justice Josephson's decision in the Roy action. The Court of Appeal remitted the matter back for a new trial on all issues. Mr. Le Dressay was the plaintiffs' counsel on that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November 2012, the second trial of the Roy action took place before Madam Justice Bruce, who granted judgment against Mr. Kretschmer personally but dismissed the claim against 121. It is of note that the finding by Madam Justice Bruce against Mr. Kretschmer was for fraudulent misrepresentation. Madam Justice Bruce's decision was then appealed, and in November 2014, the Court of Appeal upheld the finding of fraudulent misrepresentation against Mr. Kretschmer and further allowed the appeal against 121. The Court of Appeal found 121 liable for damages in an amount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Meanwhile, the defendant's fee review progressed through the courts, albeit at a very slow pace. The fee review has still not been finalized. It was set for a nine-day hearing to commence February 6, 2017, but on January 31, 2017, the plaintiffs commenced this action, the result being that the nine-day fee-review hearing was adjourned generally. Mr. Kretschmer tells me that it is adjourned until the determination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that backdrop, the defendant brings this application for security for costs. The principles involved in determining whether an order should be granted for security for costs are well known. The defendant relies on a series of cases respecting the considerations for security for costs orders against corporations, including </w:t>
      </w:r>
      <w:r>
        <w:rPr>
          <w:rFonts w:ascii="arial" w:eastAsia="arial" w:hAnsi="arial" w:cs="arial"/>
          <w:i/>
          <w:color w:val="000000"/>
          <w:sz w:val="20"/>
          <w:lang w:val="en-US" w:eastAsia="en-US" w:bidi="ar-SA"/>
        </w:rPr>
        <w:t>Kropp v. Swaneset Bay Golf Course Ltd.</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[1997] B.C.J. No. 593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Citizens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(1993), 25 BCAC 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Fat Mel's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These cases set out the considerations and principles that can be summarized as set out in paragraph 17 of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paragraph 22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in showing that an order for security would stifle the action the plaintiff must do more than show that it has no assets: See </w:t>
      </w:r>
      <w:r>
        <w:rPr>
          <w:rFonts w:ascii="arial" w:eastAsia="arial" w:hAnsi="arial" w:cs="arial"/>
          <w:i/>
          <w:color w:val="000000"/>
          <w:sz w:val="20"/>
          <w:lang w:val="en-US" w:eastAsia="en-US" w:bidi="ar-SA"/>
        </w:rPr>
        <w:t>Paul v. General Magnaplate Corp</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(1995), 27 O.R. (3d) 314</w:t>
        </w:r>
      </w:hyperlink>
      <w:r>
        <w:rPr>
          <w:rFonts w:ascii="arial" w:eastAsia="arial" w:hAnsi="arial" w:cs="arial"/>
          <w:color w:val="000000"/>
          <w:sz w:val="20"/>
          <w:lang w:val="en-US" w:eastAsia="en-US" w:bidi="ar-SA"/>
        </w:rPr>
        <w:t xml:space="preserve"> (Gen.Div.). The defendants have already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corporate plaintiff has insufficient assets to pay costs if unsuccessful. Mr. Kropp's affidavit does not really add to that position and establish that the corporate plaintiff is impecunious, in the sense of lacking any means of raising money for security. I think the law requires him to do so. As Megarry, V.C., said in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supra, at 535, the purpose of the provision is to protect "the community against litigious abuses by artificial persons manipulated by natural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 am respectfully of the view that the learned chambers judge erred in finding that the corporate plaintiff would be prevented from pursuing its claim if security were to be ordered. And it would, in my view, be contrary to the principles enunciated above to refuse security on the grounds that the corporate plaintiff would "have difficulty" in pursuing the action if security for costs were to be ordered. It seems likely, as the defendants contend, that the learned chambers judge failed adequately to distinguish between the position of Mr. Kropp as a natural person, and the corporate plaintiff as an artificial legal entity. I think this is entirely understandable, given the failure to distinguish in the statement of claim between the claims of the two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Citizens</w:t>
      </w:r>
      <w:r>
        <w:rPr>
          <w:rFonts w:ascii="arial" w:eastAsia="arial" w:hAnsi="arial" w:cs="arial"/>
          <w:color w:val="000000"/>
          <w:sz w:val="20"/>
          <w:lang w:val="en-US" w:eastAsia="en-US" w:bidi="ar-SA"/>
        </w:rPr>
        <w:t xml:space="preserve"> case, Justice Romilly stated at paras. 22, 23 and 24:</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in showing that an order for security would stifle the action, the plaintiff must show that it has insufficient assets and no means of raising money for security: </w:t>
      </w:r>
      <w:r>
        <w:rPr>
          <w:rFonts w:ascii="arial" w:eastAsia="arial" w:hAnsi="arial" w:cs="arial"/>
          <w:i/>
          <w:color w:val="000000"/>
          <w:sz w:val="20"/>
          <w:lang w:val="en-US" w:eastAsia="en-US" w:bidi="ar-SA"/>
        </w:rPr>
        <w:t>Kropp, supra</w:t>
      </w:r>
      <w:r>
        <w:rPr>
          <w:rFonts w:ascii="arial" w:eastAsia="arial" w:hAnsi="arial" w:cs="arial"/>
          <w:color w:val="000000"/>
          <w:sz w:val="20"/>
          <w:lang w:val="en-US" w:eastAsia="en-US" w:bidi="ar-SA"/>
        </w:rPr>
        <w:t xml:space="preserve">. In the case at bar, there is [a] dearth [of] evidence as to the financial state of affairs of the plaintiff. There is also a dearth of evidence as to any access the plaintiff may have to resources. Consequently, though it appears that the plaintiff may be unable to pay costs of the action, it does not follow, in the absence of evidence </w:t>
      </w:r>
      <w:r>
        <w:rPr>
          <w:rFonts w:ascii="arial" w:eastAsia="arial" w:hAnsi="arial" w:cs="arial"/>
          <w:color w:val="000000"/>
          <w:sz w:val="20"/>
          <w:u w:val="single"/>
          <w:lang w:val="en-US" w:eastAsia="en-US" w:bidi="ar-SA"/>
        </w:rPr>
        <w:t>that such a state of affairs would result in stifling the advancement of the plaintiff's claim if costs were ordered to be secured</w:t>
      </w: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 on an application for security for costs, once the defendants have established a prima facie case that the plaintiff lacks exigible assets, the plaintiff is required to respond with evidence to establish either that it will be able to pay the defendants' costs, that the defendants have no arguable case, or that an order for security will stifle the action. These tests serve to balance the possible injustice of stifling the corporate plaintiff's claim against the possible injustices of exposing the defendants to a law suit where they could not recover their costs if successful.</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additional factor that might guide the exercise of the court's discretion in ordering security for costs is the status of the plaintiff's residence as a reciprocating state.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Finally, in the Court of Appeal decision in </w:t>
      </w:r>
      <w:r>
        <w:rPr>
          <w:rFonts w:ascii="arial" w:eastAsia="arial" w:hAnsi="arial" w:cs="arial"/>
          <w:i/>
          <w:color w:val="000000"/>
          <w:sz w:val="20"/>
          <w:lang w:val="en-US" w:eastAsia="en-US" w:bidi="ar-SA"/>
        </w:rPr>
        <w:t>Fat Mel's</w:t>
      </w:r>
      <w:r>
        <w:rPr>
          <w:rFonts w:ascii="arial" w:eastAsia="arial" w:hAnsi="arial" w:cs="arial"/>
          <w:color w:val="000000"/>
          <w:sz w:val="20"/>
          <w:lang w:val="en-US" w:eastAsia="en-US" w:bidi="ar-SA"/>
        </w:rPr>
        <w:t>, at paragraph 16, the court stated: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making of an order under s. 229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is discretionary. However, once the applicant for security has shown that the plaintiff will not be able to pay costs should the claim fail, security is generally ordered unless the court is satisfied that there is no arguable defence.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Master Joyce in </w:t>
      </w:r>
      <w:r>
        <w:rPr>
          <w:rFonts w:ascii="arial" w:eastAsia="arial" w:hAnsi="arial" w:cs="arial"/>
          <w:i/>
          <w:color w:val="000000"/>
          <w:sz w:val="20"/>
          <w:lang w:val="en-US" w:eastAsia="en-US" w:bidi="ar-SA"/>
        </w:rPr>
        <w:t>3473 Investment Ltd. v. Orr</w:t>
      </w:r>
      <w:r>
        <w:rPr>
          <w:rFonts w:ascii="arial" w:eastAsia="arial" w:hAnsi="arial" w:cs="arial"/>
          <w:color w:val="000000"/>
          <w:sz w:val="20"/>
          <w:lang w:val="en-US" w:eastAsia="en-US" w:bidi="ar-SA"/>
        </w:rPr>
        <w:t xml:space="preserve"> (22 May 1991), </w:t>
      </w:r>
      <w:hyperlink r:id="rId475" w:history="1">
        <w:r>
          <w:rPr>
            <w:rFonts w:ascii="arial" w:eastAsia="arial" w:hAnsi="arial" w:cs="arial"/>
            <w:i/>
            <w:color w:val="0077CC"/>
            <w:sz w:val="20"/>
            <w:u w:val="single"/>
            <w:shd w:val="clear" w:color="auto" w:fill="FFFFFF"/>
            <w:lang w:val="en-US" w:eastAsia="en-US" w:bidi="ar-SA"/>
          </w:rPr>
          <w:t>[1992] B.C.J. No. 1140</w:t>
        </w:r>
      </w:hyperlink>
      <w:r>
        <w:rPr>
          <w:rFonts w:ascii="arial" w:eastAsia="arial" w:hAnsi="arial" w:cs="arial"/>
          <w:color w:val="000000"/>
          <w:sz w:val="20"/>
          <w:lang w:val="en-US" w:eastAsia="en-US" w:bidi="ar-SA"/>
        </w:rPr>
        <w:t xml:space="preserve"> Vancouver C916920 (B.C.S.C.), made the following statement: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impecuniosity of the plaintiff company, which is the very foundation of the defendants' application, cannot be used to defeat its entitlement to security. It appears to me that the plaintiff or its principals or investors or backers seek to retain the protection of the corporate veil in avoiding any exposure to costs while maintaining the action in the hope of recovering damages. They seek a win-win position. I am of the view they are not entitled to do so. I am simply not persuaded that if security is ordered the plaintiff will not be able to prosecute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 also refers to a series of cases dealing with the court's discretion to order security for costs against individual plaintiffs. For example, </w:t>
      </w:r>
      <w:r>
        <w:rPr>
          <w:rFonts w:ascii="arial" w:eastAsia="arial" w:hAnsi="arial" w:cs="arial"/>
          <w:i/>
          <w:color w:val="000000"/>
          <w:sz w:val="20"/>
          <w:lang w:val="en-US" w:eastAsia="en-US" w:bidi="ar-SA"/>
        </w:rPr>
        <w:t>I.J. v. J.A.M.</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2013 BCSC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I.J. v. J.A.M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Tresoro Mining Corporation v. Mercer Gold Corp. (B.C.)</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2015 BCSC 1822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Tresoro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Both of those decisions are instructive. I refer to the comments of Justice Burnyeat in </w:t>
      </w:r>
      <w:r>
        <w:rPr>
          <w:rFonts w:ascii="arial" w:eastAsia="arial" w:hAnsi="arial" w:cs="arial"/>
          <w:i/>
          <w:color w:val="000000"/>
          <w:sz w:val="20"/>
          <w:lang w:val="en-US" w:eastAsia="en-US" w:bidi="ar-SA"/>
        </w:rPr>
        <w:t>I.J. v. J.A.M</w:t>
      </w:r>
      <w:r>
        <w:rPr>
          <w:rFonts w:ascii="arial" w:eastAsia="arial" w:hAnsi="arial" w:cs="arial"/>
          <w:color w:val="000000"/>
          <w:sz w:val="20"/>
          <w:lang w:val="en-US" w:eastAsia="en-US" w:bidi="ar-SA"/>
        </w:rPr>
        <w:t>. Starting at paragraph 10:</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has the inherent jurisdiction to order security for costs. Whether security is to be awarded is within the discretion of the Court: </w:t>
      </w:r>
      <w:r>
        <w:rPr>
          <w:rFonts w:ascii="arial" w:eastAsia="arial" w:hAnsi="arial" w:cs="arial"/>
          <w:i/>
          <w:color w:val="000000"/>
          <w:sz w:val="20"/>
          <w:lang w:val="en-US" w:eastAsia="en-US" w:bidi="ar-SA"/>
        </w:rPr>
        <w:t>Launer v. Sommerfeld</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(1964), 45 D.L.R. (2d) 293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Pomerleau v. Thorpe</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[2009] B.C.J. No. 722</w:t>
        </w:r>
      </w:hyperlink>
      <w:r>
        <w:rPr>
          <w:rFonts w:ascii="arial" w:eastAsia="arial" w:hAnsi="arial" w:cs="arial"/>
          <w:color w:val="000000"/>
          <w:sz w:val="20"/>
          <w:lang w:val="en-US" w:eastAsia="en-US" w:bidi="ar-SA"/>
        </w:rPr>
        <w:t xml:space="preserve"> (S.C.). In this regard, there is no rule of Court in British Columbia governing when an order for security for costs should be made against an individual: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2008 BCSC 1229</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62 C.P.C. (6th) 235</w:t>
        </w:r>
      </w:hyperlink>
      <w:r>
        <w:rPr>
          <w:rFonts w:ascii="arial" w:eastAsia="arial" w:hAnsi="arial" w:cs="arial"/>
          <w:color w:val="000000"/>
          <w:sz w:val="20"/>
          <w:lang w:val="en-US" w:eastAsia="en-US" w:bidi="ar-SA"/>
        </w:rPr>
        <w:t xml:space="preserve"> (B.C.S.C.).</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a personal defendant, Ehrcke J. in </w:t>
      </w:r>
      <w:r>
        <w:rPr>
          <w:rFonts w:ascii="arial" w:eastAsia="arial" w:hAnsi="arial" w:cs="arial"/>
          <w:i/>
          <w:color w:val="000000"/>
          <w:sz w:val="20"/>
          <w:lang w:val="en-US" w:eastAsia="en-US" w:bidi="ar-SA"/>
        </w:rPr>
        <w:t>Beasse v. Holness</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[2006] B.C.J. No. 1928</w:t>
        </w:r>
      </w:hyperlink>
      <w:r>
        <w:rPr>
          <w:rFonts w:ascii="arial" w:eastAsia="arial" w:hAnsi="arial" w:cs="arial"/>
          <w:color w:val="000000"/>
          <w:sz w:val="20"/>
          <w:lang w:val="en-US" w:eastAsia="en-US" w:bidi="ar-SA"/>
        </w:rPr>
        <w:t xml:space="preserve"> (S.C.),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case of a personal plaintiff, the basic rule is that a natural person should not be barred from having his day in court because of poverty and therefore the power to require the posting of security of costs should be exercised with restraint. An order should not be made without good reason.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the power to make an order should be: "... exercised cautiously, sparingly and indeed under very special circumstances": </w:t>
      </w:r>
      <w:r>
        <w:rPr>
          <w:rFonts w:ascii="arial" w:eastAsia="arial" w:hAnsi="arial" w:cs="arial"/>
          <w:i/>
          <w:color w:val="000000"/>
          <w:sz w:val="20"/>
          <w:lang w:val="en-US" w:eastAsia="en-US" w:bidi="ar-SA"/>
        </w:rPr>
        <w:t>Tordoff v. Canada Life Assurance Co</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(1985) 64 B.C.L.R. 46</w:t>
        </w:r>
      </w:hyperlink>
      <w:r>
        <w:rPr>
          <w:rFonts w:ascii="arial" w:eastAsia="arial" w:hAnsi="arial" w:cs="arial"/>
          <w:color w:val="000000"/>
          <w:sz w:val="20"/>
          <w:lang w:val="en-US" w:eastAsia="en-US" w:bidi="ar-SA"/>
        </w:rPr>
        <w:t xml:space="preserve"> (S.C.), at para. 14; </w:t>
      </w:r>
      <w:r>
        <w:rPr>
          <w:rFonts w:ascii="arial" w:eastAsia="arial" w:hAnsi="arial" w:cs="arial"/>
          <w:i/>
          <w:color w:val="000000"/>
          <w:sz w:val="20"/>
          <w:lang w:val="en-US" w:eastAsia="en-US" w:bidi="ar-SA"/>
        </w:rPr>
        <w:t>Falso v. DeStefanis</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[1992] B.C.J. No. 337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Fraser v. Houston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(1997) 36 B.C.L.R. (3d) 118</w:t>
        </w:r>
      </w:hyperlink>
      <w:r>
        <w:rPr>
          <w:rFonts w:ascii="arial" w:eastAsia="arial" w:hAnsi="arial" w:cs="arial"/>
          <w:color w:val="000000"/>
          <w:sz w:val="20"/>
          <w:lang w:val="en-US" w:eastAsia="en-US" w:bidi="ar-SA"/>
        </w:rPr>
        <w:t xml:space="preserve"> (S.C.), at paras. 5 and 10; </w:t>
      </w:r>
      <w:r>
        <w:rPr>
          <w:rFonts w:ascii="arial" w:eastAsia="arial" w:hAnsi="arial" w:cs="arial"/>
          <w:i/>
          <w:color w:val="000000"/>
          <w:sz w:val="20"/>
          <w:lang w:val="en-US" w:eastAsia="en-US" w:bidi="ar-SA"/>
        </w:rPr>
        <w:t>Gray v. Powerassist Technologies Inc</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(2001), 10 C.P.C. (5th) 148</w:t>
        </w:r>
      </w:hyperlink>
      <w:r>
        <w:rPr>
          <w:rFonts w:ascii="arial" w:eastAsia="arial" w:hAnsi="arial" w:cs="arial"/>
          <w:color w:val="000000"/>
          <w:sz w:val="20"/>
          <w:lang w:val="en-US" w:eastAsia="en-US" w:bidi="ar-SA"/>
        </w:rPr>
        <w:t xml:space="preserve"> (B.C.S.C.), at para. 20; </w:t>
      </w:r>
      <w:r>
        <w:rPr>
          <w:rFonts w:ascii="arial" w:eastAsia="arial" w:hAnsi="arial" w:cs="arial"/>
          <w:i/>
          <w:color w:val="000000"/>
          <w:sz w:val="20"/>
          <w:lang w:val="en-US" w:eastAsia="en-US" w:bidi="ar-SA"/>
        </w:rPr>
        <w:t>Wong v. Huang</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[2004] B.C.J. No. 1302</w:t>
        </w:r>
      </w:hyperlink>
      <w:r>
        <w:rPr>
          <w:rFonts w:ascii="arial" w:eastAsia="arial" w:hAnsi="arial" w:cs="arial"/>
          <w:color w:val="000000"/>
          <w:sz w:val="20"/>
          <w:lang w:val="en-US" w:eastAsia="en-US" w:bidi="ar-SA"/>
        </w:rPr>
        <w:t xml:space="preserve"> (S.C.), at para. 32. In </w:t>
      </w:r>
      <w:r>
        <w:rPr>
          <w:rFonts w:ascii="arial" w:eastAsia="arial" w:hAnsi="arial" w:cs="arial"/>
          <w:i/>
          <w:color w:val="000000"/>
          <w:sz w:val="20"/>
          <w:lang w:val="en-US" w:eastAsia="en-US" w:bidi="ar-SA"/>
        </w:rPr>
        <w:t>Fraser, supra</w:t>
      </w:r>
      <w:r>
        <w:rPr>
          <w:rFonts w:ascii="arial" w:eastAsia="arial" w:hAnsi="arial" w:cs="arial"/>
          <w:color w:val="000000"/>
          <w:sz w:val="20"/>
          <w:lang w:val="en-US" w:eastAsia="en-US" w:bidi="ar-SA"/>
        </w:rPr>
        <w:t>, it was stated that orders should not be made except in egregious circumstances amounting to an abuse of the court's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factors have been considered by the Court in determining whether it is appropriate to make an order for security costs against an individual claimant: (a) the merits of the plaintiff's claim: </w:t>
      </w:r>
      <w:r>
        <w:rPr>
          <w:rFonts w:ascii="arial" w:eastAsia="arial" w:hAnsi="arial" w:cs="arial"/>
          <w:i/>
          <w:color w:val="000000"/>
          <w:sz w:val="20"/>
          <w:lang w:val="en-US" w:eastAsia="en-US" w:bidi="ar-SA"/>
        </w:rPr>
        <w:t>Tordoff, supra</w:t>
      </w:r>
      <w:r>
        <w:rPr>
          <w:rFonts w:ascii="arial" w:eastAsia="arial" w:hAnsi="arial" w:cs="arial"/>
          <w:color w:val="000000"/>
          <w:sz w:val="20"/>
          <w:lang w:val="en-US" w:eastAsia="en-US" w:bidi="ar-SA"/>
        </w:rPr>
        <w:t>, at paras. 19-20; F</w:t>
      </w:r>
      <w:r>
        <w:rPr>
          <w:rFonts w:ascii="arial" w:eastAsia="arial" w:hAnsi="arial" w:cs="arial"/>
          <w:i/>
          <w:color w:val="000000"/>
          <w:sz w:val="20"/>
          <w:lang w:val="en-US" w:eastAsia="en-US" w:bidi="ar-SA"/>
        </w:rPr>
        <w:t>rank Hillis Logging Co. v. Hoeya Sound Logging Ltd.</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[1971] 2 W.W.R. 471</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Launer,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Mobilificio Trebbianco, S.p.A. v. Rome</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[1981] B.C.J. No. 374</w:t>
        </w:r>
      </w:hyperlink>
      <w:r>
        <w:rPr>
          <w:rFonts w:ascii="arial" w:eastAsia="arial" w:hAnsi="arial" w:cs="arial"/>
          <w:color w:val="000000"/>
          <w:sz w:val="20"/>
          <w:lang w:val="en-US" w:eastAsia="en-US" w:bidi="ar-SA"/>
        </w:rPr>
        <w:t xml:space="preserve"> (S.C.); (b) the inability of defendants to recover costs from a plaintiff such as where the plaintiff is bankrupt or insolvent: </w:t>
      </w:r>
      <w:r>
        <w:rPr>
          <w:rFonts w:ascii="arial" w:eastAsia="arial" w:hAnsi="arial" w:cs="arial"/>
          <w:i/>
          <w:color w:val="000000"/>
          <w:sz w:val="20"/>
          <w:lang w:val="en-US" w:eastAsia="en-US" w:bidi="ar-SA"/>
        </w:rPr>
        <w:t>Han, supra</w:t>
      </w:r>
      <w:r>
        <w:rPr>
          <w:rFonts w:ascii="arial" w:eastAsia="arial" w:hAnsi="arial" w:cs="arial"/>
          <w:color w:val="000000"/>
          <w:sz w:val="20"/>
          <w:lang w:val="en-US" w:eastAsia="en-US" w:bidi="ar-SA"/>
        </w:rPr>
        <w:t xml:space="preserve">, at para. 16; (c) whether the plaintiff has demonstrated an intention not to comply with previous orders relating to costs payable; (d) if there is a risk that the plaintiff is not "findable": </w:t>
      </w:r>
      <w:r>
        <w:rPr>
          <w:rFonts w:ascii="arial" w:eastAsia="arial" w:hAnsi="arial" w:cs="arial"/>
          <w:i/>
          <w:color w:val="000000"/>
          <w:sz w:val="20"/>
          <w:lang w:val="en-US" w:eastAsia="en-US" w:bidi="ar-SA"/>
        </w:rPr>
        <w:t>Han, supra</w:t>
      </w:r>
      <w:r>
        <w:rPr>
          <w:rFonts w:ascii="arial" w:eastAsia="arial" w:hAnsi="arial" w:cs="arial"/>
          <w:color w:val="000000"/>
          <w:sz w:val="20"/>
          <w:lang w:val="en-US" w:eastAsia="en-US" w:bidi="ar-SA"/>
        </w:rPr>
        <w:t xml:space="preserve">, at para. 17; and (e) where there was evidence suggesting that a false description of residence or a false name had been given to the court or used generally: </w:t>
      </w:r>
      <w:r>
        <w:rPr>
          <w:rFonts w:ascii="arial" w:eastAsia="arial" w:hAnsi="arial" w:cs="arial"/>
          <w:i/>
          <w:color w:val="000000"/>
          <w:sz w:val="20"/>
          <w:lang w:val="en-US" w:eastAsia="en-US" w:bidi="ar-SA"/>
        </w:rPr>
        <w:t>Fraser v. Palmer</w:t>
      </w:r>
      <w:r>
        <w:rPr>
          <w:rFonts w:ascii="arial" w:eastAsia="arial" w:hAnsi="arial" w:cs="arial"/>
          <w:color w:val="000000"/>
          <w:sz w:val="20"/>
          <w:lang w:val="en-US" w:eastAsia="en-US" w:bidi="ar-SA"/>
        </w:rPr>
        <w:t xml:space="preserve"> (1883), 3 Y.&amp;C. Ex. 279; and </w:t>
      </w:r>
      <w:r>
        <w:rPr>
          <w:rFonts w:ascii="arial" w:eastAsia="arial" w:hAnsi="arial" w:cs="arial"/>
          <w:i/>
          <w:color w:val="000000"/>
          <w:sz w:val="20"/>
          <w:lang w:val="en-US" w:eastAsia="en-US" w:bidi="ar-SA"/>
        </w:rPr>
        <w:t>Swanzy v. Swanzy</w:t>
      </w:r>
      <w:r>
        <w:rPr>
          <w:rFonts w:ascii="arial" w:eastAsia="arial" w:hAnsi="arial" w:cs="arial"/>
          <w:color w:val="000000"/>
          <w:sz w:val="20"/>
          <w:lang w:val="en-US" w:eastAsia="en-US" w:bidi="ar-SA"/>
        </w:rPr>
        <w:t xml:space="preserve"> (1858), 4 K.&amp; J. 237.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paragraph 16:</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defendant in this case] to show that this order should be made.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Continuing at paragraph 23:</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Island Research &amp; Development Corp. v. The Boeing Co., </w:t>
      </w:r>
      <w:hyperlink r:id="rId489" w:history="1">
        <w:r>
          <w:rPr>
            <w:rFonts w:ascii="arial" w:eastAsia="arial" w:hAnsi="arial" w:cs="arial"/>
            <w:i/>
            <w:color w:val="0077CC"/>
            <w:sz w:val="20"/>
            <w:u w:val="single"/>
            <w:shd w:val="clear" w:color="auto" w:fill="FFFFFF"/>
            <w:lang w:val="en-US" w:eastAsia="en-US" w:bidi="ar-SA"/>
          </w:rPr>
          <w:t>[1991] B.C.J. No. 12</w:t>
        </w:r>
      </w:hyperlink>
      <w:r>
        <w:rPr>
          <w:rFonts w:ascii="arial" w:eastAsia="arial" w:hAnsi="arial" w:cs="arial"/>
          <w:color w:val="000000"/>
          <w:sz w:val="20"/>
          <w:lang w:val="en-US" w:eastAsia="en-US" w:bidi="ar-SA"/>
        </w:rPr>
        <w:t xml:space="preserve"> (S.C.), Spencer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factors to be considered in achieving a just balance between the defendants' right to protection and the plaintiffs' right to advance a potential claim for adjudication include the chance of the claim's success, the anticipated level of cost in conducting the action and the prospect of the plaintiffs ever having assets from which to pay the defendants' costs if the claim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same considerations and factors are set out in the </w:t>
      </w:r>
      <w:r>
        <w:rPr>
          <w:rFonts w:ascii="arial" w:eastAsia="arial" w:hAnsi="arial" w:cs="arial"/>
          <w:i/>
          <w:color w:val="000000"/>
          <w:sz w:val="20"/>
          <w:lang w:val="en-US" w:eastAsia="en-US" w:bidi="ar-SA"/>
        </w:rPr>
        <w:t>Tresoro Mining Corporation</w:t>
      </w:r>
      <w:r>
        <w:rPr>
          <w:rFonts w:ascii="arial" w:eastAsia="arial" w:hAnsi="arial" w:cs="arial"/>
          <w:color w:val="000000"/>
          <w:sz w:val="20"/>
          <w:lang w:val="en-US" w:eastAsia="en-US" w:bidi="ar-SA"/>
        </w:rPr>
        <w:t xml:space="preserve"> case at paragraphs 19, 21, 28 and 36. At para. 41, Justice Fenlon quoted from the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2008 BCSC 1229</w:t>
        </w:r>
      </w:hyperlink>
      <w:r>
        <w:rPr>
          <w:rFonts w:ascii="arial" w:eastAsia="arial" w:hAnsi="arial" w:cs="arial"/>
          <w:color w:val="000000"/>
          <w:sz w:val="20"/>
          <w:lang w:val="en-US" w:eastAsia="en-US" w:bidi="ar-SA"/>
        </w:rPr>
        <w:t>, decision of Madam Justice Dillon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power to order security for costs against an individual is to be exercised cautiously, sparingly, and only under special circumstances, sometimes described as egregious circumstances. Such special circumstances could arise if an impecunious plaintiff also has a weak claim, or has failed to pay costs before, or refused to follow a court order for payment of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pause to note a claim by the Canada Revenue Agency against the plaintiff Mr. Kretschmer for outstanding income taxes is in the $80,000 range. That judgment has been registered against his quarter interest in the only property it appears that he owns, certainly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exercising my discretion to order security for costs against an individual plaintiff, I can take into account the merits of the plaintiff's claim against Mr. Turner's corporation which appear to me to be weak.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substantially the reasons set out in the defendant's notice of application as expounded in Mr. MacInnis' submissions, I am easily satisfied that an order for security for costs should be made by the plaintiffs individually and corporately.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are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Firstly, 121 is a foreign corporation with no assets or presence in BC. I have no evidence before me to suggest that should the defendant succeed in defending the plaintiffs' claim, 121, Tylon or Mr. Kretschmer would be able to pay costs. Indeed,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Secondly, Tylon has been struck from the register for failure to file annual reports and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Thirdly, Mr. Kretschmer has not satisfied me that he has the ability to pay costs should this claim be dismissed. Indeed, during submissions he admitted as much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Fourthly, the defendant has presented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as to why security for costs should be ordered, but the plaintiffs have not shown me why that order should not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Fifthly, the plaintiffs make essentially three claims against the defendant. First, they say that the defendant failed to provide evidence of his legal fees to the plaintiffs so they could recover those fees in their ongoing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Mr. Rotstein. However, the matter of Mr. Turner's legal fees is before Master Wilson, and until Master Wilson has ruled on what those fees should be the amounts are not known. Until the amounts are known the plaintiffs refuse to pay. In any event, it appears from the evidence I have that the Rotstein action is in limbo and no substantial steps have been taken by the plaintiffs to prosecute that action since it was commenced in April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Next, the plaintiffs complain about Mr. Turner's handling of the Roy claim. As indicated, Mr. Turner defended the Roy claim for the plaintiffs in March 2011. Judgment was handed down by Justice Josephson on April 13, 2011. Judgment was awarded against 121 for $317,300, but it was dismissed against Mr. Kretschmer personally. The appeal of that judgment resulted in the Court of Appeal ordering a new trial on all issues which had the effect of starting the entire case over again. Mr. Turner was not counsel for the plaintiffs either on the appeal or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Finally, the plaintiffs complain about the settlement in the Pont and Landon action in April 2011. The plaintiffs allege that Mr. Turner was not ready for trial and that they were improperly forced to settle. This issue will be very difficult to determine. It will require a very detailed analysis and review of the background of the Pont and Landon claims and Mr. Turner's actions or inactions, as the case may be, in defending them. That will be a time consuming and expensive exercise. What is not known is what the outcome would have been had those cases proceeded to trial. What is known, however, is the outcome of the Roy action. The circumstances involving both actions were somewhat similar. From the material that I have in front of me, I consider the realistic chances of the plaintiffs succeeding against the defendant on this claim as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are no strangers to the court system, nor to applications for security for costs. They have had orders made against them for security for costs in both this court and in the Court of Appeal. In addition, Mr. Kretschmer has been the subject of extensive commentary by this Court and the Court of Appeal regarding his voracity.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For example, in the second Roy action, </w:t>
      </w:r>
      <w:r>
        <w:rPr>
          <w:rFonts w:ascii="arial" w:eastAsia="arial" w:hAnsi="arial" w:cs="arial"/>
          <w:i/>
          <w:color w:val="000000"/>
          <w:sz w:val="20"/>
          <w:lang w:val="en-US" w:eastAsia="en-US" w:bidi="ar-SA"/>
        </w:rPr>
        <w:t>Roy v. 1216393 Ontario Inc.</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2012 BCSC 1752</w:t>
        </w:r>
      </w:hyperlink>
      <w:r>
        <w:rPr>
          <w:rFonts w:ascii="arial" w:eastAsia="arial" w:hAnsi="arial" w:cs="arial"/>
          <w:color w:val="000000"/>
          <w:sz w:val="20"/>
          <w:lang w:val="en-US" w:eastAsia="en-US" w:bidi="ar-SA"/>
        </w:rPr>
        <w:t>, Madam Justice Bruce stated at paragraph 102: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find the credibility of Mr. Kretschmer's evidence in this trial to be very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And at paragraph 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Mr. Kretschmer has repeatedly blamed his lawyers for either improvident legal advice or improper conduct as a means of avoiding responsibility for his actions. For example, Mr. Kretschmer attempted to avoid responsibility for his decision to cancel the contracts of the first tier purchasers by hiding behind privileged legal opinions he received from counsel. In addition, Mr. Kretschmer blamed his counsel in the Romfo Action for making improper admissions about his false statements to the first tier purchasers concerning the reason for cancelling their contracts. Lastly, Mr. Kretschmer blamed his previous lawyer in this action for retaining documents that could have proven the plaintiffs knew of the Adams' claim well before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And in the Court of Appeal in </w:t>
      </w:r>
      <w:r>
        <w:rPr>
          <w:rFonts w:ascii="arial" w:eastAsia="arial" w:hAnsi="arial" w:cs="arial"/>
          <w:i/>
          <w:color w:val="000000"/>
          <w:sz w:val="20"/>
          <w:lang w:val="en-US" w:eastAsia="en-US" w:bidi="ar-SA"/>
        </w:rPr>
        <w:t>Roy v. Kretschmer</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2014 BCCA 90</w:t>
        </w:r>
      </w:hyperlink>
      <w:r>
        <w:rPr>
          <w:rFonts w:ascii="arial" w:eastAsia="arial" w:hAnsi="arial" w:cs="arial"/>
          <w:color w:val="000000"/>
          <w:sz w:val="20"/>
          <w:lang w:val="en-US" w:eastAsia="en-US" w:bidi="ar-SA"/>
        </w:rPr>
        <w:t>, Justice Harris commented on Mr. Kretschmer's lack of candour in respect to affidavit material filed by him in an effort to avoid security for costs: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I am also concerned that Mr. Kretschmer, in seeking the indulgence of the Court, has been less than forthright with it. His lack of candour reinforces my view that I ought not to exercise my discretion in his favour and to the detriment of the Roys by setting aside the order.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coming to my decision and making the order I am making, I take into account the history of this case, the many lawsuits that have been before this Court related to the Crystal Waters development, the findings made against Mr. Kretschmer's credibility and what I consider the likelihood of the claims against Mr. Turner being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reviewed the defendant's draft proposal of costs, which are based on an estimated 15 days of trial. This case will be document heavy and complex. It will be time consuming. It is not a straightforward case. It is certainly not as straightforward as Mr. Kretschmer suggests. Examinations for discovery will be lengthy. Given the plaintiffs' apparent pattern of behaviour in prosecuting lawsuits and given the plaintiffs have not indicated they intend to change that pattern, the 15 days estimate seems realistic. Indeed I suspect that estimate may be conservative.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Therefore, for substantially the reasons set out in Mr. MacInnis' submissions, I am granting the order sought. These will be the orders: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will post security for costs for the benefit of the defendant in the amount of $100,000 by no later than July 2, 2017;</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proceeding be stayed until the plaintiffs have posted the required security;</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the plaintiffs fail to post the required security by July 2, 2017, the defendant has liberty to apply to the court for a dismissal of this action;</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requirement for the plaintiffs' signatures on this order will be dispensed with on the condition that an entered copy of this order be delivered to the plaintiffs;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making no order as to costs of today's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Albert v. Hill, [2002] B.C.J. No. 1168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2 - 5, 8 and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 0760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631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234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Philippe Albert, plaintiff, and Bradley Kenneth Hill,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2" w:name="Keywords_14"/>
      <w:bookmarkEnd w:id="142"/>
      <w:r>
        <w:rPr>
          <w:rFonts w:ascii="arial" w:eastAsia="arial" w:hAnsi="arial" w:cs="arial"/>
          <w:b/>
          <w:color w:val="000000"/>
          <w:sz w:val="20"/>
          <w:lang w:val="en-US" w:eastAsia="en-US" w:bidi="ar-SA"/>
        </w:rPr>
        <w:t>Damage awards — Injury and death — Body injuries — Back, sprains, tears and soft tissue injuries — Shoulder — Neck injuries — Soft tissue injuries — Damages — General damages for personal injury — Pain and suffering, loss of amenities and other nonpecuniary damages — Aggravation of pre-existing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3" w:name="Case Summary_12"/>
            <w:bookmarkEnd w:id="1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Albert for damages respecting injuries he suffered when Hill's vehicle rear-ended the car he was driving. Hill admitted liability but argued that Albert's pre-existing condition was the cause of his present medical difficulties. By the time of the collision, Albert had been suffering from chronic, work-related lower back problems for almost 20 years. They were frequently debilitating and seriously compromised his tugboat employment. After the accident, he underwent his fourth and fifth back surgeries, and six months after the last surgery was in a serious single-vehicle crash.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4" w:name="Holdings of Court_10"/>
            <w:bookmarkEnd w:id="14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Hill was to pay Albert non-pecuniary damages of $18,000, and all other claims were dismissed. There was no doubt that Albert was permanently disabled and unemployable. However, he failed to meet the burden of proof to demonstrate that Hill's actions caused or contributed to his permanent disability. At best, Albert sustained a mild to moderate soft tissue injury to his shoulder and neck, which injuries resolved within a period of months.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Counsel_19"/>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Scherr and M.W. Prior, for the plaintiff. J.A. Graham,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19"/>
      <w:bookmarkEnd w:id="146"/>
      <w:r>
        <w:pict>
          <v:line id="_x0000_s1117" style="position:absolute;z-index:2517811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MELVIN J."/>
            <w:bookmarkEnd w:id="147"/>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his amended statement of claim dated March 17, 1999, the plaintiff seeks compensation as a result of injuries he sustained in a motor vehicle accident which occurred on March 30, 1998 at or near the intersection of the Trans Canada Highway and Koksilah Road at Cobble Hill in the Province of British Columbia. At the relevant period of time, the plaintiff was driving his motor vehicle, slowing for an amber traffic light, when his vehicle was struck in the rear by the vehicle driven by the defendant. Liability for the motor vehicle accident has been admitted. The significant issue is the extent of the injuries if any sustained by the plaintiff in the motor vehicle accident, and the causal link between the motor vehicle accident and the plaintiff's "failed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the major complaints of the plaintiff relate to lumbar back pain, it is necessary to review his medical history and in particular, those portions of his medical history that relate to work-related injuries. The plaintiff was born on February 7, 1958.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list of work-related injuries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November 23, 1979 - injury to lower back, Workers' Compensation Board ("WCB")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November 29, 1981 - injury to lower back reported to WCB.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February 4, 1983 - strained lower back reported to WCB.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18, 1988 - injury to lower back reported to WCB.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6, 1990 - injury to lower back reported to WCB.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1992 - low back pain with radiating right leg pain; plaintiff unemployed February 3 to March 19, 1992, and in receipt of weekly indemnity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22, 1993 - injury to lower back reported to WCB; WCB's report contains the following "Severe lumbosacral sprain with cervical and dorsal involvement. Severe restriction in the lumbar region. Moderate restriction in the cervicodorsal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November 22, 1993 - reported to WCB; claim denied; appeal outstanding; area of the injury described in the WCB claim is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1994 - plaintiff reports to his physician back pain in February, March, April (back pains worse still, up all night, missing job, worst relapse yet), May, June (ongoing pain); June 14, 1994 - MR exam of lumbar spine shows a small central disc protrusion at L3-5 and a small to moderate size protrusion at L4-5.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6, 1994 - plaintiff reports 8 to 9 years of back pain on and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18, 1994 - ongoing back pain into both legs.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September 1994 - back pain unresolved.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1994 - back pain, hunched over, barely walking, tender in all of the lumbar muscles.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November 1994 - chronic back pain, Cortisone injections.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1994 - plaintiff "states loosing (sic) it"; back a bit better; lumbago, anxiety and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1994 - unresolved back pain, resulting in plaintiff off work from March 6, 1994 to September 28, 1995 collecting weekly indemnity and long term disability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21, 1995 - a right L4-5 discectomy performed by Dr. Cameron.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September 29, 1995 - the plaintiff returned to work and continued until May 28,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26, 1996 - significant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1996 - significant back pain; Dr. Nielsen general practitioner "advised will discuss with Dr. Cameron"; plaintiff wishes his back operated on so he can get back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1996 - back pain has been relieved with Demerol and wants more, discussion with physician about use of narcotics.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1997 - severe back pain, unable to cope.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1, 1997 - no definite evidence of persistent or recurring disc protrusion or lumbar stenosis.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28, 1997 - injured lower back reported to WCB.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2, 1997 - VGH emergency, lumbar disc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5, 1997 - hospital visit,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9, 1997 - hospital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10, 1997 - X-ray reports a major abnormality at L4-L5; the disc space between L4 and L5 has narrowed since the previous examination in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13, 1997 - recurrent right L4-5 disc protrusion; extruded fragment and significant sciatica.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17, 1997 - repeat L4-5 lumbar discectomy.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4, 1997 - pain much better; unfit for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11, 1997 - unfit to return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18, 1997 - back pain awakens him at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30, 1997 -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8, 1997 - left buttock pain, pain down right leg, burning pain in right foot.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15, 1997 - pain in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September 1997 - pain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September 19, 1997 - he feels he is worse.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1997 - pain in low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1997 - unfit to return to work, permanent impairment (at that moment in report to WCB), low back "L5/S1"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8, 1997 - pain in his back getting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next series of clinical notes by his physician are critical, as the plaintiff returned to his employment as a cook deckhand on December 27, 1997 and ceased on January 9, 1998, as a result of his condition. Thereafter, he was receiving benefits through the Workers' Compensation Board or weekly indemnity or long term disability and was receiving same at the date of the motor vehicle in question, March 30, 1998. The clinical notes of Dr. Nielsen are critical as they are the basis of a distinction made between two eminently qualified neurosurgeons as to whether or not the motor vehicle accident of March 30, 1998 had an impact on subsequent deterioration of the plaintiff's back with resultant surgeries and his now condition of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summary of Dr. Nielsen's notes for this period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12, 1998 - right leg numb from knee down; pain in back down to right leg; foot feels asleep; pain described on right buttock; Tylenol 3's prescribed, may need stronger narcotic; fit to return to work; he wants an L5/S1 discectomy - will call Dr. Cameron (neurosurgeon); permanent impairment (for WCB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19, 1998 - just wants to get finished with his back problems and get back to work and get on with things; does not understand why Dr. Cameron will not operate and fix his L5 S1 which he is convinced is the problem area; having some problems with anxiety; off work at present; right lateral leg "pulsating"; 10 Tylenol #3 per day; electrical feeling in his right foot and right lateral calf numb; when he contracts his buttocks his back cracks, gives relief from pain; tender at bottom of scar (surgical); MS Contin (morphine based) prescribed at 30 pills at 30 mg. In cross-examination, Dr. Nielsen testified that MS Contin was prescribed for severe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February 3, 1998 - not able to sleep due to pain; right leg getting tighter and tighter; numbness increasing; taking pain pills; tender in the L5/S1 region; numb lateral distal thigh; pain while sitting and extending right leg - left leg normal; can heel walk, squatting causes pain; can toe stand but right weaker; starting to develop right foot drop; permanent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February 18, 1998 - right leg locked up getting into truck; no major change in symptoms has occurred; same findings on an objective assessment by the doctor; unfit to return to work; permanent impairment (for WCB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4, 1998 - forward flexion in chair causes pain; prescribed Prozac and other medication for chronic pain; right leg gives away on its own; increasing pain now into both legs and left buttock; has to lift left leg out of car; legs are wobbly.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11, 1998 - ongoing back pain; awaiting WCB doctor's report; sleeping better; unfit to return to work, awaiting WCB MD's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16, 1998 - ongoing back pain; patient is adamant that surgery will cure him; unfit to return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24, 1998 - summary of Dr. Wright WCB examiner's report: "appears to be temporarily incapacitated by the severe pain and cramps in his right leg. This is not surprising considering the type of work he has gone back to with a back injury which is certainly nowhere near as good as it was before the injury in May of 1997. ... This worker should not be going back to work on tugboats and it may be necessary to do a functional capacity elevation to determine what he is really capable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30, 1998 (date of motor vehicle accident) - plaintiff reported rear end March 30; having problems with his neck and his low back into his left posterior thigh; tenderness as described were the objective findings; Dr. Nielsen described a motor vehicle related soft tissue injury. He noted that the plaintiff was having problems with his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17, 1998 - still low back pain; neck stiff; some mid-shoulder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29, 1998 - spasm in right leg; aggravated by motor vehicle accident; right posterior leg has increased pain; mid thoracic back pain is the same place as in 1989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the month of May the plaintiff reported periodically to Dr. Nielsen pain, and it should be noted that the upper back is better in a report of May 27, 1998 but the lower back was still painful.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1998 - the plaintiff having emotional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10, 1998 - CT scan of the low back noted no abnormality at L3-4 or L5-S1; at L4-3 there has been a right-sided laminectomy with residual scarring on the right side; no sign of residual or recurrent disc herniation.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20, 1998 - disabling back pain noted by Dr. Nielsen.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November 27, 1998 - as a result of examination by Dr. Cameron a further discectomy occurred with the plaintiff's discharge on December 3,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18, 1998 - the fourth surgery on this area of the plaintiff's back occurred as a result of infection which involved the insertion of antibiotic beads, and on January 15, 1999, the fifth surgery occurred with the removal of those beads.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May of 1999, there was a second motor vehicle accident in which the plaintiff lost control of his vehicle due to a mechanical problem and ended up off the road in a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 doubt on the evidence that as of the date of trial, the plaintiff is permanently disabled and is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detailed recitation of the clinical notes of Dr. Nielsen is critical to the issue in the case at bar as the two neurosurgeons who have examined the plaintiff differ.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Cameron is the neurosurgeon who conducted all five surgeries, assisted in the last three surgeries by Dr. Yoneda, an orthopaedic surgeon. All medical witnesses are of the opinion that the five surgeries were required. The significant issue, as previously mentioned, is the connection between the deterioration of the plaintiff's back over this considerable period of time and its association in a causal sense with the motor vehicle accident of March 30,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ACCIDENT - MARCH 30,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driving his small motor vehicle southbound on the Trans Canada Highway at or near the intersection of Koksilah, as previously described, when it was struck in the rear by the vehicle driven by the defendant. The plaintiff testified while he was coming to a stop he heard brakes squeal and the collision occurred, catapulting his vehicle approximately 60 to 80 feet ahead, and that after the motor vehicle accident, he felt the same after every back injury: internal pain and cramping in the legs. At the time he was in the process of driving to Victoria to see Dr. Nielsen concerning the injuries that he had sustained prior to the motor vehicle accident. Consequently, on the same date, Dr. Nielsen's clinical notes report the incident of the motor vehicle accident and the pain associated therewith as described previously. In cross-examination, the plaintiff acknowledged that when his vehicle was struck it was still moving at approximately 5 mph (8 kph). He described the impact as not being a minor impact and although he did not see the defendant's vehicle before impact, the plaintiff testified that the defendant was travelling "at least 80 kilometres per hour". After the motor vehicle accident the plaintiff continued as mentioned to Victoria and saw Dr. Nielsen.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Repairs to the plaintiff's vehicle indicate minor cosmetic damage with reference to the rear bumper cover, the muffler attachment and tail lamp assembly. The estimator for the insurer described the damage as "very minor". The damage to the defendant's vehicle was more significant and included damage to the hood and grill etc. of the vehicle. The defendant testified that he was travelling 70 to 80 kph when the light turned orange and the plaintiff braked quite suddenly. The defendant testified that he slowly slid into the back of the plaintiff's car and that there was a minor bump. He did acknowledge, however, that at the time of impact he was travelling approximately 20 kph (12 mph). Insofar as the impact on himself, he was not injured nor did he strike any portion of his vehicle, nor did books and other items that he had on the seat of the vehicle fall off of the seat as a result of the impact. He testified that he thought he moved the plaintiff's vehicle approximately 1 to 2 feet, not 60 to 80 feet as testified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there is a substantial dispute between the plaintiff and the defendant as to the severity of the accident, it would appear that on the defendant's own evidence that he was travelling at approximately 20 kph (12 mph) when he struck the plaintiff's vehicle which in turn was travelling at approximately 5 mph (8 kph) at that time. No engineering or expert evidence was called to describe the dynamics of such an impact when both objects were moving. Nevertheless, there was some damage to both vehicles. I do not accept, however, the plaintiff's evidence that his vehicle was pushed some 60 to 80 feet as a result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plaintiff submit that the court should draw an inference adverse to the defendant by the failure of the defendant to produce the damage claims with reference to the defendant's vehicle. These damage claims would be the same type of record kept by the insurer of the defendant (I.C.B.C.) with reference to the damage to the plaintiff's vehicle. In my view, it would be clearly inappropriate to draw an inference adverse to the defendant as to the nature and extent of the damage to the motor vehicle, as the defendant was available for purposes of examination for discovery, was a witness at trial, and the records of the defendant's insurer (I.C.B.C.) were produced as Exhibit 23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ACCIDENT -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motor vehicle accident, the plaintiff was driving his vehicle when one of the tires blew out and as a result he lost control and went into a ditch next to the road, hit a telephone pole which was lying in the ditch, and the vehicle turned end over end. At one stage he described the accident as his vehicle having rolled twice. The vehicle then ended up facing the opposite direction in which he was travelling. He testified that an increase in low back pain after the second motor vehicle was possible. It was put to him that previously he had stated in a progress note at Royal Jubilee Hospital to Dr. Yoneda that there was "a marked increase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G. Stuart Cameron is the neurosurgeon who performed all five surgeries on the plaintiff. In surgeries 3, 4 and 5, which were post the March 30, 1998 motor vehicle accident, he was assisted by Dr. Yoneda, an orthopaedic surgeon. Dr. Cameron filed medical reports, the most significant being one dated August 24, 2001 in which he answered questions posed by counsel for the plaintiff, that I have summarized as follows:</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of March 30, 1998 triggered or caused the need for the plaintiff to have further surgery.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of March 30, 1998 accelerated the plaintiff's need for further surgery.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could have continued his daily life with less pain, discomfort and limitation absent the motor vehicle accident.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would have been able to return to work on the tugs absent the motor vehicle accident.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reasonable prospects he could have continued to work on tugs indefinitely with some risk of further injury, but this was relatively low.</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was not able to return to work on the tugs absent the March 30, 1998 motor vehicle accident, he would have been able to perform jobs of a sedentary or desk type nature.</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of March 30, 1998 precipitated the recurrent disc herniation leading to the subsequent disc operation, fusion and complications from which he never recovered, and that had the accident not occurred, there were reasonably good prospects the plaintiff would not be in his present state of severe disability.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unreasonable to expect total relief of symptoms or an ability to return to work where heavy use of the back was required, such as the plaintiff's previous job as a deckhand on a tugboat.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 failed back syndrome and is in a state of severe pain and disability which is likely to persist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penultimate paragraph, Dr. Cameron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review of this complex state and undaunting pile of clinical records, I am of the opinion that the motor vehicle accident of March 30, 1998, (April 6, 1998), is the major cause of his present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trial in examination in chief and cross-examination, Dr. Cameron was not as firm in his opinion. The doctor was taken through the same questions in his examination in chief during which time he acknowledged that he was not aware of Dr. Nielsen's findings in the interim period prior to the motor vehicle accident, nor that of Dr. Wright who examined the plaintiff before the Workers' Compensation Board on March 13, 1998. In this respect, Dr. Cameron, with this new information, answered the question about the plaintiff's ability to return to work in the following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may not have been able to return to work as a deckhand because it was apparent that he was having further trouble that I was not aware of.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are you able to assess the chance or degree or likelihood of him being able to return to work?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difficult question for me to answer. It's possible he could have returned to work eventually had the accident not occurred. In terms of degree I have difficulty placing a figure on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it would be more likely that he could have gone back eventually one way or the 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to the question concerning the plaintiff's reasonable prospects that he could have continued to work on tugs indefinitely, the doctor said that was still his opinion armed with the new information, but "there's some degree of less firmness to it". Dr. Cameron acknowledged that had he known from Dr. Nielsen's note that the plaintiff was having more trouble, he would probably would have ordered an MRI scan at that time. Based on Dr. Nielsen's note, he is doubtful that the plaintiff would require an operation at that time, that time being immediately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to the doctor's opinion that the motor vehicle accident of March 30, 1998 precipitated the recurrent disc herniation as previously stated, the doctor further qualified that answer in the following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is your -- does your answer remain that set out in paragraph 9 at page 2 of your report?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I still must qualify it because I was at that point not aware that he was having symptoms at that -- prior to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opinion isn't as firm?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opinion isn't as firm.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being asked whether it was still his opinion that the motor vehicle accident of March 30, 1998 was the major cause of the plaintiff's present pain and disability, Dr. Cameron was still of that opinion. When he was advised of the existence of the medical report of Dr. Griesdale, neurosurgeon, to the contrary, it was apparent that Dr. Cameron had not read Dr. Griesdale's medical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One of the concerns that developed during the course of the examination and cross-examination of the various medical professionals is the accuracy of the information that they received from the plaintiff. In some respects, it would appear that the plaintiff was not a good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cross-examination, Dr. Cameron's attention was drawn to Dr. Nielsen's clinical notes, Dr. Nielsen being the general practitioner for the plaintiff at the relevant period of time. After reviewing those notes through 1996 and early 1997, the doctor was asked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look at that, Doctor, those complaints through '96 and early 1997, would you agree with me that it was apparent Mr. Albert was having more complaints than what he advised you in January of 1997?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this would -- looking at these notes, it would suggest that perhaps the symptoms were more severe than I was under the impression.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respect, it is important to note that Dr. Cameron did not see the plaintiff from August of 1997 until July of 1998. As to further qualifications on the history given by the plaintiff to Dr. Cameron, in my opinion, the following passage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The history Mr. Albert gave you, apparently, was that he was getting along reasonably well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take it by that history, you were unaware of any ongoing significant pain or functional impairment before the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had some, but I didn't know of the notes of Dr. Nielsen and the other rehabil -- or WCB doctor examined 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take it by your use of the words "getting along reasonably well," that you didn't understand him to have significant pain or functional limitation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had some but not to a great degree.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Minor?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Obviously, do I -- do I understand correctly you weren't aware of the details of this man's work situation or physical health in the months immediately preceding the motor vehicle accident, except to the extent of being advised he was getting along reasonably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was going on what he told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going over, not to belabour the point, page 19. This a further consult report of yours dated August 23rd, 1998. And I'm looking at just above "Past surgical history," you again state: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Much improved until this recent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Mr. Albert told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that was my understanding.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wrote these two consultation reports, pages 17 and 18 and pages 18 -- I mean, pages 19 and 20 of tab 1, as I understand it you hadn't reviewed the clinical records of Dr. Nielsen in the months preceding the motor vehicle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 had you reviewed or considered the report of Dr. Wright?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believe I had seen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from what I understand, you told Mr. Scherr this morning when you wrote your medical/legal reports in this matter, you hadn't reviewed that material?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 I've shown you before in January there was references to Dr. Nielsen wanting to discuss this matter with you, which apparently didn't take place. Do I understand correctly that had Dr. Nielsen made a referral to you on March 16th and outlined what was going on with Mr. Albert through January, through February, and through March of 1998, you would have felt it prudent to conduct a re-examination?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 we've discussed based on the continuing symptoms in the right leg and the other nerve root tension signs, it's likely that you would have diagnosed a recurrent L4/5 disc herniation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not a certainty but likely.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a likely clinical diagnosis?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you would have done is ordered a MRI to confirm that clinical diagnosis?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re-examination, Dr. Cameron described how the motor vehicle accident may have aggravated the plaintiff's condition. In this respect, he stated that it was conceivable and possible that the fragments of the disc protruded further than they had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Cameron saw the plaintiff in August of 1997 and then in June of 1998 and that there was a large change from his clinical picture in that period. In addition, he stated that in his discussions and history taking from the plaintiff, the focus was on the motor vehicle accident as the major factor or a major factor in the worsening of his symptoms. In this respect, Dr. Cameron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is based on -- in part on what Mr. Albert was telling you he felt at the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And further, as to the necessity of the need for surgery after the motor vehicle accident, Dr. Cameron stated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 I asked how -- how did the motor vehicle accident of March 30th affect the need for surgery?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the need for surgery. It is clear that there were symptoms prior. There isn't, to my mind, an absolute certainly (sic) that the operation was needed prior to the accident but at the time I had seen him in June, it was needed.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 result of questions by the court, re-cross-examination by counsel for the defendant was allowed, with reference to the pre-existing fragments left over from the second discectomy. In that respect, Dr. Cameron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 the fragments weren't quiescent, they were there but let's interpret the accident as worsening the situation. They weren't quiescent before.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weren't quiescent because of what I led you to, which was symptoms and findings consistent with nerve involvement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 recurrent disc protrusion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Consequently, in my opinion, Dr. Cameron's views had changed significantly from that contained in his medical legal reports which were filed as exhibits. The change was brought about by learning from Dr. Nielsen's clinical notes of the complaints noted by the plaintiff prior to the motor vehicle accident and the letter of Dr. Wright of March 13, 1998. Dr. Nielsen's, the plaintiff's general practitioner, clinical notes have been previously referred to and will not be reproduced further. However, in my opinion, they do demonstrate, as Dr. Cameron has acknowledged, an inconsistency between what the plaintiff was reporting to his physician prior to the motor vehicle accident and in what he reported to Dr. Cameron. At trial, in my opinion, it is significant that the plaintiff stated that he was having the same pain as before the first and second surgeries, and that he wanted more surgery. His evidence in this respect related to the time period prior to the motor vehicle accident of March 30, 1998. This extent of the plaintiff's pain was not told to Dr. Cameron or to Dr. Yoneda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Exhibit 3 is the report of Dr. Wright, at the Workers' Compensation Board, who examined the plaintiff on March 13, 1998. Dr. Wright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he has a reoccurrence of the pain in his back which radiates down the medial and lateral aspects of his right leg, usually as far as his calf, but occasionally into the sole of his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Wright notes that the chief complaint of the plaintiff was "pain in the back and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Yoneda, an orthopaedic surgeon, was brought in for the purposes of the third surgery which had as its function removal of further disc fragments and the stabilization of the plaintiff's back. In that respect, he first saw the plaintiff on November 25, 1998. He provided a written opinion as an exhibit in these proceedings. It should be noted that he did not have an opportunity to review Exhibit 3, the report of Dr. Wright of the Workers' Compensation Board until the morning of the trial, at which time he stated that Dr. Wright's report confirmed his opinion. In his report of January 22, 1999, Dr. Yoneda stated that the motor vehicle accident of March 30, 1998 should be regarded as provoking a pre-existing susceptibility and that the plaintiff may have been able to function indefinitely with minor non-disabling back and leg discomfort had he not been involved in the accident. He qualified this position somewhat in his report of October 30, 2000, at which time he stated that it was quite likely the plaintiff may have been able to carry on for "at least a few years of mild to moderate nondisabling discomfort/dysfunction with appropriate medications and pool therapy had he not been involved in the first MVA. However, it is also quite likely from his history that within 5-10 years he probably would have become disabled as he now is, without having been involved in the MVA." He reports that the plaintiff's prognosis is "terrible" and the plaintiff will not be able to return to any sort of functional activity, work or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cross-examination, Dr. Yoneda acknowledged that he understood from the plaintiff's history that the plaintiff went from a non-disabled state to immediate disabled state after the accident. He acknowledged that when he gave the opinion that the motor vehicle accident provoked a pre-existing susceptibility, it was on the basis of the history that he was working with and the difference in the plaintiff's comparative state before and after the accident as told by the plaintiff and 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to the 5 to 10 year interval that Dr. Yoneda felt might result in the plaintiff's disability absent the motor vehicle accident, he confirmed at trial that that estimate ran from the date of his report, October 30, 2000, and that this deterioration could occur suddenly without an intervening act and that the second motor vehicle accident of May 1999 could accelerate that decompensation, and the plaintiff's physical characteristics might result in the compensation being at the earlier part of that 5 to 10 year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Contrasted to the opinions of Dr. Cameron and Dr. Yoneda, the defendant led evidence from Dr. Griesdale, a neurosurgeon who had the benefit of all of the information concerning the past history of the plaintiff, including Dr. Nielsen's notes, Dr. Wright's report based on an examination of the plaintiff on March 13, 1998, and Dr. Cameron's report. In addition, Dr. Griesdale had copies of the various reports of the plaintiff to the Workers' Compensation Board in support of claims for work-related injury. In that respect, Dr. Griesdale filed two reports, one dated January 21, 2002 and the second dated March 15, 2002. In both reports, he outlines the material that he reviewed and in addition, he conducted an examination of the plaintiff for approximately one hour and 15 minutes. His conclusions in his January 21, 2002 report are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Albert does have a definite chronic disability with respect to his lumbar spine and that this disability will probably be permanent. The disability consists of chronic pain in his back and legs, despite five operations on his lumbar spine for which he requires medication. He will likely require the ongoing use of analgesic and anti-inflammatory medications.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neurologically normal.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his disability he is probably unemployable, particularly in any occupation that requires a significant degree of lifting, pulling or prolonged standing.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five operations on his lumbar spine have been performed for valid reasons to treat his symptomatic problems and the abnormalities demonstrated on the various CT scans and MRI scans.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of March 30, 1998 in no way contributed to his current problem. I believe that his present condition would be no different had he not been involved in a motor vehicle accident on March 30,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particular, Dr. Griesdale relies on the report of Dr. Wright and the clinical records of Dr. Nielsen. In respect to Dr. Cameron's report of August 24, 2001, Dr. Griesdale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also states "I am of the opinion that the motor vehicle accident of March 30, 1998 is the major cause of his present pain and disability". I strongly disagree with Dr. Cameron regarding this statement. Based upon my examination and review of his records, Mr. Albert remains neurologically normal and his symptoms that he now has and had after the motor vehicle accident of March 30, 1998 are no different than the symptoms that he had before the accident based upon Dr. Nielsen's notes. I believe that based upon a review of these notes that Mr. Albert was experiencing these symptoms of recurrent L4-5 disc displacement on the right side at least in the month prior to the motor vehicle accident of March 30, 1998. A recurrent lumbar disc displacement can occur after prior surgery spontaneously or with an injury either major or minor. Five per cent of patients who have previously undergone lumbar disc surgery can experience a recurrence and sometimes the reasons for this cannot be clearly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underlining]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my opinion is that Mr. Albert has a chronic pain syndrome with respect to his lumbar spine and his right leg. His current symptoms are virtually unchanged from those that he experienced prior to the accident of March 30, 1998. He experienced a recurrent L4-5 disc displacement on the right side, but I do not feel that the motor vehicle accident was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report of March 15, 2002, Dr. Griesdale reviewed Workers' Compensation Board documents, which were submitted by Dr. Nielsen on behalf of the plaintiff, and noted that the review of the reports did not alter or modify his opinions expressed in his report of January 21, 2002 and "To the contrary, a review of these records does confirm the opinions expressed in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Dr. Griesdale testified at trial concerning his experience and was taken in detail through the clinical reports of Dr. Nielsen and summarized the importance of the clinical history as reported in Dr. Nielsen's clinical notes in the following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it's a fairly accurate description of a patient with a significant sciatica in his right leg, likely due to a lumbar disc displacement.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answer to a question concerning the signs or symptoms of surgery, the following passage, in my view, is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has been evidence given in this court that there were no signs or symptoms prior to the motor vehicle accident that were indicative that the plaintiff needed surgery. Do you agree or disagree with that statement?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disagree.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 think that these were recorded and alluded to, in the report, the written reports of both Dr. Wright and Dr. Nielsen.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respect in cross-examination, Dr. Griesdale noted that he interpreted Dr. Nielsen's notes to mean that the plaintiff had the same symptoms before and after the motor vehicle accident of March 30, 1998. He noted that if Dr. Cameron had seen the plaintiff prior to the motor vehicle accident, he would have been in a better position to provide an opinion on whether or not surgery was required and he acknowledged that the same would apply to himself. With reference to a change in pain, after the motor vehicle accident, the following passage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Griesdale, would you agree with me that it is more likely than not, where a patient experiences a sharp increase in pain following a motor vehicle accident, that a disc herniation or further protrusion occurred at the time of the motor vehicle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will not use the term likely. It's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possibility, not likely.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Dr. Cameron has opined that the motor vehicle accident is what triggered the need for Mr. Albert's further surgery. Are you aware of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now, having seen the sharp increase in pain medications Mr. Albert was taking, do you now agree with Dr. Cameron?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asked about the circumstances surrounding the accident, he stated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would you agree with me that if the accident indeed did take place at speeds in excess of twenty kilometres an hour, it is more likely than not that a disc herniation would have occurred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not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Even in a patient such as Mr. Albert, who is at risk already?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not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During the course of his cross-examination and re-examination, Dr. Griesdale was asked questions concerning the plaintiff's use of MS Contin, as prescribed by Dr. Nielsen in early 1998 prior to the motor vehicle accident. The plaintiff took the medication as prescribed but reported that the medication was not having any appreciable effect on the pain. The significance of that is contained in the following passage: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friend asked you questions about the MS Contin. If Mr. Albert had indicated that the MS Contin before the accident was not having any ameliorating effect on his pain, would that be a relevant consideration?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MS Contin has a fair hit of morphine in it, which dose for dose is much stronger than codeine or other narcotic analgesics.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pharmaceutical records demonstrated a considerable amount of Tylenol 3, a codeine-based analgesic, after the motor vehicle accident, and the consumption rate by the plaintiff was significant. When asked as to the significance of changing from MS Contin to Tylenol 3, Dr. Griesdale said he was unable to know what the thought processes the prescribing doctors were at the time but it suggests that the level of pain for which Tylenol 3 was prescribed was not as great as the level of pain for which the MS Contin was prescribed earlier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position of the plaintiff is stated succinctly that the plaintiff was in a vulnerable condition with a significant back injury at the time he was involved in the motor vehicle accident and that the motor vehicle accident, based on the opinions of Dr. Cameron and Dr. Yoneda, exacerbated the plaintiff's condition, resulting in him now being permanently disabled. The position of the defence is equally succinct, that at most the plaintiff suffered a soft tissue injury to his upper back and neck at the time of the motor vehicle accident, and that based on the opinion of Dr. Griesdale, that there is no causal link between the motor vehicle accident and the plaintiff's ultimate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Athey v. Leonati, </w:t>
      </w:r>
      <w:hyperlink r:id="rId2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discussed the general principles dealing with a loss which is created by tortious and non-tortious causes: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Snell v. Farrell, </w:t>
      </w:r>
      <w:hyperlink r:id="rId49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McGhee v. National Coal Board, [1972] 3 All E.R. 1008 (H.L.). [my underlining]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Horsley v. MacLaren, </w:t>
      </w:r>
      <w:hyperlink r:id="rId500"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Myers v. Peel County Board of Education; </w:t>
      </w:r>
      <w:hyperlink r:id="rId501"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Bonnington Castings, Ltd. v. Wardlaw, [1956] 1 All E.R. 615 (H.L.); McGhee v. National Coal Board, supra. A contributing factor is material if it falls outside the de minimis range: Bonnington Castings, Ltd. v. Wardlaw, supra; see also R. v. Pinske </w:t>
      </w:r>
      <w:hyperlink r:id="rId502"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503"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Snell v. Farrell, supra, this Court recently confirmed that the plaintiff must prove that the defendant's tortious conduct caused or contributed to the plaintiff's injury. The causation test is not to be applied too rigidly. Causation need not be determined by scientific precision; as Lord Salmon stated in Alphacell Ltd. v. Woodward,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To borrow an example from Professor Fleming (The Law of Torts (8th ed. 1992) at p. 193), a "fire ignited in a wastepaper basket is ... 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does not excuse a defendant from liability merely because other causal factors for which he is not responsible also helped produce the harm: Fleming, supra,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 School Division of Assiniboine South, No. 3 v. Greater Winnipeg Gas Co., </w:t>
      </w:r>
      <w:hyperlink r:id="rId504"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(Man. C.A.), at p. 753,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[1973] S.C.J. No. 48</w:t>
      </w:r>
      <w:r>
        <w:rPr>
          <w:rFonts w:ascii="arial" w:eastAsia="arial" w:hAnsi="arial" w:cs="arial"/>
          <w:color w:val="000000"/>
          <w:sz w:val="20"/>
          <w:lang w:val="en-US" w:eastAsia="en-US" w:bidi="ar-SA"/>
        </w:rPr>
        <w:t>; Ken Cooper-Stephenson, Personal Injury Damages in Canada (2d ed. 1996), at p. 748.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Graham v. Rourke </w:t>
      </w:r>
      <w:hyperlink r:id="rId388"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Malec v. J. C. Hutton Proprietary Ltd. (1990), 169 A.U.C.L.R. 638; Cooper-Stephenson, supra,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applicable principles can be summarized as follows. If the injuries sustained in the motor vehicle accidents caused or contributed to the disc herniation, then the defendants are fully liable for the damages flowing from the herniation. The plaintiff must prove causation by meeting the "but for" or material contribution test. Future or hypothetical events can be factored into the calculation of damages according to degrees of probability, but causation of the injury must be determined to be proven or not proven. This has the following ramifications: [my underlining]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disc herniation would likely have occurred at the same time, without the injuries sustained in the accident, then causation is not proven.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accidents and the pre-existing back condition for the herniation to occur, then causation is proven, since the herniation would not have occurred but for the accidents. Even if the accidents played a minor role, the defendant would be fully liable because the accidents were still a necessary contributing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accidents alone could have been a sufficient cause, and the pre-existing back condition alone could have been a sufficient cause, then it is unclear which was the cause-in-fact of the disc herniation. The trial judge must determine, on a balance of probabilities,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These principles dealing with causation were the subject of a decision of the Court of Appeal in the Province of British Columbia in Kemp v. Wittenberg, </w:t>
      </w:r>
      <w:hyperlink r:id="rId505" w:history="1">
        <w:r>
          <w:rPr>
            <w:rFonts w:ascii="arial" w:eastAsia="arial" w:hAnsi="arial" w:cs="arial"/>
            <w:i/>
            <w:color w:val="0077CC"/>
            <w:sz w:val="20"/>
            <w:u w:val="single"/>
            <w:shd w:val="clear" w:color="auto" w:fill="FFFFFF"/>
            <w:lang w:val="en-US" w:eastAsia="en-US" w:bidi="ar-SA"/>
          </w:rPr>
          <w:t>[2001] B.C.J. No. 616</w:t>
        </w:r>
      </w:hyperlink>
      <w:r>
        <w:rPr>
          <w:rFonts w:ascii="arial" w:eastAsia="arial" w:hAnsi="arial" w:cs="arial"/>
          <w:color w:val="000000"/>
          <w:sz w:val="20"/>
          <w:lang w:val="en-US" w:eastAsia="en-US" w:bidi="ar-SA"/>
        </w:rPr>
        <w:t xml:space="preserve">. Finch J.A. as he then was set forth 10 basic principles which emerge from a consideration of Athey v. Leonati, supra. See also Storey v. Canada Post and Wiebe, </w:t>
      </w:r>
      <w:hyperlink r:id="rId506" w:history="1">
        <w:r>
          <w:rPr>
            <w:rFonts w:ascii="arial" w:eastAsia="arial" w:hAnsi="arial" w:cs="arial"/>
            <w:i/>
            <w:color w:val="0077CC"/>
            <w:sz w:val="20"/>
            <w:u w:val="single"/>
            <w:shd w:val="clear" w:color="auto" w:fill="FFFFFF"/>
            <w:lang w:val="en-US" w:eastAsia="en-US" w:bidi="ar-SA"/>
          </w:rPr>
          <w:t>[2002] B.C.J. No. 716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is to prove, on a balance of probabilities, that the motor vehicle accident of March 30, 1998 caused or contributed to the injury now complained of, resulting in his permanent disability. In that respect, there are significant differences in the medical evidence. Dr. Cameron and Dr. Yoneda relate the condition of the plaintiff to the motor vehicle accident and the evidence in their medical reports, if accepted, may demonstrate causation within the meaning of Athey v. Leonati, supra, in the sense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A contributing factor being material if it falls outside the de minimis range. However, what is of concern, with reference to the evidence of Dr. Cameron in particular, are the subsequent qualifications on his opinions as to the causal link between the motor vehicle accident and the plaintiff's disability. The opinions once expressed as being firm are in Dr. Cameron's own language "less firm" as a result of the review of Dr. Wright's report based on his examination on March 13, 1998 and on the review of Dr. Nielsen's clinical notes for the period immediately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contrast between Dr. Cameron and Dr. Griesdale is obvious. Dr. Griesdale had the benefit of all of the medical information that was available for the basis of his opinion and categorically disagrees with the opinion expressed by Dr. Cameron as to the link between the motor vehicle accident and the plaintiff's disability. It is important in this respect to reflect upon two factors: not only the lack of information given to Dr. Cameron for the purposes of the preparation of his report in the first instance, but secondly what would appear to be on the basis of Dr. Nielsen's clinical notes and the plaintiff's evidence at trial, inaccuracies by the plaintiff in his reporting of his condition both to Dr. Cameron and Dr. Yoneda.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considering the report of Dr. Cameron it is to be recognized that the treating physician may be in a better position than the non-treating physician in terms of analysis and causal connection of actions to injury. Nevertheless, in the case at bar, neither of the neurosurgeons nor Dr. Yoneda had an opportunity to examine the plaintiff prior to the motor vehicle accident. Dr. Cameron's previous examination of the plaintiff was approximately one year prior to the third surgery in the summer of 1998. He did not have an opportunity to consider the plaintiff's condition during the latter part of 1997 or early 1998, or for that matter, in the three or four month period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Consequently, in my view, the mere fact that Dr. Cameron was the performing surgeon at the operations does not, under the circumstances, justify considerable weight being given to his opinion when one considers the qualifications on his opinion which emerged at trial based on the new information. It is unfortunate that Dr. Cameron did not have an opportunity to review Dr. Griesdale's report prior to testifying and as a result, Dr. Griesdale's report in that respect stands somewhat unchallenged except in the course of cross-examination. In my opinion, Dr. Griesdale's opinion is entitled to more weight than those of Dr. Cameron and Dr. Yoneda.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have no hesitation in concluding that the plaintiff is permanently disabled. At the same time, I have no hesitation in concluding that he had a history of work-related back injuries prior to the motor vehicle accident. Based on the clinical notes of Dr. Nielsen, and the opinion of Dr. Griesdale, which I accept, the plaintiff has not met the burden of proof to demonstrate on a balance of probabilities that the defendant's actions caused or contributed to the injury. In short,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the motor vehicle accident was not a cause of the plaintiff's harm with the meaning of Athey v. Leonati,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satisfied under the circumstances that the motor vehicle accident did cause some soft tissue injury to the area of the plaintiff's neck as described by the plaintiff to Dr. Nielsen, and recorded. I am satisfied that at best, the evidence establishes that the plaintiff sustained a mild to moderate soft tissue injury to the area of the shoulder and neck which, on the basis of his own evidence, resolved within a period of months. On the evidence of the defence, which I accept, there is no causal link between the shoulder/neck soft tissue injury and the plaintiff's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assess the plaintiff's non-pecuniary damages in respect of that injury in the amount of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Alvarez v. Wong, [2000] B.C.J. No. 1641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Josephson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10 - 14 and 17 - 19,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S00809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Charlene Alvarez, plaintiff, and Daniel K.C. Wong, Dr. Daniel K.C. Wong, Inc. and Asoke K. Dutt,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15"/>
      <w:bookmarkEnd w:id="148"/>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Failure to inform patient of uncertainties of treatment — Causation — Relations with patient — Consent to treatment — What constitutes informed consent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causation.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13"/>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Alvarez for damages arising from the alleged consequences of gastric surgery performed by Dr. Dutt. Alvarez suffered uncontrollable and painful projectile diarrhea and claimed that her employment and social life were interfered with as a result. Prior to the surgery, she had complained of severe gastric symptoms. After several years of conservative treatment which appeared to have no effect, Dutt recommended surgery. Alvarez did not allege that Dutt fell below the standard of care in performing the surgery, but claimed that he failed to obtain her informed consent and that if she had known of the consequences, she would not have undergone the surgery. Expert evidence suggested that the symptoms she was experiencing, termed dumping syndrome, persisted in a small percentage of cases of the type of surgery she underwent. Dutt alleged that there was no causal connection between Alvarez's symptoms and the surgery, and that in any event, she provided informed consent to the surgery. His expert evidence suggested that Alvarez was not experiencing dumping syndrome, but irritable bowel syndrome, which was not causally related to the surgery.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11"/>
            <w:bookmarkEnd w:id="15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weight of medical and other evidence did not support a finding that Alvarez's current symptoms were caused by the surgery performed by Dutt. Objective medical evidence of Alvarez's status post-surgery was inconsistent with an alleged dumping syndrome. It was likely that she suffered from irritable bowel syndrome, unrelated to the surgery. In any event, she would have undergone the surgery, even if she was informed of the small risk of dumping syndrome symptoms becoming chronic. Her persisting gastric symptoms interfered substantially with her life and the proposed procedure was the least intrusive available at the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Counsel_20"/>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Wade and K.P. Serne, for the plaintiff. K.J. Brown and J. Corbett,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2" w:name="Judgment_20"/>
      <w:bookmarkEnd w:id="152"/>
      <w:r>
        <w:pict>
          <v:line id="_x0000_s1121" style="position:absolute;z-index:2517821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3" w:name="JOSEPHSON J."/>
            <w:bookmarkEnd w:id="153"/>
            <w:r>
              <w:rPr>
                <w:rFonts w:ascii="arial" w:eastAsia="arial" w:hAnsi="arial" w:cs="arial"/>
                <w:b/>
                <w:color w:val="000000"/>
                <w:sz w:val="30"/>
                <w:lang w:val="en-US" w:eastAsia="en-US" w:bidi="ar-SA"/>
              </w:rPr>
              <w:t>JOSEPHSON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Ten years after gastric surgery performed by Dr. Dutt, fifty-eight-year-old Ms. Alvarez continues to suffer a low quality of life due to gastric problems. Typically, within 30 to 90 minutes of eating, she suffers uncontrollable and painful projectile diarrhea, often accompanied by dry retching and nausea. As a result, Ms. Alvarez claims she is unable to maintain employment, a spousal relationship, friendships or a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Alvarez alleges that her symptoms were caused by the surgery. While there is no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alleges that Dr. Dutt failed to obtain her informed consent prior to surgery and, had she been properly warned of the risks she would have declined surgery, as a reasonable person would have in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Dutt replies that the condition she complains of has no causal connection to the surgery. In the alternative, he says that Ms. Alvarez provided informed consent to the surgery. In the final alternative, Dr. Dutt says that a reasonable person in the plaintiff's position, fully informed of the risks, would nonetheless have consented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three issues:</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proved that her gastro-intestinal medical problems were caused by the surgery performed by Dr. Dutt on February 22, 1990?</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plaintiff proved that Dr. Dutt failed to obtain her informed consent to that surgery?</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plaintiff proved that, had she been properly informed of the risks, a reasonable person in her position would have declined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Alvarez was an outgoing sociable person. However, she suffered much stress, primarily from her relationship with spouses and a daughter. She was employed in a variety of positions on a sporadic basis. A common-law relationship began in 1987 and ended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1983, Ms. Alvarez began complaining of chest pain gastric problems to Dr. Wong, her family physician. General surgeon Dr. Dutt performed an endoscopy and diagnosed an ulcer and hiatus hernia. As recommended by Dr. Dutt, Dr. Wong treated her conservatively with medication and provided advice with respect to lifestyle, including weight loss and abstention from alcohol and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she continued to suffer pain and burning. Conservative treatment continued. Dr. Wong continued to advise her to make the lifestyle changes earlier recommended. She was able to quit smoking only temporarily. She was treated for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1987, she was hospitalised for chest pain, nausea, vomiting and regurgitation. Dr. Dutt found a hiatus hernia, but no ulcer. A continuation of conservative treatment was recommended on more than one occasion. Dr. Dutt found no evidence of ulceration.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1989, the plaintiff frequently sought medical attention for gastric problems. On September 25, 1989, she attended hospital emergency with severe gastric pain, for which gastritis and irritation of the hiatus hernia were diagnosed. Two days later, she was admitted to hospital with gastric pain. A gastroscopy performed by Dr. Dutt revealed hiatus hernia with esophagitis, as well as duodenal ulcers. She was discharged from hospital on September 30th.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Dutt diagnosed stomach hyper-acidity as the root cause of her symptoms. The hiatus hernia permitted acid into the esophagus, causing burning pain. Despite aggressive conservative treatment aimed at reducing stomach acid production, complaints of gastric problems and nausea were made on October 2, 5, 11, and 15, 1989. On October 26, the plaintiff was admitted to hospital with intractable ulcer pain, saying that she wished the pain would go away "even for one day". As well, there were complaints of burning, bloating and nausea. She was released from hospital on November 7,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Despite continued conservative treatment, she returned to Dr. Wong with complaints of gastric pain on November 21 and December 1. On December 13, she attended hospital emergency with complaints of gastric pain, dizziness, vomiting and nausea. The following day, Dr. Wong referred her again to Dr. Dutt.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Dutt's endoscopy revealed multiple duodenal ulcers and hiatus hernia. Conventional treatment was continued, with continued recommendations that she change her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had ceased working. Conventional treatment continued but, Dr. Wong was now of the view that this was unlikely to alleviate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January of 1990, Dr. Dutt recommended surgical intervention in the form of a hiatus hernia repair, a vagotomy (severing of the vagus nerve to reduce acid production) and pyloroplasty (a necessary widening of the entry to the small bowel from the stomach to rectify impaired gastric emptying caused by the vagotomy). After the failure of nine years of conservative medical treatment, Dr. Wong endorsed Dr. Dutt's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Wong found Ms. Alvarez very nervous about the proposed surgery, primarily relating to her fear of dying while under anaesthetic. Dr. Wong explained to her that the proposed operation should not be undertaken lightly. He explained that this was major surgery in which she was exposing herself to possible complications, though he left it to Dr. Dutt to identify those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Alvarez recalls that her pain and discomfort prior to surgery was not such that she had to discontinue her employment or other activities. The great distress she experienced she attributed to heart and anxiety problems. She suffered pain in her esophagus from stomach reflux. She recalled burning in the stomach, with occasional vomiting. Medication reduced symptoms only temporarily.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EVIDENCE REGARDING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recalled Dr. Wong referring her to Dr. Dutt, but not otherwise discussing the surgery. She recalled Dr. Dutt informing her of his advice that she undergo surgery for her ulcer and hiatus hernia. She informed him that she was terrified of surgery. This flowed from prior surgical interventions for unrelated matters that did not go as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recalled Dr. Dutt using a drawing to explain that he was going to cut a nerve in the stomach to limit acid secretion and then surgically correct the hiatus hernia. In response to her expression of fear, she testified, he explained that it was as simple as an appendectomy or tonsillectomy. Her recollection is that he appeared somewhat amused by her fears. According to her recollection, he related no risks associated with the surgery, other than to state that her condition may not be cured by the operation or may not be permanently 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acknowledged providing written consent to surgery, which indicated her satisfaction with the explanation offered by Dr. Dutt. She was unfamiliar with the medical terms used on that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testified that, at this and subsequent meetings, he never mentioned the risk of a bowel problem developing, nor any other risk factors that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Wong, she testified, told her that she would be in hospital for only a few days and that it would be "no problem, you're in and you're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EVIDENCE REGARDING POST-SURGICAL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remained in hospital for about 17 days. She continued to suffer pain and grogginess. She went to a celebratory dinner with her sister after her release from hospital. After the meal, she found herself helpless in the washroom with projectile diarrhea, retching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has continued despite careful monitoring of what she eats and when. The incontinence and endless trips for medical attention caused irreparable stresses in her common-law relationship. She was unable to continue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Malabsorption of nutrients, she believes, results in cramping of muscles. Even simple shopping trips or visits to the doctor requires careful planning, with no eating until after returning home as she is unable to control bowel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believes that low blood sugar caused by this traumatic defecation brings on symptoms of perspiration, impaired thought processes and a racing heart. She takes pills to avoid suffering a heart attack and other medication by injection to minimize heaving and retching. She fears that taking this medication orally will not be effective due to absorption problems. Incontinence pads are not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frequently finds undigested food in her stools.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All this has had a dramatic effect on her life and relationship with others. Her attempts at employment have failed due to the demands of her condition. Refraining from the consumption of food until evening leaves her weak and disturbed her mental processes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Stoller: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called as a witness Dr. Stoller, a general surgeon with emphasis on gastro-intestinal surgery. While he did not examine the plaintiff, he reviewed medical and clinical records, as well as the examination-for-discovery of the plaintiff. He is of the opinion that: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suffers from "early" post-prandial (after eating) dumping syndrome, evidenced by her episodes of abdominal pain, feelings of faintness and lethargy, accompanied by attacks of diarrhea within two hours of a meal.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plaintiff reports these symptoms from the time of her operation in February 1990, that is the cause of the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Stoller defines dumping syndrome as an array of symptoms that can occur after any gastric surgery. Those symptoms may include abdominal fullness, pain, lethargy, weakness, profuse sweating, cardiac palpitations and bouts of sudden uncontrollable diarrhea. These symptoms are common after gastric surgery, but usually dissipate over time. For a small 1 to 2% "hard core" group of patients, the syndrome becomes "persistent". He agreed that constipation was not a symptom of this syndrome, nor would he expect hypoglycemia with this form of dumping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syndrome is caused by a change in the controlled emptying of food and fluids from the stomach into the small bowel from an orderly process into an uncontrolled and rapid "dumping", setting off a chain of events revealed by the symptoms described. Vagotomy is a common cause of this condition. Pyloroplasty may also be a contributing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differed with gastroenterologist Dr. Freeman, who diagnosed irritable bowel syndrome unconnected to the surgery. Dr. Stoller stated that he was not familiar with "irritable bowel syndrome". He uses instead the term "irritable colon syndrome" because he regards it as a colonic problem. He excluded this diagnosis on the basis that the patient described finding particles of food in her stool, though he acknowledged that this condition may co-exist to some degree with the dumping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Unlike Dr. Freeman and Dr. Binder, Dr. Stoller dismissed the barium test of the gastro-intestinal tract as a very poor method of estimating the speed of gastric emptying into the small bowel.</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Achong: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called psychiatrist Dr. Achong. He began treating the plaintiff in 1989. The day before surgery, he noted that the plaintiff was very anxious about surgery and "would have done anything" to avoid it. Her greatest fear was not awakening from anesthesia.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had not complained to him of diarrhea until after the operation. He recounted her anxieties related to the symptoms she was experiencing.</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Freeman: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called gastroenterologist Dr. Freeman. He has been full Professor of Medicine at the University of British Columbia since 1986 and Division Head for Gastroenterology there from 1981 to 1993. He has published some 200 papers and currently directs the training program in gastroenterology. In addition to reviewing the plaintiff's records, he conducted a clinical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Dumping syndrome can occur as a result of the type of surgery performed on the plaintiff. Diagnosis is based on symptoms observed in a clinical examination and other investigations. Similar symptoms are common with this type of surgery, probably caused by an abnormally rapid exit of stomach contents into the small bowel. The condition usually improves with time. Only one to two percent of patients develops intractable dumping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ulcers usually respond to conservative treatment, for those that do not, a significant risk is left with the patient. There is a 10% risk of perforation. If that occurs, there is an almost 100% risk of mortality. There is a 20 to 30% risk of a bleeding ulcer, which carries an 8 to 10% risk of mortality. The form of surgery performed on the plaintiff was the only real option that existed at that time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Freeman had never heard of the term "irritable colon syndrome" as used by Dr. Stoller. The motility problem occurs throughout the gastric tract, not just in the colon. Irritable bowel syndrome is the most common problem seen in this field of medicine. It shares many symptoms with dumping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Freeman is of the opinion that the plaintiff suffers from irritable bowel syndrome, a gut motility disorder pre-existing surgery. He disagreed with Dr. Stoller that the presence of undigested food particles is significant in the diagnosis. That can and does occur in the common experience of normal individuals. Concern arises only with undigested food of a particular variety, such as meat.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in hospital, the plaintiff was seen eating potato chips, candy and soda pop in the evening, with no apparent subsequent symptoms. Dr. Stoller believed that incident to be of no significance. Dr. Freeman disagreed, as consumption of liquids and glucose with a meal by patients with dumping syndrome would be expected to induce significant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Freeman also disagreed with Dr. Stoller's opinion that radiological testing with a barium hamburger meal was insignificant. An x-ray revealing a colon full of stool is not consistent with daily diarrhea. The test also revealed normal stomach emptying into the small bowel, inconsistent with the rapid exit seen with dumping syndrome. This test, though not perfect, is a reasonable replication of normal meal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Finally, he disagreed with Dr. Stoller's opinion that lethargy, faintness and sweating is not seen with irritable bowel syndrome. These symptoms may occur with either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His review of the substantial hospital and ambulance records revealed that the plaintiff did not suffer from hypoglycemia. If it were otherwise, he would diagnose dumping syndrome. There was no evidence of malabsorption of nutrients.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the plaintiff was prescribed Demerol and Tylenol #3, neither caused or exacerbated her ulcers.</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Binder: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Binder is another gastroenterologist called by the defendants. She first saw the plaintiff in hospital emergency on December 13, 1992, complaining primarily of abdominal pain. X-rays taken the day prior revealed significant amounts of stool consistent with either normal bowel movement or constipation. Dr. Binder, after clinical examination and review of the records, ultimately diagnosed irritable bowel syndrome or spastic colon, not connected to her surgery. She prescribed medication to improve stool motility and returned her to her own gastroenterologist.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Binder again assessed the plaintiff on May 6, 1999. Throughout her treatment and diagnosis, Dr. Binder remained unaware of the pending litigation initiated by the plaintiff against Dr. Dutt. The plaintiff, hospitalized for unrelated problems, presented with complaints of abdominal pain, incontinence and diarrhea. The plaintiff did not report these problems as associated with food consumption, but as being present throughout the day and often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order to compile a picture of her stool complaints, the plaintiff was instructed by Dr. Binder and her own family physician to chart her bowel habits, to be witnessed by a nurse. The plaintiff's complaints of diarrhea at night, Dr. Binder testified, are not consistent with dumping syndrome, assuming she did not consume food in hospital after normal hospital meal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were no objective findings of diarrhea, apart from that associated with colon cleansing for the purpose of conducting tests. Whenever the plaintiff reported symptoms she believed related to hypoglycemia, tests were conducted. However, those tests consistently revealed blood sugar levels to be within normal range or elevated, not low as would be the case with hypoglycemia.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May 7, 1999, a barium test revealed normal gastric transit time. An x-ray taken three days later for an unrelated complaint of back pain revealed barium still in the colon, inconsistent with diarrhea.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Binder diagnosed irritable bowel syndrome and rejected a diagnosis of dumping syndrome. She treats many patients with dumping syndrome. Most, if not all, such patients function well with a normal life style, including employment. That is accomplished with a strict diet.</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Dutt: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Now retired Dr. Dutt related his dealings with the plaintiff over the years from 1983 to 1990 on referral from her family physician Dr. Wong. Her problems with acid reflux and ulcers resulted from excessive stomach acidity, not analgesic usage. Ultimately, he concluded that conservative treatment was failing her and recommended surgery. Neither that recommendation nor the standard of care employed in carrying it out is in issue. Removal of the plaintiff's spleen during surgery became necessary to control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Dutt testified that on January 5, 1990, using a hand drawn diagram, he explained the proposed surgical procedures in some detail, as well as the rationale behind it. He outlined the risks associated with general anesthesia, as well as the risk of hemorrhage and infection. He outlined the risk of dysphasia (difficulty swallowing), dizziness, abdominal distress and diarrhea, adding that these conditions would improve as time went by over weeks or months. He did not use the words "dumping syndrome", as that constitutes an array of symptoms which he did disclose. Dr. Dutt adamantly denies ever comparing the proposed surgery to removal of one's tonsils or 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signed the consent form, but returned for a further discussion on January 16, 1990. He repeated everything a second time. He did not inform the plaintiff that there was a 1 to 2% chance of the symptoms associated with dumping syndrome becoming intractable.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Consistent with the evidence of Dr. Freeman, while the plaintiff may have exhibited some intolerance to Tylenol #3, neither it nor Demerol played a role in the hyperacidity, the root cause of the ulcer and acid reflux problem. Both drugs were necessary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while deserving of sympathy, has not established that the symptoms complained of were caused by the surgery performed by Dr. Dutt. I accept the evidence of Dr. Freeman and Dr. Binder in preference to that of Dr. Stoller for these reasons: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Drs. Freeman and Binder are gastroenterologists whose specialty includes the diagnosis of gastro-intestinal conditions, including dumping syndrome and irritable bowel syndrome. Dr. Freeman's credentials both clinically and academically are outstanding. Dr. Stoller's specialty is general surgery, though with an emphasis on gastro-intestinal surgery.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Dr. Freeman and Dr. Binder conducted clinical examinations of the plaintiff, an important aspect of the diagnosis of gastro-intestinal disease. Dr. Stoller did not.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Freeman and Dr. Binder relied on objective evidence to support their diagnosis. Dr. Stoller relied only on the subjective complaints of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objective evidence disproved the existence of hypoglycemia, an important if not essential indicator of dumping syndrome. It also disproved mal-absorption of food, inconsistent with dumping syndrome.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Stoller was of the opinion that undigested food of any kind in the stool was an important indicator of dumping syndrome. It is clear from the evidence of Dr. Freeman and Dr. Binder that it is not.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ongoing diarrhea from the date of surgery is inconsistent with clinical records which indicate more of a problem with constipation for a significant period of time following surgery, which is inconsistent with a diagnosis of dumping syndrome.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specialists, apart from Dr. Stoller, treated and/or assessed the plaintiff following surgery regarding her gastro-intestinal complaints. None were called as witnesses, without any explanation being offered. I infer their evidence would not have added support to the plaintiff's claim. Barker v. McQuahe (1964), 49 W.W.R. 685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opinion evidence of Dr. Freeman and Dr. Binder is to the effect that the plaintiff suffers from a motility disorder known as irritable bowel syndrome, unrelated to the surgery. The post-operative symptoms she did suffer were temporary and within the scope of the risk factors known to her when she consented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conclusion requires the dismissal of the action. If that conclusion is in error, I am nonetheless of the view that the resolution of another issue would lead to the same result. I will address that issue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While I accept the evidence of Dr. Dutt regarding what he disclosed to the plaintiff prior to surgery, he did not disclose a 1 to 2% risk of developing long lasting symptoms of dumping syndrome. The plaintiff must establish that an "average prudent person, the reasonable person in the patient's particular position" would have withheld consent to surgery if informed of that risk. Reibl v. Hughes </w:t>
      </w:r>
      <w:hyperlink r:id="rId514" w:history="1">
        <w:r>
          <w:rPr>
            <w:rFonts w:ascii="arial" w:eastAsia="arial" w:hAnsi="arial" w:cs="arial"/>
            <w:i/>
            <w:color w:val="0077CC"/>
            <w:sz w:val="20"/>
            <w:u w:val="single"/>
            <w:shd w:val="clear" w:color="auto" w:fill="FFFFFF"/>
            <w:lang w:val="en-US" w:eastAsia="en-US" w:bidi="ar-SA"/>
          </w:rPr>
          <w:t>(1980), 114 D.L.R. (3d) 1</w:t>
        </w:r>
      </w:hyperlink>
      <w:r>
        <w:rPr>
          <w:rFonts w:ascii="arial" w:eastAsia="arial" w:hAnsi="arial" w:cs="arial"/>
          <w:color w:val="000000"/>
          <w:sz w:val="20"/>
          <w:lang w:val="en-US" w:eastAsia="en-US" w:bidi="ar-SA"/>
        </w:rPr>
        <w:t xml:space="preserve"> at 16; Diack v. Bardsley </w:t>
      </w:r>
      <w:hyperlink r:id="rId515"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BCSC Arndt v. Smith, </w:t>
      </w:r>
      <w:hyperlink r:id="rId516" w:history="1">
        <w:r>
          <w:rPr>
            <w:rFonts w:ascii="arial" w:eastAsia="arial" w:hAnsi="arial" w:cs="arial"/>
            <w:i/>
            <w:color w:val="0077CC"/>
            <w:sz w:val="20"/>
            <w:u w:val="single"/>
            <w:shd w:val="clear" w:color="auto" w:fill="FFFFFF"/>
            <w:lang w:val="en-US" w:eastAsia="en-US" w:bidi="ar-SA"/>
          </w:rPr>
          <w:t>(1997), 35 B.C.L.R. (3d) 187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"reasonable person" must be taken to possess the patient's reasonable beliefs, fears, desires and expectations. Arndt v. Smith, supra, at 196. The plaintiff was very apprehensive about the proposed surgery, primarily because of previous surgical interventions that did not proceed as well as hoped. Her primary fear, however, related to the use of general anesthesia with resultant loss of control. She feared she would not awaken. That fear was allayed to some extent by the knowledge that her family physician, Dr. Wong, would be present and act as the anesthetist.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following are relevant factors in determining this issue: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Surgeon Dr. Turner's evidence is that 10 to 20% of patients would choose to continue medical treatment and decline surgery when fully informed of all risks. That figure is reduced to below 10% when patients are suffering intractable symptoms that interfere with their life.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years of medical management saw only temporary reprieve from symptoms. By 1989, her symptoms were clearly intractable and not responding to medical treatment.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symptoms interfered considerably with her life. There were regular and frequent medical attendances over the years, with complaints of significant pain, burning, bloating and nausea. By the fall of 1989, she suffered pain daily and required the use of Tylenol #3 and Demerol for pain management. (I do not accept the evidence of the plaintiff tending to minimize her pre-surgical gastric complaints.)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stated earlier, the evidence of Dr. Freeman is that those patients with intractable ulcers face a 10 to 20% risk of hemorrhaging and a 10% risk of perforation. The mortality rate is 10% for the former and 100% for the latter, though the ulcer was not at a life threatening stage at the time of surgery.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surgical procedure performed by Dr. Dutt, an experienced surgeon, was the least intrusive available at the time.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Wong, her justifiably trusted and long time family physician, was also of the opinion that the proposed surgery was reasonable and warranted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Weighing these various factors, I conclude that a reasonable person in the position of the plaintiff, fully informed of the risks, would have consented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claim is dismissed. The defendant will have his costs, with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JOSEPHSON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Ancheta v. Kropp, [2004] B.C.J. No. 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S013084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175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Andres Ancheta, plaintiff, and Dr. P. Randall Kropp, Douglas LePard and The City of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16"/>
      <w:bookmarkEnd w:id="154"/>
      <w:r>
        <w:rPr>
          <w:rFonts w:ascii="arial" w:eastAsia="arial" w:hAnsi="arial" w:cs="arial"/>
          <w:b/>
          <w:color w:val="000000"/>
          <w:sz w:val="20"/>
          <w:lang w:val="en-US" w:eastAsia="en-US" w:bidi="ar-SA"/>
        </w:rPr>
        <w:t xml:space="preserve">Practice — Judgments and orders — Summary judgments — To dismiss action — Professional occupations — Psychologists and therapists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14"/>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Kropp for an order for summary judgment dismissing Ancheta's claim against him. Ancheta's employer contacted the police about his concerns regarding some threatening remarks Ancheta made to his co-workers. Police provided a transcript of a meeting between police, Ancheta's employer and co-workers, to Kropp, a psychologist who specialized in assessment and treatment of violent offenders, and asked Kropp for his opinion regarding Acheta's risk for imminent violence. Kropp provided an opinion to police on the same day, concluding that Ancheta presented a considerable risk of violence. After receiving that opinion, police obtained an arrest warrant, arrested Ancheta and incarcerated him for five days. Ancheta argued that his arrest and incarceration were unlawful and constituted a malicious prosecution and an abuse of process. He claimed that Kropp knew or ought to have known that the police would rely on his opinion in determining whether to arrest Ancheta, and that Kropp was negligent in the preparation of his opinion without assessing all available evidence or meeting with Ancheta personally.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12"/>
            <w:bookmarkEnd w:id="15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Ancheta did not present any evidence that Kropp did not meet the standard of care of the ordinary and competent forensic psychologist. Other forensic psychologists testified that Kropp's risk assessment was accurate and that it was reasonable for him not to meet with Ancheta personally. The allegations against Kropp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entirely without merit. None of Ancheta's allegations regarding his wrongful arrest and incarceration could relate to any act or omission of Kropp. There was no evidence that Kropp was involved in any conspiracy with the police to harm Ancheta. Ancheta's claim against Kropp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Legislation Cited_10"/>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8" w:name="Counsel_21"/>
      <w:bookmarkEnd w:id="1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Joel D. Zanatta, for the defendant/applicant Dr. Kropp. J. Dempsey, agent for the plaintiff.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1"/>
      <w:bookmarkEnd w:id="159"/>
      <w:r>
        <w:pict>
          <v:line id="_x0000_s1126" style="position:absolute;z-index:2518292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ALLAN J."/>
            <w:bookmarkEnd w:id="160"/>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Dr. P. Randall Kropp seeks an order pursuant to Rule 18A dismissing the plaintiff's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Andres Ancheta was accompanied on the application by Mr. Dempsey who made oral and written submissions on his behalf. Mr. Dempsey advised the Court that he was trained as a lawyer but not licensed to practice. He said he was representing Mr. Ancheta as a friend and was not being paid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opposes this application and argues that the matter should proceed to trial, currently set for March 8-12, 2004. In the alternative, the plaintiff seeks to cross-examine Dr. Kropp and another affiant, Dr. Eaves, on their affidavits. In the further alternative, he seeks an award of damages in his favour, to be assessed in the future. The plaintiff has also filed a notice of motion alleging violations of his human rights and infringement of his rights and freedoms under the Charter. Mr. Dempsey advised the Court that damages of $3 million will be sought as compensation for those Charter breaches. That application was not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Kropp is a psychologist specializing in the assessment and management of violent offenders. On November 9, 1999, he received a telephone call from the defendant Deputy Chief Constable LePard (then Sergeant LePard), who indicated that the police were investigating an individual for making threats to co-workers. Sergeant LePard was head of the criminal harassment unit of the Vancouver Police Department at that time. Since 1996, Sergeant LePard had retained Dr. Kropp on several occasions to assist him in assessing suspects who were being investigated by the police for criminal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individual being investigated in 1999 was the plaintiff, a long time employee at College Printers Ltd. His employer was concerned that on November 3, 1999, Mr. Ancheta had allegedly drawn to the attention of his co-workers an article in the Globe and Mail regarding a mass murder in the workplace. He was also said to have made threatening remarks and suggested that he might obtain a gun and start shooting everyone in his workplace and then himself. He asked one of his co-workers if he could borrow a gun. The employer consulted their lawyer, Mr. Michael Korbin, who taped interviews with four of Mr. Acheta's co-workers. On November 4, 1999, a meeting was held between Mr. Ancheta, a union representative, three members of management, two police officers and Mr. Korbin.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Sergeant LePard provided transcripts of those interviews and the meeting to Dr. Kropp on November 10, 1999 and asked Dr. Kropp for his opinion regarding Mr. Ancheta's risk for imminent violence. Dr. Kropp reviewed those documents and prepared a reply to Sergeant LePard on the same day (the "Opinion"). He concluded that Mr. Ancheta represented a considerable risk for violence. The risk was imminent, the type of violence was severe, and the violence was directed at specific individuals: the staff and management at College Printers. Dr. Kropp outlined the risk factors and described the plaintiff as fitting the profile of a "grudge stalker". He also made certain recommendations with respect to (1) investigating Mr. Ancheta's past mental health background and any history of violence and (2) undergoing a thorough in-custody psychological/psychiatric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That was the extent of Dr. Kropp's involvement. It is obvious from the fact that he prepared the Opinion on the same day that he received the request for a risk assessment that he considered the matter urgent.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statement of claim alleges that after receiving Dr. Kropp's Opinion, the police obtained a warrant for Mr. Ancheta's arrest, arrested him and incarcerated him for five days. The plaintiff asserts that the arrest and incarceration were wrongful and constituted a malicious prosecution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statement of claim states that Dr. Kropp knew or ought to have known that his Opinion would be relied upon by the police in determining whether or not to arrest and incarcerate Mr. Ancheta. The statement of claim also alleges that Dr. Kropp was negligent in his Opinion in the following respects:</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consider all available evidence before expressing an opinion about the psychological characteristics of an individual;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assess all available evidence before expressing an opinion about the psychological characteristics of an individual risk assessment of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Expressing an opinion concerning the psychological characteristics of an individual without having sufficient evidence available for consideration;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Expressing an opinion concerning the psychological characteristics of an individual without having conducted an examination of the individual adequate to support his statements or conclusions;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Expressing an opinion concerning the psychological characteristics of an individual without qualifying the opinion by stating that the limited information available to him limited the reliability and validity of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Ancheta must prove that Dr. Kropp failed to meet the standard of care of the ordinary and competent forensic psychologist in the circumstances. In my view, Dr. Kropp easily met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Three forensic psychologists, Dr. Ogalaf, Dr. Speth and Dr. Hart, have all reviewed the relevant material and prepared expert reports, expressing their opinion that Mr. Ancheta's risk assessment was accurate and that, in the circumstances, it was reasonable for Dr. Kropp not to examine Mr. Ancheta personally. Dr. Eaves, an experienced forensic psychiatrist, also reviewed the information provided to Dr. Kropp and his Opinion and concluded that Dr. Kropp's assessment was accurate, appropriate and in the public's best interest. No evidence is put forward that would suggest Dr. Kropp failed to meet the relevant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Kropp are entirely without merit. Indeed, it is in the public interest that police call upon a forensic psychologist to provide an opinion as to the potential risk of violence from an individual. In such circumstances, time may be of the essence and, accordingly, the information available to the consultant is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providing his Opinion, Dr. Kropp had no further involvement relating to Mr. Ancheta. I find that none of the plaintiff's allegations regarding his wrongful arrest and incarceration can relate to any act or omission of Dr. Kropp.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resolution of this issue is particularly suitable for disposition by way of summary trial. Dr. Kropp was given certain documentation and asked to give an opinion. He did so, on the basis of that material alone. The salient facts are not in dispute and there is, contrary to Mr. Dempsey's adamant assertions, no issues of credibility. There is no basis for cross-examining Dr. Kropp or Dr. 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essence of Mr. Dempsey's submissions appears to be that Mr. Ancheta's employer, "maliciously prosecuted the plaintiff by filing a bogus criminal complaint" of uttering threats and "fabricated false and defamatory evidence, namely purported transcripts of testimonies ostensibly deposed by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Dempsey concedes that Mr. Ancheta said words to the effect "If I go crazy, I might borrow a gun and shoot people and kill myself... but I'm not crazy yet." Mr. Dempsey suggests those words do not constitute a threat and that a "witch hunt" ensued. Mr. Dempsey says that Dr. Kropp was "more than willing to aid LePard in this evil plot" to effect the wrongful arrest and incarceration of Mr. Ancheta. He accuses Dr. Kropp of producing a "bogus mental assessment" of the plaintiff "as requested" by Sergeant LePard and says that "bogus assessment" led to a "bogus warrant of arrest", the abduction of Mr. Ancheta, and his wrongful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not a whit of evidence that would implicate Dr. Kropp in some conspiracy or nefarious plot to either wrongfully assist Sergeant LePard or to harm Mr. Ancheta. I reject completely the factual assertions of the plaintiff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Ancheta's action against Dr. Kropp is dismissed with costs payable to him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Anderson v. Rizzardo, [2015] B.C.J. No. 2760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 8-10, 12 and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M127157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2015 BCSC 2349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Bryan Anderson, Plaintiff, and Bruno Rizzardo,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17"/>
      <w:bookmarkEnd w:id="161"/>
      <w:r>
        <w:rPr>
          <w:rFonts w:ascii="arial" w:eastAsia="arial" w:hAnsi="arial" w:cs="arial"/>
          <w:b/>
          <w:color w:val="000000"/>
          <w:sz w:val="20"/>
          <w:lang w:val="en-US" w:eastAsia="en-US" w:bidi="ar-SA"/>
        </w:rPr>
        <w:t>Damages — Physical and psychological injuries — Physical injuries — Body injuries — Back and spine — Considerations impacting on award — Degree of impairment — Mitigation — Determination of damages for injuries arising from motor vehicle accident — Plaintiff was awarded $60,000 in non-pecuniary damages, $68,000 for past loss of income and $140,000 for loss of future earning capacity — It was more probable than not that plaintiff suffered facet joint injury to spine — He would have to manage pain for many years to come, but likely on declining scale — He failed to mitigate damages by failing to seek treatment when symptoms exacerbated and by not looking for work that might have been suitable to residual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Loss of earning capacity — Retroactive loss of income — Non-pecuniary loss — Pain and suffering — Determination of damages for injuries arising from motor vehicle accident — Plaintiff was awarded $60,000 in non-pecuniary damages, $68,000 for past loss of income and $140,000 for loss of future earning capacity — It was more probable than not that plaintiff suffered facet joint injury to spine — He would have to manage pain for many years to come, but likely on declining scale — He failed to mitigate damages by failing to seek treatment when symptoms exacerbated and by not looking for work that might have been suitable to residual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Determination of damages for injuries arising from motor vehicle accident — Plaintiff was awarded $60,000 in non-pecuniary damages, $68,000 for past loss of income and $140,000 for loss of future earning capacity — It was more probable than not that plaintiff suffered facet joint injury to spine — He would have to manage pain for many years to come, but likely on declining scale — He failed to mitigate damages by failing to seek treatment when symptoms exacerbated and by not looking for work that might have been suitable to residual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15"/>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defendant's vehicle crashed into the back of the plaintiff's when it was stopped in a construction zone. The plaintiff had occasional neck and right shoulder/trapezius pain that worsened. He sought medical treatment, his symptoms improved and he stopped treatment. The symptoms became exacerbated, but he did not seek further treatment for several months. Before the accident, he was a partner and director of operations in a dealership in the wireless sales industry. After the accident, he struggled at work and negotiated an arrangement with his parents whereby he left his job and became an as-needed consultant, but did not look for other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3" w:name="Holdings of Court_13"/>
            <w:bookmarkEnd w:id="163"/>
            <w:r>
              <w:rPr>
                <w:rFonts w:ascii="arial" w:eastAsia="arial" w:hAnsi="arial" w:cs="arial"/>
                <w:color w:val="000000"/>
                <w:sz w:val="20"/>
                <w:lang w:val="en-US" w:eastAsia="en-US" w:bidi="ar-SA"/>
              </w:rPr>
              <w:t>HELD: The plaintiff was awarded $60,000 in non-pecuniary damages, $68,000 for past loss of income, $140,000 for loss of future earning capacity, $18,650 for cost of future care and $2959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more probable than not that the plaintiff suffered a facet joint injury to his spine, headaches and soft tissue injuries. He would have to manage his pain for many years to come, but likely on a declining scale. The injuries impaired his capacity to earn income and would do so for some time. There was a high chance of a real and substantial possibility that, but for the accident, he would have remained full-time at the dealership. The capital asset approach was used to quantify the loss of future earning capacity. The award for cost of future care included amounts for massage therapy and chiropractic treatment. The plaintiff failed to mitigate his damages by failing to seek further treatment when the symptoms exacerbated and by not looking for work that might have been suitable to his residual capacity. As a result, the award for non-pecuniary damages was reduced by five per cent, the award for past loss of income by 12 per cent and the award for loss of future earning capacity by 15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Counsel_22"/>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R.E. McCardell, S. Lerner.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K. Baldwin, K. Johal.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2"/>
      <w:bookmarkEnd w:id="165"/>
      <w:r>
        <w:pict>
          <v:line id="_x0000_s1130" style="position:absolute;z-index:2517841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S.K. BALLANCE J."/>
            <w:bookmarkEnd w:id="166"/>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mid-morning of December 16, 2010, the plaintiff, Daniel Anderson, was stopped in a construction zone on Highway 1 when a Ford Ranger SUV, driven by the defendant, crashed into the back of his Jeep Wrangler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Many of the basic facts of this case are not contentious and some were established by an agreed statement of facts exhibited at trial. Primarily in dispute are the nature and severity of Mr. Anderson's injuries stemming from the Accident and their effect on his earning capacity. Also controversial is whether Mr. Anderson has failed to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Early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Anderson was born on February 3, 1981 and grew up in North Vancouver, British Columbia. He was an active youth, participating in several sports such as snow skiing at a competitive level, hockey and water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most of high school, Mr. Anderson was an honour roll student and as a teen, developed an interest in business. In his senior high school year, he won an award for his entrepreneurship capability.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graduating from high school in 1999, Mr. Anderson attended a business administration program at a local college. He performed well in his business classes but found the demands of the compulsory English coursework difficult. His cumulative grade point in his first year fell below the class average, which precluded him from enrollment in his preferred courses for the following year. That dampened his motivation to continue in the program and he decided to leave school.</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Rogers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2001, Mr. Anderson landed his first job in the wireless telecommunications industry with Rogers Communications. He started in the customer call centre and was promoted through various roles, eventually landing a position within the business support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Anderson distinguished himself as being particularly skilled at resolving the more challenging issues that arose for Rogers' business customers. By 2005, he was acting as the "unofficial" manager of a team of approximately five other employees within the niche business-to-business support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Guy Almog had an ownership interest in a separate Rogers' dealership called Cellular Solutions West ("Cell Solutions"). He and Mr. Anderson first crossed paths in 2004. Mr. Almog was impressed by the extreme precision of Mr. Anderson's work on the financial and business side, and by his consistently high level of performance generally. He soon became Mr. Almog's preferred "go-to guy" in the business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Darrell Mitchell repeatedly stood out as the top business sales representative of the Rogers' dealerships for Western Canada. Like Mr. Almog, he also sought out Mr. Anderson to address the needs of his business clients because he was usually able to resolve the client's concerns during the initial call. Mr. Mitchell regarded Mr. Anderson as a "talented guy" who did a "fabulous" job.</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Cell 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about 2006, Mr. Almog recruited Mr. Anderson to join him at Cell Solutions in a managerial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at Cell Solutions, Mr. Anderson continued to develop a unique price plan analysis system that he had created during his employment with Rogers. His analysis provided a detailed report of the cost savings for potential customers if they switched to Cell Solutions. His analysis armed the Cell Solutions' sales team with the hard data necessary to win over clients. Mr. Anderson eventually emerged as a leader of the business-to-business component of Cell Solutions. He delegated work, managed staff, helped to create successful sales presentations by customizing his price plan analysis to the prospective customer and attended sales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had been the case when he was with Rogers, Mr. Anderson spent the majority of his work day in a sedentary position, sitting at his desk or seated in front of his computer working predominately on detailed spreadsheets and analyses.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establishes that Mr. Anderson played a crucial role in the significant market growth and overall success enjoyed by Cell Solutions. His contributions to the sales team assisted Cell Solutions to double its sales without having to add new sales staff, and helped it achieve recognition as the Business Dealer of the Year in the category of small-medium business dealer. In 2008, Mr. Anderson was recognized as the Sales Manager of the Year from among approximately 15 candidates.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Almog (who was not cross-examined) credibly described Mr. Anderson as a committed, loyal and dedicated employee whose work product was excellent and who performed his duties efficiently and punctually. He sensed no lack of motivation on Mr. Anderson's part. In terms of personality, he described Mr. Anderson as a quiet and introverted man with an even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Mr. Anderson's tenure at Rogers he had earned income of about $50,000 per year. At Cell Solutions his annual earnings climbed to nearly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was within this general timeframe that Mr. Anderson sold the condominium that he had purchased about three years earlier and, along with his then girlfriend, acquired a house in East Vancouver (the "Main Street House"). With the assistance of his stepfather, Mr. Anderson carried out extensive repairs and renovations of that property, including gutting the basement and installing a two-bedroom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about 2009, Cell Solutions was sold as a result of the consolidation of the independent Rogers' dealerships. Shortly thereafter, Mr. Anderson found himself out of a job.</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Preston Mobility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Around the time that Cell Solutions was sold, Mr. Mitchell had become increasingly dissatisfied with changes that had been implemented at Rogers, including the reduction to the sales commissions and the lack of service backup being provided to his customer base. Recognizing that these circumstances might afford him a business opportunity, Mr. Anderson approached Mr. Mitchell with the idea of the two of them joining forces with Mr. Almog to establish their own dealership with Bell Mobility ("Bell"), a competitor of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business prospect was appealing to Mr. Mitchell. However, because he did not "click" with Mr. Almog, he decided that the proposed venture was not a good fit. Holding keen on collaborating with Mr. Mitchell, Mr. Anderson continued to raise the subject with him and his persistence eventually paid off. In late 2009, Mr. Anderson and Mr. Mitchell decided to launch their own Bell dealership. They were joined in their endeavor by David Barber who would provide the requisite technology expertise. The three men agreed that they would each invest a certain amount of capital for which they would receive a proportionate equity interest in the new enterprise. They were committed to working long hours and doing whatever it took in order for Preston to become a success, based on a five-year outlook. Mr. Anderson testified that he hoped to build Preston over a ten-year period and then divest his interest for "a few million bucks".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Mr. Anderson intimated that he was able to persuade Mr. Mitchell to come aboard even though it meant that Mr. Mitchell would suffer a significant decrease in earnings in the short term as they built their dealership. He likewise suggested that he had permitted Mr. Mitchell to have the largest shareholdings and to act as the president and controlling mind of the new undertaking. I find that Mr. Anderson overstated the importance of his role in the establishment of the new partnership. The evidence is clear that he needed Mr. Mitchell far more than the converse. It was obvious to all of them that Mr. Mitchell was the rainmaker of the trio and was giving up significant remuneration in the short term to partake in the endeavour. It was understood that, for the most part, Mr. Mitchell would be running the show. One of the ways that reality was reflected was in the fact that their newly formed dealership, Preston Mobility Inc. ("Preston"), was named after Mr. Mitchell's infant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much to do within a relatively tight timeline to bring Preston into operation. The tasks included preparing a comprehensive business plan, obtaining approval from Bell, securing office space and developing a corporate philosophy, marketing strategy and website. One of Mr. Anderson's critical responsibilities at this stage was to prepare a detailed expense and revenue budget for the new operation aimed at maximizing profitability.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lead up to the opening of Preston, Mr. Mitchell's wife unexpectedly took ill. Mr. Mitchell was thus unable to give his undivided focus to setting up the business, and Mr. Anderson stepped into the breach. In his words, he "hit the ground running", devoting ten to 12 hours a day to the launch of Preston. He described his level of commitment to the business as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Preston opened its doors as a licensed Bell dealership on April 10, 2010 with Mr. Mitchell at its helm as president and Mr. Anderson as the director of operations. The work environment was competitive and fostered high achievement. Working steadily between 50 and 60 hours per week, Mr. Anderson developed and perfected systems to maximize efficiencies in Preston's operations. He took responsibility for the critical backend financial analysis, the tracking of inventory, running the payroll, and the continued preparation of his price plan analyses which highlighted the savings to be gained by clients who switched to Preston. Another essential tool developed by Mr. Anderson was a point-of-sale system to track sales and reconcile the various types of commissions to be received by Preston. Those systems were fundamental to Preston's success and are still used by it today. Neither Mr. Mitchell nor Mr. Barber had the know-how to create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same time, Mr. Anderson conceived and operated, through his own holding company, a used cell phone/phone hardware program designed to attract new clients by buying back their existing equipment to offset the penalties for switching their cell phone providers to Preston.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Mr. Mitchell's uncontradicted testimony that Mr. Anderson's work behind the scenes helped Preston become a valuable going-concern.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Neither Mr. Mitchell nor Mr. Barber had any concerns about Mr. Anderson's ability to satisfy the demanding work expectations they had set for themselves at Preston, his work ethic more generally, or the quality of his work product. That changed after the Accident.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estimated that he was travelling at a speed of approximately 78 to 79 kilometers per hour immediately before the Accident and admitted that he was only able to apply his brakes shortly before his vehicle rear-ended Mr. Anderson's Jeep. When struck, Mr. Anderson's vehicle was propelled forward a distance of about one and a half car lengths and collided with the car in front. In the result, he sustained two impacts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Emergency personnel arrived at the scene. Mr. Anderson felt somewhat dazed or "buzzed" but was not taken to the hospital. He was able to drive away from the Accident site and continued along to the office. He described feeling a tingling sensation on the skin of his upper body for the rest of that day. He soon found that he was too distracted to work that afternoon and excused himself for the balance of the day.</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Aftermath of the Accident through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the next morning, the tingling feeling on Mr. Anderson's skin had been overtaken by a general stiffness and restricted movement in his low back. He likened his symptoms to an elevated form of post-skiing stiffness. His low back pain was predominately on the right side above his hips. The pain was uncomfortable but not debilitating. Mr. Anderson also experienced a sharp stabbing pain on the left side of his neck, as though a needle had been injected there and an uncomfortable "crunchy" or "clunky" feeling just below his shoulder blade on the right side. Shortly after the Accident, he also began to experience headaches, sometimes presenting in a cluster, which lasted for about one to two hours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Anderson did not consider his symptoms to be particularly alarming in light of how hard his vehicle had been struck and given that he had been subjected to two impacts. Indeed, he considered himself fortunate that his injuries did not appear to be much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Anderson had only seen a doctor a handful of times in the ten years immediately preceding the Accident. As part of his job duties with Rogers in 2006, he was required to drive long distances to various retail stores. After several months of doing so, he experienced a "pinch" in his low back area, mostly on the right side. The evidence establishes that his low back discomfort completely resolved with a few massage treatments. In mid-2009, Mr. Anderson experienced similar low back symptoms. Once again they resolved after three or four sessions of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Accident, Mr. Anderson returned to massage therapy in late January 2011. In the weeks following the Accident, many of his symptoms improved, and he expected they would continue to do so just as his back pain had in 2006 and 2009. The stabbing pain on the left side of Mr. Anderson's neck abated considerably and resolved fully within about six weeks' time. His low back symptoms and his headaches, neither of which were disabling, also disappeared within that timeline.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his headaches, low back pain and left neck symptoms subsided and ultimately resolved altogether, the crunchy feeling in the region of his right shoulder blade/trapezius region did not improve. Within the first two months or so of the Accident, he began to notice an occasional throbbing or spasm-like pain in that same area that also implicated the right side of his neck. Initially, Mr. Anderson was only aware of the spasm or intensified pain in those regions every week or ten days. The duration of those symptoms was relatively fleeting; they last only for about 15 minutes, and the pain was mild to moderately severe. He testified that even though those symptoms persisted into the spring of 2011, he was not overly concerned because they surfaced infrequently and were often manageable by taking Advil. As well, despite his right-sided neck and shoulder/trapezius symptoms, Mr. Anderson continued to be fully occupied with Preston and able to continue to devote long hours to his work without much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Between January and May 2011, Mr. Anderson received five massage treatments. He testified that in June 2011, the intensity and frequency of the throbbing spasm-like pain in his right neck and shoulder/trapezius area heightened. The crunchy feeling in that area was still present most of the time but continued to manifest more in the background and cause him less pain than the other symptoms. He began to feel that he had to put in additional hours each day just to keep up with his usual workload; his energy and mood started to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Anderson is an intensely private person. He had not socialized with Mr. Almog when they worked together at Cell Solutions and did not fraternize with his partners at Preston. In keeping with his introverted nature, he chose not to disclose much information about his symptoms in the aftermath of the Accident and, indeed, tried to conceal them from his partners. Despite Mr. Anderson's efforts to hide his difficulties, Messrs. Barber and Mitchell noticed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Barber was on the road servicing customers most of the time and had limited face-to-face interactions with Mr. Anderson. Still, he credibly recalled that in the second half of 2011, he observed Mr. Anderson to be shifting around in his chair at a meeting, appearing to be in physical discomfort. Likely around the same time, he also detected a negative change in Mr. Anderson's overall demeanour in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Anderson has an understated demeanour and an even temperament. In contrast, Mr. Mitchell is a forceful, "type A" personality. In Mr. Mitchell's eyes, one of Mr. Anderson's prime attributes was that he offered a complementary and balanced influence to Mr. Mitchell's work style. Within a few months of the Accident, Mr. Mitchell started to notice problems with Mr. Anderson's job performance. He discovered errors in Mr. Anderson's work product and could see that he was increasingly working tighter to the deadline. When Mr. Mitchell raised these concerns with him, Mr. Anderson stubbornly pushed back in a way that Mr. Mitchell had not encountered before and at times became confrontational in their discussions. Mr. Mitchell also found that Mr. Anderson tended to lose focus on the tasks at hand, his energy seemed depleted and his mood had become increasingly downcast. Additionally, he recalled that Mr. Anderson complained about feeling discomfort while doing his work at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was Mr. Mitchell's perception that Mr. Anderson's shortcomings in the work place progressively worsened, which led to frequent clashes between them, particularly in the latter part of 2011. It was in that period that Mr. Mitchell offered to buy out Mr. Anderson's shareholdings in Preston, which Mr. Anderson refused. The evidence is clear that these two men had never before experienced conflicts of this degree or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Anderson could sense the mounting strain in his relationship with Mr. Mitchell. As his pain persisted and intensified, he lost the patience and energy to have the kind of healthy debates concerning Preston's business and future direction that he and Mr. Mitchell ordinarily engaged in before the Accident. Nevertheless, Mr. Anderson did not tell either of his partners that his injuries were the reason that he was having trouble at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late 2011 and continuing into 2012, Mr. Anderson was coming into the office later and leaving earlier, opting to do more of his work from his home. His adjusted work schedule really "stuck out" in Mr. Mitchell's mind. These changes did not improve Mr. Anderson's symptoms. Rather than completing his work in a typical work day at the office (i.e. 8:00 a.m. to 6 p.m. or thereabouts), he was spreading his work throughout the day and the evenings to allow for frequent breaks as a means of addressing his pain. He testified that he felt like his whole life was "one long work day" and his symptoms did not appreciably improve by working from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 to Mr. Anderson, he clung to the assumption that his symptoms would resolve as soon as he took the time to get proper treatment. He explained that in September 2011, he realized that he had consumed a jumbo bottle of extra strength Advil in just a matter of months. With that, came the insight that he needed to stop procrastinating in getting medical attention for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By this time, Mr. Anderson's family doctor had retired. He says that in late 2011, he began searching for a new family doctor. He testified that based on his experience with his short-lived low back pain in 2006 and 2009, he believed that once he obtained a referral to an appropriate specialist, a few treatments would get him back on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Anderson's initial cold calls to various medical offices proved fruitless as they were not taking new patients. By chance, he heard a radio advertisement that a medical clinic was accepting new patients. He called the clinic in December 2011 and made an appointment to see Dr. Barber, a family doctor, on March 7, 2012, a full 15 months after the Accident.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Events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March 2012, Dr. Barber referred Mr. Anderson to Dr. Ian Murray, a physiatrist, and an appointment was scheduled for April 10, 2012. Mr. Anderson claims that in the months immediately before his first visit to Dr. Murray, his neck and shoulder/trapezius symptoms worsened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Murray recommended that Mr. Anderson undergo a course of treatments involving manipulation of his upper spine and told him he anticipated that the symptoms would likely resolve in a matter of six to eight treatments. Eleven adjustments were performed by Dr. Murray between April 2012 and the end of January 2013. They served to decrease Mr. Anderson's pain levels and the frequency of his spasms for days and sometimes weeks at a time. Mr. Anderson testified that his symptoms would inevitably re-emerge in a pattern of building intensity and frequency over time. Dr. Murray also instructed Mr. Anderson with respect to exercises he should perform to strengthen his neck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addition to receiving treatments from Dr. Murray, Mr. Anderson began weekly sessions with a personal trainer, which he had never done before. Those sessions spanned a period of three to four months. The trainer was not a physiotherapist or a kinesiologist. Mr. Anderson also took steps to improve his overall health by changing his diet. Further, he resumed massage therapy in 2012, receiving one treatment in May and the other in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Anderson testified that in late 2011 or so, he occasionally turned to smoking marijuana in the evenings in the hope that it would improve his declining mood and help him to relax and fall asleep. By about December 2012, he was smoking it every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mentioned, the original shareholders of Preston were Messrs. Mitchell, Anderson and Barber. Their shareholdings fluctuated to reflect an additional capital contribution made by Mr. Mitchell, and the inclusion of his sister as a stakeholder.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early part of 2012, Mr. Anderson sold the Main Street House that he had co-owned with his former girlfriend from whom he had separated in 2009. He realized a tidy profit from that transaction. In about May 2012, he used approximately $100,000 of his share of the sale proceeds to exercise an option to acquire additional stock in Preston. In the result, Mr. Anderson's shareholdings in Preston increased from approximately 15% to 20% or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Despite his regular sessions with a personal trainer and the symptomatic relief provided by massage therapy and Dr. Murray's treatments, Mr. Anderson testified that he continued to struggle with his symptoms. Even though he was spending more time working from home where he had the flexibility to take breaks to stretch, he felt drained and in pain. Mr. Anderson became aware that he was not meeting Mr. Mitchell's expectations of him and, while he was embarrassed about underperforming his duties, he felt he had nothing more to give to his job. Friction with Mr. Mitchell escalated and Mr. Anderson began to feel as though he was trapped in a dark tunnel. He sensed he was losing his grip at Preston and he worried about his future. He felt his current work situation and lifestyle were not sustainable and that a drastic step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the fall of 2012, Mr. Anderson was desperate to make a change. Preston was no longer his main priority and he instead turned his attention to taking an extended trip away. He explained that planning the trip gave him a positive focus and helped attenuate his feelings of being lost and without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late fall of 2012, Mr. Anderson negotiated an arrangement with his partners whereby he would relinquish his position as the director of operations and would become a consultant for Preston on an as-needed basis. The evidence establishes that Mr. Mitchell accommodated Mr. Anderson in this way because some of the key parts of Preston's operations still depended heavily on his skill and input. Shortly thereafter, Mr. Anderson announced to his partners that he had decided to travel to South America. The evidence indicates that Mr. Anderson did not provide his partners with any particular reason for his extended absence from the country and, strangely, they did not ask for one. When questioned about his knowledge as to why Mr. Anderson had gone to South America, Mr. Barber referenced possible "stress" or "pressure", but confirmed that he had no firm impression as to Mr. Anderson's motives or his underlying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partners agreed that during his travels, Mr. Anderson would continue to work as a consultant for an hourly rate not to exceed a maximum charge of $2,500 per month. Despite Mr. Anderson's impending shift away from Preston, he worked diligently to appropriately hand-off his duties to other employees, and to ensure that the transition went as smoothly as possible.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South America and Other Events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Anderson underwent his final three sessions with Dr. Murray in January 2013. The following month he embarked on an open-ended trip to South America. He travelled through several countries carrying a backpack that weighed about 40 pounds. He maintained his corporate email address and performed a relatively modest amount of consulting work for Preston during his travels.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was remarkably little evidence about how Mr. Anderson occupied his days and weeks in South America. As for his symptoms, he testified that their intensity and frequency decreased markedly and were well-managed with the occasional use of Advil although they would flare up when he took long bus rides or worked at his computer for prolonged periods. Mr. Anderson felt better travelling throughout South America than he had at any other time after the Accident and assumed that his travels, combined with the treatment he had received in 2012 and early 2013, were having the desired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Anderson says he did not smoke any marijuana while in South America because he did not want to get himself into trouble while there and, in any event, the sequelae of the Accident was far more manageable during his trip. He did not seek out any medical attention or treatment for the symptoms that he attributes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Near the end of his trip, Mr. Anderson struck up a friendship with Fernanda Henao who resides in Medellin,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Anderson returned to Vancouver in July 2013. The primary reason was to attend his examination for discovery and to undergo an independent medical examination, both in relation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 to Mr. Anderson, he felt renewed and optimistic that his much improved symptoms had stabilized and he wanted to reintegrate with Preston. He was partly motivated by a feeling that he had let Mr. Mitchell down and wished to rebuild their business relationship. Although Mr. Anderson's former position at Preston had been filled, there was a mutual interest in him assuming a more formal consulting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Effective September 1, 2013, Mr. Anderson's consultant role was adjusted. The new arrangement contemplated him working up to 80 hours per month at a rate of $31.25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Anderson testified that within mere weeks after resuming working at a computer on a regular basis, the spasms resurfaced and quickly became a daily problem, although they were not as intense as when he left for South America. He resumed smoking marijuana in the evenings to relax.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Murray had since retired. Mr. Anderson returned to his massage therapist and, by the end of October 2013, had received about nine treatments. He testified that his symptoms eased with each session but, as had been the case previously, the symptomatic relief was only temporary and did not lead to sustained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same timeframe and by happenstance, Mr. Anderson met a man named Cesar from Medellin, Columbia. He persuaded Mr. Anderson that there existed a solid business opportunity in Medellin to sell used cell phones.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Mr. Anderson, who claims he was finding it difficult to work even 20 hours a week because of his pain, Cesar's business idea appeared to offer a good lifestyle and work option, given the low cost of living in Columbia and its close proximity to friends he had made in his previous travels. Moreover and importantly, Mr. Anderson and Ms. Henao had, by this time, developed a strong online friendship, largely as a result of their daily Facebook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Anderson relocated to Columbia in late October 2013 and has been living there since then.</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Life in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shows that since November 2013, Mr. Anderson has continued to work as a consultant for Preston in the range of 50 to 80 hours per month at the rate of $31.25 per hour. The volume of work fluctuates and has been declining somewhat in recent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Anderson and Ms. Henao began living together in January 2014. The next month, Mr. Anderson and Cesar opened their storefront. Interestingly, given that Mr. Anderson testified that the business opportunity with Cesar was a prime factor motivating his return to Columbia, as it turned out, he invested little time in the endeavor, working on it from his home for as few as five hours per week. After the cell phone resale business had been in operation for approximately three months, the Colombian government introduced regulations that made it unfeasible for Mr. Anderson to continue. The evidence establishes that he made very little money to speak of from that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Through the B.C. company that he incorporated in 2009, Mr. Anderson continued to be engaged in the small sideline of selling cellular phones and hardware that he had purchased from Preston. I am satisfied that this endeavor generated modest income only and, over time, did not even justify the cost of maintaining the company. Accordingly, in October 2014, Mr. Anderson dissolved his company and withdrew its retained earnings of roughly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After completing university courses in fashion design some two months before trial, Ms. Henao has been at home with Mr. Anderson practically every day. She became aware that he had sustained injuries from the Accident when she asked him about his regular use of "pain pills". She testified that in a typical day, Mr. Anderson takes their dog for a walk each morning and then works in an open office space at home from about 8:00 a.m. until 1:00 or 2:00 in the afternoon. Ms. Henao says that he frequently appears very tired when he finishes his work. After work, he usually rests, watches television, plays video games or goes for a walk. They sometimes enjoy movies together at the local theatre or go out for meals. She recalled taking a few lengthy car trips with Mr. Anderson which left him looking tired and in pain after roughly 40 minutes of continuous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Anderson's evidence is that the crunchy feeling in his right shoulder/trapezius continues to percolate in the background most of the time. His right-sided neck and shoulder/trapezius spasms and pain wax and wane depending on his activities. He elaborated that if he is seated in front of his computer for two to three hours or more, he ordinarily requires extra strength Advil to cope with his pain. He has taken to ingesting approximately 20 Advil pills prophylactically each week. He also regularly uses a Spanish-made muscle pain cream to alleviate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Anderson testified that he continues to do the exercises to strengthen his neck taught to him by Dr. Murray at least every second day, and performs self-massage and pressure point release to relax the tight muscles in his problem areas. He also self-manipulates his neck throughout the day, trying to mimic the cervical adjustments performed by Dr.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Henao often sees Mr. Anderson massaging his right shoulder/trapezius area and the right side of his neck; she sometimes massages him in those areas as well. She has also observed him manipulating or "cracking" his neck several times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Anderson returned to Vancouver in the summer of 2014 to attend a number of independent medical examinations. In July and August, he resumed massage therapy and tried nine treatments of laser therapy combined with chiropractic adjustments. He testified that the laser/chiropractic modalities offered him negligible relief, but that he obtained limited therapeutic benefit from the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Over the course of the past year, Mr. Anderson says he has succeeded in keeping his pain from reaching the level of intensity that he claims puts him in a "bad place" in 2012. He says that he has become aware that prolonged sitting, including sustained stationary work at his computer, is the source of the aggravation of his spasms and the throbbing pain in his right neck and shoulder/trapezius area. In the year leading up to trial, he has not been able to work productively more than six or so hours in a single day which he says he accomplishes by spreading out his tasks over a 12-hour period. His evidence on this point conflicted with Ms. Henao's.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Anderson does not have a firm plan for how long he might continue to live in Columbia or maintain his role as a consultant for Preston. He explained that ideally his future desire is to re-establish himself as the director of operations at Preston but he is not optimistic that will come about. He has not raised this prospect with Mr. Mitchell or Mr. Barber. As well, Preston has hired others to share the vast majority of his former work duties. In any event, such a goal is plainly unfeasible for so long as he resides in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 to Mr. Anderson, at this stage he is better able to manage his symptoms and lifestyle by living in Columbia where he can get by working fewer hours in a flexible environment and still earn enough to afford a satisfactory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Aside from his consulting work, Mr. Anderson claims to be on the lookout for other business opportunities. He was vague on what his search entails beyond occasionally perusing unspecified websites for businesses for sale and similar opportunities. Mr. Anderson testified that the job matches identified by Dr. Powers either held no appeal to him, were not in his skill set or were not realistic options in light of his injuries. As he considers himself to be an entrepreneur, he has not looked for any conventional employment nor applied for any jobs since the Accident.</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Mr. Anderson's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Anderson's demeanour in giving evidence was noticeably restrained, which I found reflective of his natural discomfort in speaking openly about his personal life. While he was a credible witness for the most part, there were notable exceptions. For example, the reasons he gave for moving to Columbia in October 2013 were less than forthcoming and deliberately glossed over the main factor underlying his decision, namely to pursue his budding relationship with Ms. Henao. More crucially, I find that on the core issues of the manifestation of his lingering neck and shoulder/trapezius symptoms and their functional impact upon him, Mr. Anderson tended toward exaggeration in his reporting of them to certain of the medical experts and was at times inconsistent in recounting such evidence at trial. Although I do not consider Mr. Anderson's shortcomings to justify an across the board rejection of his evidence unless it is independently corroborated, they call for this Court to assess the entirety of his testimony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is consensus among the medical experts that the Accident caused Mr. Anderson headaches and soft tissue injuries primarily to his back, neck and right shoulder/trapezius area. The central medical issues in dispute are the severity of his ongoing soft tissue injuries and their prognosis, and whether he also sustained an injury to the facet joints along certain parts of his spine.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Experts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Cecil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Hershler has been a practising physiatrist for thirty years. He has held teaching positions at the University of British Columbia as a Clinical Associate Professor in the School of Rehabilitation Medicine and as an Adjunct Professor in Mechanical Engineering. At one time, he was an active medical staff member of the G.F. Strong Rehabilitation Centre. Dr. Hershler is also a diplomate in the Canadian and American Academies of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Hershler assessed Mr. Anderson on August 29, 2013. Among other things, he observed a slight tendency for Mr. Anderson to stand with his head tilted forward as though he was smelling a flower. At trial, Dr. Hershler explained that individuals with chronic neck pain commonly develop such a stoop in their upper body and neck. On examination, Dr. Hershler noted a loss of approximately 25% of Mr. Anderson's range and restriction of movement (active and passive) during rotation of his head to the left, as compared to rotation to the right. The restriction appeared to be due to muscle tightness on the right side of Mr. Anderson's neck and across his right shoulder. On palpation, Dr. Hershler found hard, resistant bands of tissue across the top of Mr. Anderson's right shoulder region that were not present in the corresponding area on the left side. Other testing yielded normal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Hershler diagnosed an injury to Mr. Anderson's upper trapezius muscle on the right side and identified the Accident as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to Mr. Anderson's prognosis, Dr. Hershler opined that for the foreseeable future, he would remain symptomatic and that his symptoms would affect his ability to work. He further prognosticated: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Almost 3 years have now elapsed since the [A]ccident, but Mr. Anderson continues to experience symptoms of pain that are related to the muscle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own practice, 80% of patients with similar types of muscular injury take three years to recover, while another 10% take five years and 10% will have symptoms that persist beyond five years. By "recover", I mean that the symptoms diminish (albeit in a fluctuating pattern) to tolerable levels and do not affect the function. Based on this model, it is likely that Mr. Anderson will remain symptomatic with respect to his bouts of pain (that will affect function) for at least another one-to-two years, if not longer. If the symptoms have not changed (50% chance) significantly within 5 years of the [A]ccident, I am pessimistic with regard to the symptoms ever resolving.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trial, Dr. Hershler clarified that if, at the four-year mark, Mr. Anderson's symptoms remained unchanged, by which he meant that the frequency and intensity of the symptoms had remained constant and had not fluctuated or changed in any respect, then he would tend to the view that it was unlikely that they would further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During the assessment, Mr. Anderson told Dr. Hershler that he felt that he had recovered about 40% since the Accident. His report was at odds with his evidence at trial to the effect that after travelling in South America, his symptoms had substantially improved to the point where he felt able to try to reintegrate himself at Preston. On the evidence as a whole, I find that Mr. Anderson's portrayal of having achieved only a 40% recovery when he was seen by Dr. Hershler was overly conservative and substantially understated his degree of improvement. I find that Mr. Anderson's inaccurate self-report as to his level of recovery played a role in informing Dr. Hershler's prognosis concerning his trapezius injury such that it was more pessimistic than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Hershler commented that ongoing symptoms of pain ordinarily detrimentally affect a patient's mood, concentration, focus and sleep, although Mr. Anderson had not raised those specific complaints with him. He also clarified that it is not unusual for an individual's persistent neck pain to worsen over time depending on the nature of the work the individual is engaged in. In his view, working more than 40 hours per week in a predominantly sedentary position would increase the likelihood of pain in Mr. Anderson's trapezius muscles and reduce the chances of a full recovery and should, therefore, be avoided. Dr. Hershler stressed that having flexibility on the job that would allow Mr. Anderson to periodically change his posture, move around, and stretch in his work place, was crucial to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Dr. Hershler was asked to agree that it is unusual for a person who has been injured in an accident to wait to see a doctor for a period of close to 15 months, as Mr. Anderson had done. Dr. Hershler answered that it would depend on the nature and severity of the injuries, and whether the person was initially able to manage the symptoms and felt they could be kept under control. He added that, in his experience, injured people tend to cling to the hope that their symptoms will go away with the passage of time and, in keeping with that mindset, will attempt to address their injuries on their own for varying periods of time before consulting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I will discuss in reference to the evidence of Dr. Stanley Jung, after Dr. Hershler carried out his assessment, Dr. Jung diagnosed a facet joint injury to Mr. Anderson's spine in addition to the soft tissue injuries to his neck and right shoulder/upper back/trapezius area. In contrast, Dr. Hershler had found no evidence of injury to Mr. Anderson's spinal regions and did not diagnose a facet joint injury. At trial, Dr. Hershler explained that his skill was to identify soft tissue injuries, but not facet joint injuries, in a clinical setting. He confirmed that, within the bounds of his clinical examination of Mr. Anderson, he did not identify an injury to the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Hershler went on to say that he considered his diagnosis of soft tissue injury to Mr. Anderson's trapezius as being consistent with a facet joint injury of the kind that Dr. Murray had assessed as probable when he examined Mr. Anderson in March 2012. Dr. Murray did not tender an expert report and was not called as a witness at trial. Consequently, his assessment is not before the Court as opinion evidence or in evidence for the truth of its contents. My reference to Dr. Murray's assessment merely relates to Dr. Hershler's answers on this point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Hershler stressed the importance of Mr. Anderson participating in an active rehabilitation program as soon as possible, explaining that the longer an injured person waits to do so, the more difficult it will be to achieve full or even partial resolution of one's symptoms. He clarified that by active rehabilitation, he meant that Mr. Anderson should have intensive and customized personal training sessions with the objective of developing core-strengthening exercises to follow on his own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Hershler also recommended an intensive course of deep tissue massage to help break the cycle of Mr. Anderson's muscle pain, together with deep laser heat and a topical anti-inflammatory gel to assist in pain management. Although Dr. Hershler could not be certain that any of his recommendations would lead to a full recovery, in his view they would, at a minimum, assist with pain management and improve Mr. Anderson's function.</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Stanley Jung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Jung is a chiropractic specialist consultant in rehabilitation. His clinical practice is by medical referral only with an almost exclusive concentration on working with patients involved in motor vehicle collisions who suffer from chronic spine pain. Dr. Jung is a Fellow of the College of Chiropractic Rehabilitation Sciences and of the American Board of Disability Analysts. He is a Certified Independent Chiropractic Examiner designated by the American Board of Independent Medical Examiners and trained in the American Medical Association Guidelines in the evaluation of permanent impairment. When he assessed Mr. Anderson on July 30, 2014, Dr. Jung was enrolled in a graduate certificate program in pain management in the Faculty of Rehabilitation Medicine, at the University of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Jung diagnosed the Accident-induced injuries sustained by Mr. Anderson as falling within two main categories: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Soft tissue injuries to his neck and upper back, including his upper shoulder girdle area</w:t>
      </w:r>
      <w:r>
        <w:rPr>
          <w:rFonts w:ascii="arial" w:eastAsia="arial" w:hAnsi="arial" w:cs="arial"/>
          <w:color w:val="000000"/>
          <w:sz w:val="20"/>
          <w:lang w:val="en-US" w:eastAsia="en-US" w:bidi="ar-SA"/>
        </w:rPr>
        <w:t>. On examination, Dr. Jung found a significant difference in Mr. Anderson's neck strength between his left and right sides, which he concluded was consistent with his diagnosis of soft tissue injury to that area. Dr. Jung also held the view that Mr. Anderson likely suffered injury to his interspinous ligaments and remarked that such injuries typically take longer to heal than other soft tissue injuries. He elaborated that, unlike injuries to muscles, ligamentous injuries tend to present with increased motion consistent with the flexion movement in Mr. Anderson's neck, and the extension and bilateral rotation movements in his mid-back.</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Facet joint injuries in the same areas as his soft tissue injuries</w:t>
      </w:r>
      <w:r>
        <w:rPr>
          <w:rFonts w:ascii="arial" w:eastAsia="arial" w:hAnsi="arial" w:cs="arial"/>
          <w:color w:val="000000"/>
          <w:sz w:val="20"/>
          <w:lang w:val="en-US" w:eastAsia="en-US" w:bidi="ar-SA"/>
        </w:rPr>
        <w:t>. In Dr. Jung's opinion, the presentation of pain in Mr. Anderson's neck including and encompassing his upper shoulder girdle and in his upper back/trapezius area, suggested a mechanical pain that probably stemmed from his facet joints. In assessing the degree of "joint play" in those areas, Dr. Jung found an abnormal lack of movement that indicated the injury was not simply of the soft tissue variety and was consistent with an injury or abnormality of Mr. Anderson's facet joints. By loading the facet joints, a process by which Dr. Jung purposely "jams" the joint, he was able to reproduce some of Mr. Anderson's neck and shoulder girdle pain which he noted would be typical for a patient suffering from a facet joint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Jung explained that facet joint pain has a specific pattern related to the area of injury. An injury at the C6 level, which Dr. Jung believes is the location of Mr. Anderson's injury, causes a pattern of referral pain directly over the trapezius muscle. He stated that restricted facet joints at the C6 level have been implicated in the literature as a common source of neck pain and opined that the difficulty Mr. Anderson experienced with extension movements of his neck was consistent with a facet joint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mentioned earlier, after Mr. Anderson commenced his sessions with Dr. Murray, he began to self-manipulate his neck which provided him with temporary symptomatic relief. Dr. Jung testified that self-treatments of that kind often alleviate pain temporarily by creating a "gap" in the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far as Dr. Jung could tell, Dr. Hershler's physical examination of Mr. Anderson differed from his, and he reasoned that the differences between their two examinations would explain why they had not reached the same conclusion regarding the injury to Mr. Anderson's spine. The material difference appears to be that Dr. Hershler did not perform the spinal loading evaluation relied upon by Dr. Jung.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Jung opined that, in light of the ongoing nature of Mr. Anderson's injuries and his failure to recover despite sessions with a personal trainer, massage therapist and the spinal manipulation treatments performed by Dr. Murray, it was unlikely that he would experience significant improvement from his current condition. Notably, however, he added the important qualification that if Mr. Anderson were to comply with the recommended treatment modalities, he may be able to increase his pain tolerance and develop coping skills and thereby modestly improve the management of his constellation of soft tissue and facet joint injuries. Dr. Jung foresaw that even with such improvement, it was probable that Mr. Anderson would continue to experience symptomatic flares in his neck and shoulder/upper back triggered by the activities of daily living. I consider that latter point problematic as the evidence did not show that the activities of daily living or Mr. Anderson's physically intense recreational pursuits, such as ice hockey and skiing, aggravated his symptoms. The exacerbating culprit in Mr. Anderson's case is prolonged sitting, especially while using his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had Dr. Hershler, Dr. Jung cautioned that, without flexibility in the work place to take breaks throughout the day, Mr. Anderson would likely experience more frequent episodes of neck/shoulder/upper back pain and probably at an increased intensity. In Dr. Jung's clinical experience, it is not uncommon for patients with ongoing pain to experience depressive-like symptoms. That point was also made by Dr. Hershler and seems a matter of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Finally, Dr. Jung opined that Mr. Anderson may be susceptible to further injury or the exacerbation of his soft tissue and/or facet joint injuries if he were to suffer a further traumatic insult to his neck or upper back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Jung made several treatment recommendations: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series (four to six visits) of spinal manipulative therapy with a chiropractor to help with the neck pain generated by Mr. Anderson's facet joint injury. If Mr. Anderson experiences longer-lasting pain relief from that therapy than he did from the sessions with Dr. Murray, another series of treatments should be added, possibly as many as ten to 20, together with four to six treatments annually on an ongoing basis to address periodic flares of symptoms;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 with a physiatrist that offers prolotherapy injections with the goal of tightening Mr. Anderson's ligamentous laxity and relieving pain. Such injections usually have a therapeutic effect for three to six months;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Facet joint injections, also known as facet blocks, with deference to the view of a physiatrist as to whether that form of treatment would be appropriate;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Steps to increase Mr. Anderson's neck strength with regard to flexion and right lateral flexion, such as performing isometric exercises or exercises with an elastic tubing or bands, and preferably done under the direction of a kinesiologist. In the event that those exercises are not particularly helpful, Mr. Anderson should find a facility that would give him access to a specific neck exercise machine called a BTE/Hanoun multi-cervical unit. Because Mr. Anderson's neck and upper back pain is not exclusively related to his neck weakness, his symptoms will not resolve merely by strengthening his neck;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massage therapy is likely no longer contributing significantly to Mr. Anderson's healing process, it can serve a long-term palliative purpose by providing temporary symptomatic relief of soft tissue injuries. The frequency of those treatments will depend upon how well Mr. Anderson responds to the other courses of recommended treatments, that is to say, if those treatments do not yield positive results and ease Mr. Anderson's pain sufficiently, more ongoing massage may be reasonably required.</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Ms. Louise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Craig is a registered physiotherapist and holds a Masters of Business Administration with a focus on rehabilitation and early intervention strategies facilitating durable return to work. She has completed extensive postgraduate studies in several specialty areas, such as the preparation of functional capacity evaluations and cost of future care analyses. Ms. Craig has provided reports for private insurers, lawyers, employers and the Insurance Corporation of British Columbia in relation to the foregoing since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Craig carried out a functional capacity assessment of Mr. Anderson on August 14, 2014 over the course of nearly eight hours. She described a functional capacity evaluation as being a systematic method of measuring an individual's ability to perform meaningful tasks on a basis that is both safe (i.e. without sustaining injury) and dependable (i.e. able to do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Once the session with Ms. Craig was underway, Mr. Anderson was periodically asked to rate his pain by reference to the Matheson Functional Pain Scale, which enumerates ten levels of pain. He variously referred to experiencing pain at scales three to five, which are described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Three: Pain is starting to visibly disable you. It is starting to cause difficulty moving or applying strength through the painful area, affecting your productivity or performance. Causes you to take small breaks to rest or stretch.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Four: Pain that causes disability between levels three and five.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Five: Very disabling pain. Causes great difficulty moving or applying any strength through the painful area. You would stop using the painful area for the present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Anderson reported to Ms. Craig that sitting, working at his computer, holding the phone to his shoulder, and driving aggravated the right side of his neck and his shoulder/trapezius area. He elaborated that his pain was less noticeable if he was able to move around and change his posture after about an hour of continuous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During the evaluation, Mr. Anderson was able to sit upright for a non-continuous period of four hours and 32 minutes. However, he was only able to tolerate 90 minutes of continuous sitting during which he complained of an increase in pain to approximately levels four and five. Mr. Anderson demonstrated tolerance for occasional to frequent sitting (with regular breaks) and possible tolerance for </w:t>
      </w:r>
      <w:r>
        <w:rPr>
          <w:rFonts w:ascii="arial" w:eastAsia="arial" w:hAnsi="arial" w:cs="arial"/>
          <w:i/>
          <w:color w:val="000000"/>
          <w:sz w:val="20"/>
          <w:lang w:val="en-US" w:eastAsia="en-US" w:bidi="ar-SA"/>
        </w:rPr>
        <w:t>constant</w:t>
      </w:r>
      <w:r>
        <w:rPr>
          <w:rFonts w:ascii="arial" w:eastAsia="arial" w:hAnsi="arial" w:cs="arial"/>
          <w:color w:val="000000"/>
          <w:sz w:val="20"/>
          <w:lang w:val="en-US" w:eastAsia="en-US" w:bidi="ar-SA"/>
        </w:rPr>
        <w:t xml:space="preserve"> sitting with the use of proper ergonomics, and pacing and breaking strategies. Ms. Craig's use of the term </w:t>
      </w:r>
      <w:r>
        <w:rPr>
          <w:rFonts w:ascii="arial" w:eastAsia="arial" w:hAnsi="arial" w:cs="arial"/>
          <w:i/>
          <w:color w:val="000000"/>
          <w:sz w:val="20"/>
          <w:lang w:val="en-US" w:eastAsia="en-US" w:bidi="ar-SA"/>
        </w:rPr>
        <w:t>constant</w:t>
      </w:r>
      <w:r>
        <w:rPr>
          <w:rFonts w:ascii="arial" w:eastAsia="arial" w:hAnsi="arial" w:cs="arial"/>
          <w:color w:val="000000"/>
          <w:sz w:val="20"/>
          <w:lang w:val="en-US" w:eastAsia="en-US" w:bidi="ar-SA"/>
        </w:rPr>
        <w:t xml:space="preserve"> did not necessarily imply uninterrupted sitting. Rather, it referred to sitting for a period of between 66 to 100% of the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Anderson did not report difficulties with standing, climbing stairs or walking and Ms. Craig concluded that he was not limited in those abilities. He reported symptom increase with sustained head forward posture after short intervals of five to ten minutes. Although he was able to reach at all levels, he reported symptom aggravation to the right side of his neck and right trapezius area in response to sustained overhead reaching that resulted in him slowing his pace and falling below industrial standard performance for that type of task. Mr. Anderson reported that his focus becomes disturbed once the pain and muscle spasms in his right trapezius area increase. He was able to reduce his pain with a break of between five and 20 minutes that allowed him to walk and lightly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Over the course of testing, Mr. Anderson maintained or improved his speed and range of motion (shoulders and neck) which indicated to Ms. Craig that he had a reasonable tolerance to the test activities. Based on the results of the battery of tests that she administered to Mr. Anderson, Ms. Craig concluded that he demonstrated the capacity for mid-to full-range medium physical strength demands and was able to assume all body positions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her report, Ms. Craig makes it clear that Mr. Anderson is independent with his activities of self-care, does not require help for household cleaning, garden or yard work and that there are no physical barriers limiting his participation in sports such as skiing and ice hockey on a recreational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Craig understood the critical job demands of Mr. Anderson's former position as the director of operations at Preston to be sitting at a computer working with spreadsheets and databases, using the telephone, occasionally participating in client meetings and managing inventory of items that weighed approximately 20 pounds, but nothing heavy. She was satisfied that he demonstrated the capacity to partially meet the physical demands of his former position with reduced endurance for sustained intensive sitting tasks which, she acknowledged, comprise the majority of his occupational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Ms. Craig's opinion, the determination of Mr. Anderson's future ability to resume full-time work is dependent on the outcome of her recommendations. She expressed reservations about whether he would be able to work full-time hours without employing effective pain management strategies based on his current pain reports and symptom aggravation arising from work-like tasks. By implementing her recommended treatment regimen, together with a pacing and break strategy throughout the work day, and by using proper ergonomics, Ms. Craig considered it likely that Mr. Anderson would be able to tolerate full-time work of 40 hours per week. She clarified that by taking the breaks into account, he would likely be productive for approximately 6.5 hours or so of the work day. She added that, without further improvement of his injury, she has moderate reservations about his ability to work in his past capacity beyond 40 hours and up to 60 hours per week because the anticipated increase in his pain causes him distraction and difficulty focusing.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Based on the various protocols she used to measure consistency, reliability and validity, Ms. Craig concluded that Mr. Anderson provided a consistent and full physical effort during her evaluation. She also concluded that her findings on assessment and her clinical observations of Mr. Anderson generally supported his reports of pain and that he presented with mild and appropriate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 vitally important feature of Ms. Craig's opinion is that she is not satisfied that Mr. Anderson has reached his maximum physical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Her recommendations for Mr. Anderson are set out below:</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breaking and pacing throughout his work day, he will require an ergonomic work station to facilitate good posture during work hours. An ergonomic assessment should be performed. Because Mr. Anderson says that standing is a better position for him, he should use a sit/stand work station for a trial period to determine whether it would be effective in reducing his symptoms during work hours;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Anderson did not exhibit effective pacing and breaking strategies in response to the sustained sitting postural demands that tend to aggravate his symptoms. In order to increase his overall productivity and improve the management of his symptoms, it is essential that he take frequent and regular breaks at work of about 15 minutes every hour. However, Mr. Anderson seemed hesitant to avail himself of breaks because he finds that they interfere with his concentration. Therefore, he should receive coaching from a physiotherapist or occupational therapist in that regard, with two to three hours of education over a six-week period;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benefit from increased activity because his current level of activity is insufficient to improve his condition or functional status. Given that he has not yet pursued a comprehensive exercise program, he should participate in a concentrated six-week long individualized rehabilitation program guided by a physiotherapist. At the conclusion of that program, Mr. Anderson should maintain a regular conditioning program for a minimum of three to four days per week;</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Anderson's further participation in chiropractic treatments is warranted for at least ten to 12 additional sessions to evaluate the efficacy of that modality. In the event that the initial series of treatments is therapeutic, monthly treatments should be employed for as long as they remain a beneficial part of his pain management program;</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Dr. Hershler's opinion that massage therapy may help Mr. Anderson, he should attend ten to 12 sessions per year as part of his pain management strategy. Five to six sessions of acupuncture or intra-muscular stimulation may also prove therapeutic;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options should be explored for the medical management of Mr. Anderson's localized pain. In many similar cases where there are facet joint injuries and persistent soft tissue pain, many patients undergo trigger point injections, facet joint blocks, prolotherapy, prescription pharmacological management or therapeutic Botox injections. However, Ms. Craig acknowledged that those care items were beyond her realm of expertise.</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Dean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Powers is a vocational rehabilitation consultant and vocational expert who practises in Canada and in the Pacific Northwest region of the United States. He holds a Doctor of Philosophy and a master's degree in arts, as well as, a master's certificate for vocational specialists with the College of Vocational Rehabilitation Professionals. In addition, Dr. Powers is an internationally recognized certified rehabilitation counselor and long-standing registered rehabilitation practitioner. As a consultant within the rehabilitation and health fields for over 30 years, he has extensive experience in conducting vocational assessments and assessments concerning individual productivity, employability, job suitability and other vocational matters. He also secures placements for clients who have sustained a significant loss of function that interferes with their ability to work competitively.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Powers performed a vocational diagnostic interview and vocational testing of Mr. Anderson on August 15, 2014, with a follow-up interview some 12 days later. His opinion took the form of answers to specific questions posed to him by Mr. Anderson's counsel. At trial, Dr. Powers agreed that his opinion largely pertained to Mr. Anderson's employability within the wireless phone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Dr. Powers' opinion, the Accident caused Mr. Anderson to be demoted from working full-time as the director of operations in a competitive environment to working part-time as a sales consultant. In the circumstances, he considered Mr. Anderson's decision to accept this less demanding role at Preston to be sensible.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Powers opined that Mr. Anderson would likely only be able to work a maximum of 20 to 25 hours per week in his role as a sales consultant for Preston. His prediction was markedly different from that of Ms. Craig who considered Mr. Anderson to be capable of working 40 hours per week if he had appropriate ergonomic support and followed her recommendations for rehabilitation and pain management. Dr. Powers regarded Mr. Anderson as being underemployed for his qualifications and experience and currently not likely competitively employable for full-time work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Powers expressed concern about whether Mr. Anderson would be able to secure and maintain another sales consulting position were he to leave Preston. In his view, the potential of Mr. Anderson moving to another company in his pre-injury employment capacity was highly unlikely for the foreseeable future. He held the view that even if Mr. Anderson obtained a position with an alternate employer, he may suffer a loss of income because his pre-Accident income with Preston was at the high end of the spectrum, likely due, in part, to his status as a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Powers was guarded about Mr. Anderson's ability to transition into any kind of business and believed that he could likely only succeed in a low-demand, entrepreneurial opportunity. What might constitute such opportunities and the corresponding range of incomes were not developed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reaching his opinions, Dr. Powers drew on his experience in the cell phone industry, which he reported as being highly competitive and where employees, including those who were shareholders at the start-up, work long hours and are under pressure to make sales, perform services and provide value-added features. He described employers in the field as demanding and remarked that working overtime was a commonplace expectation. Dr. Powers commented that, despite Mr. Anderson's experience in the field of wireless communications, he would likely be subjected to hiring discrimination from a prospective employer who would be more motivated to hire an employee who did not require ergonomic accommodations and periodic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cross-examination, it was revealed that Dr. Powers had limited experience in Mr. Anderson's niche field. Even so, I find that his observations concerning the demands and competitiveness of the mobile phone sales industry at large applied to the work environment at Preston as it was credibly portrayed by the three founding partners. It was likewise harmonious with Mr. Almog's description of the business-to-business side of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results of the aptitude and achievement tests administered to Mr. Anderson showed that his reading and writing proficiency was below the level of his average cohort. This finding reflected the reality that Mr. Anderson's English skills are below average, which is an inherent shortcoming he possessed long before the Accident and is unconnected to it. In Dr. Powers' view, Mr. Anderson would be suited to formal post-secondary training in a two-year college or technical training programs with a reduced requirement for extensive reading and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Powers administered the Myers-Briggs Type Indicator assessment to determine Mr. Anderson's personality "type" and then compiled a list of broad job categories that persons who share that profile find attractive. He enumerated several alternative occupations to that of a sales consultant that correlated with Mr. Anderson's "type". In his opinion, given Mr. Anderson's unresolved medical condition, the number of careers available to him has been significantly narrowed, and his educability has been reduced due to physical and cognitive limitations stemming from the Accident. I would note that several of the jobs identified as being within Mr. Anderson's preference were unrealistic on their face in light of their requisite university training (e.g., a number of engineering positions) and Mr. Anderson's aptitude and his inherent difficulty with academic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Powers recommended that ten hours of vocational counselling services be available to Mr. Anderson to assist him in investigating alternative careers, at a cost of approximately $150 per hour,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for Mr. Anderson's future vocational advancement had the Accident not happened, Dr. Powers offered a highly qualified opinion to the effect that had Mr. Anderson remained as the director of operations of Preston and had Preston remained fiscally successful, it could be assumed that his earnings would have likely increased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reaching his opinion, Dr. Powers placed not insubstantial reliance on what he characterized were Mr. Anderson's cognitive difficulties. His use of the term "cognitive difficulties" appeared to encompass disturbance with Mr. Anderson's memory, as well, as his concentration and alertness triggered by his pain. I accept that the sensation of pain can be distracting and interfere with one's concentration while it is being experienced and that proposition probably holds true in Mr. Anderson's case. It must be said, however, that the evidence does not establish that Mr. Anderson sustained any cognitive injury or deficits or memory impairment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as a result of the Accident. Additionally, as Mr. Anderson's residual symptoms improve and diminish (as I find they likely will), so too will any adverse cognitive-related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Powers' opinion was also informed by Mr. Anderson's self-report of his symptoms and their current effect upon his function, including his asserted compromised ability to enjoy his pre-Accident activities. For example, Dr. Powers was given to understand by Mr. Anderson that upon moving to Columbia, he has only been able to work ten to 15 hours per week, or the equivalent of 35% of his work duties as compared to his pre-Accident capability, and was working at that reduced pace at the time of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find that Mr. Anderson significantly overstated the degree of his impairment to Dr. Powers, much as he had done when interviewed by Dr. Hershler. Mr. Anderson may well have only been working 10 to 15 hours per week at the time he saw Dr. Powers. However, that was because the workflow from Preston was diminishing and not because Mr. Anderson was unable to perform more work. Mr. Anderson's self-report to Ms. Craig, his testimony at trial and the preponderance of the evidence as a whole indicate that he has a significantly greater capacity to work than what he led Dr. Powers to believe. Given the faulty factual premises on material points upon which Dr. Powers constructed his opinion, I am reluctant to afford it much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Defendant's Expert, Dr. Richard Loomer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Until 2005, Dr. Loomer practised general orthopedic surgery in New Westminster. He is a founder of the Sports Medicine Center at the University of British Columbia where he has also taught in the Faculty of Medicine since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Anderson was seen by Dr. Loomer on August 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Loomer has effectively no experience in managing non-surgical patients. In instances where he determines that a patient will not benefit from surgery, he generally does not provide any further treatment, other than occasionally referring that patient to a physiotherapist for non-surgical treatment or to a physiatrist for management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Loomer performed what he characterized as a standard orthopedic examination on Mr. Anderson. He found no spasm in Mr. Anderson's neck on examination, but clarified that it did not follow that Mr. Anderson does not experience neck spasms. Although he assessed full active range of motion of Mr. Anderson's right shoulder and cervical spine, including forward flexion, he acknowledged that an individual's range of motion varies day-to-day and, therefore, is not a conclusive marker of the presence or absence of soft tissue injury. In any event, Dr. Loomer diagnosed a soft tissue injury to the tissues around Mr. Anderson's lumbar and cervical spine and his trapezius region. He opined that the Accident was responsible for producing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Loomer testified that the gold standard for diagnosing a facet joint injury is to administer facet block injections and noted that this had not been done in Mr. Anderson's case, with the implication that Dr. Jung's diagnosis may this be incorrect. However, he made important concessions about whether Mr. Anderson may have suffered a facet joint injury. Specifically, Dr. Loomer testified that he has never diagnosed a facet joint injury and is not qualified to do so in a clinical setting as it is not the type of injury that is amenable to surgical repair. Accordingly, he performed no spinal loading or other test on Mr. Anderson to determine its presence or absence. Moreover, he clarified that his use of the term "soft tissue injury" would not necessarily exclude the potential that Mr. Anderson had also suffered a facet joint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Loomer considered it "a bit unusual" for Mr. Anderson's symptoms to have persisted for as long as they have. On the one hand, he remarked that there was a "good chance" and he was "quite certain" that Mr. Anderson's symptoms would gradually resolve over time. On the other, he agreed that the majority of patients who have sustained whiplash-related injuries recover within the first weeks or months after being injured, that little clinically significant recovery is expected to occur after two years post-injury and that some people never fully recover. Further muddling the matter of Mr. Anderson's prognosis, Dr. Loomer expressed the opinion that Mr. Anderson may have some minor long-term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for future treatment, Dr. Loomer merely advised Mr. Anderson to be as active as possible in his normal activities and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primary test used in determining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Guardian ad litem of) v. Johnston</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Inherent in the test is the requirement that the injury would not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plaintiff need not establish that a defendant's wrongful conduct is the sole cause of his injury. So long as a substantial connection between the harm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is established, the defendant will be fully liable for the harm suffered by a plaintiff, even if other causal factors, which the defendant is not responsible for, were at play in producing that harm: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causation test does not demand scientific precision and is not to be applied too rigidly. Causation is a practical question of fact which can best be answered through the application of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concepts of etiology in the medical sphere and causation at law are not synonymous. This is because the "but for" test need only be proved on a balance of probabilities, whereas a more rigorous standard that approaches scientific certainty is familiar to the medical field: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144-146, var'd on other grounds, </w:t>
      </w:r>
      <w:hyperlink r:id="rId424"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 172;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court will exercise caution in inferring legal causation by exclusive or substantial reference to a temporal sequence of events, which often takes the form of comparing the plaintiff's condition in the pre- and post-Accident scenarios: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As I have noted in past decisions, it does not follow that the judicial insistence of caution signifies judicial thinking that temporal reasoning is an illegitimate analysis or a branch of logic to be seldom invoked: </w:t>
      </w:r>
      <w:r>
        <w:rPr>
          <w:rFonts w:ascii="arial" w:eastAsia="arial" w:hAnsi="arial" w:cs="arial"/>
          <w:i/>
          <w:color w:val="000000"/>
          <w:sz w:val="20"/>
          <w:lang w:val="en-US" w:eastAsia="en-US" w:bidi="ar-SA"/>
        </w:rPr>
        <w:t>Gabor v. Boilard</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2015 BCSC 1724</w:t>
        </w:r>
      </w:hyperlink>
      <w:r>
        <w:rPr>
          <w:rFonts w:ascii="arial" w:eastAsia="arial" w:hAnsi="arial" w:cs="arial"/>
          <w:color w:val="000000"/>
          <w:sz w:val="20"/>
          <w:lang w:val="en-US" w:eastAsia="en-US" w:bidi="ar-SA"/>
        </w:rPr>
        <w:t xml:space="preserve"> at para. 522;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Loomer considered it to be "very unusual that the symptoms did not really arise sufficient for [Mr. Anderson] to seek medical attention until a year after the [A]ccident suggesting that there may have been some other cause but I could not identify any". At trial, Dr. Loomer conceded that he was "just speculating" about the potential that Mr. Anderson's injuries might have stemmed from an unidentified cause rather than from the Accident. Mr. Anderson credibly denied involvement in any intervening traumatic event or incident that may have given rise to one or more of his injuries and there was no cogent evidence to suggest that such an event had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mentioned, there is agreement among the medical experts that the Accident caused Mr. Anderson headaches and soft tissue injuries primarily to his back, neck and right shoulder/trapezius area. Unlike Drs. Hershler and Loomer, Dr. Jung has extensive experience in diagnosing facet joint injuries in a clinical examination. Although Dr. Jung did not use the facet block injection as his diagnostic tool, there was no credible suggestion by the other medical experts that the tests he performed in a clinical setting to assess whether facet injury had been inflicted upon Mr. Anderson were invalid or otherwise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test does not require the court to accept or find a particular medical diagnosis. That being said, all things considered, I think it more probable than not that Mr. Anderson sustained a facet joint injury to the C6 level of his spine as a result of the Accident, in addition to the headaches and soft tissue injuries described above and in greater detail earlier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Loss of Income-Earning Capacity and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legal framework that informs an award for loss of earning capacity was instructively summarized by Dardi J. in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paras. 236-240: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[236]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[237]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54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[238]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[239] 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[240]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advancing a claim for the loss of income-earning capacity, the plaintiff must prove a real and substantial possibility of such loss, as opposed to a theoretical one. In other words, the award cannot be based on speculation: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Where a real and substantial possibility of loss has been established, compensation is awarded based on an estimation of the chance that the event leading to such loss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As was recently observed by the Court of Appeal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the onus on the plaintiff is not a heavy one but must nonetheless be met in order to justify a 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Quantification of loss is an assessment meant to reflect the non-speculative positive and negative contingencies at play. As quantification is not a strict mathematical calculation, there is no particular formula or methodology to be employed: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Evidence of ongoing pain may be sufficient to ground a substantial possibility that a plaintiff's pain will adversely affect his or her future ability to work. This may hold true even where, at the time of trial, the plaintiff has not missed work due to the injury: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at para. 33; see generally, </w:t>
      </w:r>
      <w:r>
        <w:rPr>
          <w:rFonts w:ascii="arial" w:eastAsia="arial" w:hAnsi="arial" w:cs="arial"/>
          <w:i/>
          <w:color w:val="000000"/>
          <w:sz w:val="20"/>
          <w:lang w:val="en-US" w:eastAsia="en-US" w:bidi="ar-SA"/>
        </w:rPr>
        <w:t>Williamson v. Suna</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2009 BCSC 576</w:t>
        </w:r>
      </w:hyperlink>
      <w:r>
        <w:rPr>
          <w:rFonts w:ascii="arial" w:eastAsia="arial" w:hAnsi="arial" w:cs="arial"/>
          <w:color w:val="000000"/>
          <w:sz w:val="20"/>
          <w:lang w:val="en-US" w:eastAsia="en-US" w:bidi="ar-SA"/>
        </w:rPr>
        <w:t xml:space="preserve"> at paras. 52, 55 and 62.</w:t>
      </w:r>
      <w:r>
        <w:rPr>
          <w:rFonts w:ascii="arial" w:eastAsia="arial" w:hAnsi="arial" w:cs="arial"/>
          <w:sz w:val="20"/>
          <w:lang w:val="en-US" w:eastAsia="en-US" w:bidi="ar-SA"/>
        </w:rPr>
        <w:cr/>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Mr. Anderson's 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Anderson's combined earnings at Preston, directly or through his company, were $56,609 for the partial 2010 year, $84,432 in 2011 and $80,612 in 2012 (which tabulates to $89,534 on an annualized basis) before he transitioned to his consultant position. Upon becoming a consultant, his monthly earnings, which were paid through his company, were $3,000 in November and December 2012. Mr. Anderson's level of income in 2011 and 2012 placed him within the 90th percentile of all B.C. males between the ages of 30 and 35 with high school diplomas or the equivalent (the "90th Percentile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2013, Mr. Anderson's earnings from Preston amounted to $16,402 and in 2014 they were $19,324, plus an additional $2,400 from the sale of cellular phones in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Anderson initially sought compensation for lost earnings incurred for the period starting September 2013 and continuing through to trial. He urged that the following approach be used to quantify that past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monthly income at Preston based on his 2012 annualized earnings of $89,534 $7,461 per month, without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actual average monthly earnings of $3,000, consisting of $2,000 in fees for his consulting services and an estimated $1,000 derived from the used cell phone/hardware program $3,000 per month, with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Asserted Loss = Difference between $7,461 and $3,000 per month = $4,461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Multiplying the monthly difference of what Mr. Anderson claims he would have earned prior to trial had the Accident not occurred, compared to what he says is a generous monthly average of his actual earnings over the 14 month span (i.e. from September 2013 to the start of trial on December 1, 2014), yields a gross loss of $62,454.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During final submissions, Mr. Anderson's counsel expanded his position to encompass losses incurred in the three months immediately preceding the start of his trip to South America in February 2013. Because he earned $3,000 in each of those months as well, the basic calculation was the same (i.e. 3 x $4,461 = $13,383) and raised Mr. Anderson's total asserted past loss to $75,837.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 insists that Mr. Anderson did not endure any compensable loss of income in the before-trial period. The defence theory is that, despite the injuries he sustained in the Accident, Mr. Anderson was able to effectively perform his duties as the director of operations at Preston until late 2011 or early 2012. The defendant hypothesizes that by late 2012, Mr. Anderson became overwhelmed and overworked by Preston's remarkable growth and the corresponding relentless demands it placed upon him, and that he could no longer tolerate Mr. Mitchell's domineering personality and criticisms. Mr. Anderson ultimately stepped down from his post as the director of operations and arranged to work as a part-time consultant, says the defendant, for reasons predominantly unrelated to the Accident. Those reasons were that he was burnt out by the long hours he had devoted to Preston for more than two years and because the clashes with Mr. Mitchell had become a source of frustration, disillusionment and unhappiness.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defendant's position is not tenable on a reasonable interpretation and fair weighing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was no suggestion in the evidence to the effect that, before the Accident, Mr. Anderson had struggled at Preston or in the wireless sales industry at large. Indeed, the evidence demonstrates the opposite. He distinguished himself at Rogers and was a committed and valuable employee at Cell Solutions. From the outset, Mr. Anderson understood that the success of Preston rested on the shoulders of himself and his partners and would necessitate his undivided commitment over a number of years. Before the Accident, he immersed himself in doing whatever was required to help Preston prosper and consistently produced work of high quality while maintaining an intense work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Neither Mr. Barber nor Mr. Mitchell expressed any reservations about Mr. Anderson's work ethic or the quality of his work before the Accident. Nor was there any evidence to reasonably suggest that in that period Mr. Anderson was wavering in his commitment to Preston or beginning to unravel from the expectations placed upon him. Additionally, the evidence indicates that as Preston continued along in its upward trajectory and grew significantly in 2011 and 2012, additional staff were hired to help address the increasing workload.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evidence is convincing that Mr. Anderson was capable of both generating and handling rapid growth. For example, according to Mr. Almog, Cell Solutions underwent an "amazing" period of growth after Mr. Anderson joined. There was not so much as hint that Mr. Anderson ever experienced problems or required work place accommodations in order to discharge his job duties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If, as the defendant submits, there had been a personality conflict between Mr. Mitchell and Mr. Anderson unrelated to the aftermath of the Accident that was sufficiently extreme to independently drive Mr. Anderson from Preston, I would have expected at least a modicum of evidence that their relationship was starting to fray, ever slightly, prior to the Accident. But there was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Moreover, Mr. Mitchell persuasively attributed the change in his relationship with Mr. Anderson to three major factors that arose for the first time in mid-to late 2011: Mr. Anderson's "pushback"; his poor work product and/or lack of focus leading to errors; and his slower delivery of work, which Mr. Mitchell tied to his observations of Mr. Anderson spending less time around the office. At the root of their conflict were Mr. Mitchell's perception that Mr. Anderson was making excuses for his reduced performance and Mr. Anderson's sense that he could not give any more to the job because of his injuries. Compounding the problem was that Mr. Anderson deliberately kept his partners in the dark about the extent to which his symptoms were having a negative impact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Virtually all of Mr. Anderson's productive work at Preston (and, previously, at Cell Solutions and Rogers), was performed at his desk and on a computer. The evidence of Drs. Hershler and Jung establish that working more than 40 hours per week in a mostly sedentary position increases the likelihood of pain in the trapezius muscle and that sustaining this posture probably worsened Mr. Anderson's symptoms over time. Dr. Loomer conceded that intensive computer work with prolonged sitting would aggravate trapezius muscle pain. Ms. Craig's evidence was consistent with those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am satisfied that in the immediate aftermath of the Accident and for a relatively lengthy time afterward, Mr. Anderson did not appreciate that the long hours he spent sitting working on his computer were not only becoming counter-productive to his performance, they were also aggravating his injuries. Given that the increase in the frequency, duration and intensity of his neck and shoulder/trapezius symptoms was gradual over 2011 and that he was able to rely on over the counter medications like extra strength Advil and Robaxacet to adequately control his symptoms for a considerable time, it is understandable that Mr. Anderson failed to make the connection until relatively late in the day. It is also not surprising that by continuing to work in a manner that was prone to provoking his symptoms, without ergonomic accommodation or taking regular breaks, the frequency and intensity of Mr. Anderson's residual neck and his shoulder/trapezius symptoms worsened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accept Mr. Anderson's evidence, which is consistent with the preponderance of the medical evidence and the testimony of Mr. Mitchell, that by the end of 2011 and continuing into the early part of 2012, his pain had markedly increased. I also find that, at various times and in varying degrees, the sequelae of the Accident gave rise to a corresponding decline in his mood, decrease in his energy and productivity, and compromised the quality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probabilities of the evidence amply demonstrate that from the outset and continuing for a time after the Accident, Mr. Anderson was highly motivated to make Preston a success, thriving in the dynamic and aggressive work place culture and buoyed by the feeling that he was living his dream. The evidence also establishes that, without the Accident, Mr. Anderson would not have been plagued with the residual symptoms that adversely affected his work performance at Preston, eventually compromised his relationship with Mr. Mitchell, and played a role in him giving up his position as the director of operations. Put another way, I find it highly improbable that Mr. Anderson would have resigned that title and withdrawn from the Preston office to assume a subordinate, part-time consulting role had there been no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am persuaded that, in the circumstances as they stood in the fall of 2012, it was prudent for Mr. Anderson to substantially restructure his work arrangements with Preston. It is most unlikely that he would have made these changes in the absence of the Accident. That he did not obtain a medical note advising him to do so is not an omission that serves to negate his reasonably held belief that he needed to significantly scale back from work and assume a new role at Preston. That a compensable loss sustained from November 2012 through to the end of January, 2013 was followed by several months of travel in respect of which Mr. Anderson does not seek damages, does not undermine his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evidence supports a high chance of a real and substantial possibility that, without the Accident, Mr. Anderson would have remained working full-time as Preston's director of operations and continued to earn income at the 90th Percentile Category. Even if he had chosen to leave Preston, the evidence supports a strong likelihood of a real and substantial possibility that he would have readily secured a position, likely with a competitor in the wireless industry, where he would have maintained his earnings standing in the 90th Percentile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strikes me that any negative contingencies, beyond the standard contingencies of life such as survival, illness and voluntary withdrawal from the workforce (which were not put into evidence), are limited in Mr. Anderson's pre-trial scenario. In terms of positive contingencies, Mr. Anderson mildly suggested that his income in 2013 and 2014 would have more closely approximated the salary projections that he had compiled for Preston's inaugural budget in late 2009, such that, in those years he would have earned closer to $8,000 and $9,000 respectively, per month. In my view, Preston's post-Accident financial documents in evidence and Mr. Mitchell's testimony in relation to them was somewhat equivocal on that point. At best, the evidence supports only a low chance of a substantial possibility that Mr. Anderson's salary may have increased in 2013 and/or 2014 in the absence of the Accident. On the other hand, there was no cogent indication that his income would have taken a dip downward.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Based on the foregoing, I am satisfied that the Accident-induced injuries suffered by Mr. Anderson impaired his capacity to earn income in the pre-trial period. What Mr. Anderson's life held in store had the Accident not happened can never be known. Assessing, in the context of the whole of the evidence, the relative chances of the real and substantial possibilities of what would have happened in the past but for the Accident and the pertinent contingencies, I am satisfied that his diminished capacity has resulted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Aiming for overall fairness between the parties, I quantify Mr. Anderson's loss to trial as </w:t>
      </w:r>
      <w:r>
        <w:rPr>
          <w:rFonts w:ascii="arial" w:eastAsia="arial" w:hAnsi="arial" w:cs="arial"/>
          <w:b/>
          <w:color w:val="000000"/>
          <w:sz w:val="20"/>
          <w:lang w:val="en-US" w:eastAsia="en-US" w:bidi="ar-SA"/>
        </w:rPr>
        <w:t>$68,000 (gross)</w:t>
      </w:r>
      <w:r>
        <w:rPr>
          <w:rFonts w:ascii="arial" w:eastAsia="arial" w:hAnsi="arial" w:cs="arial"/>
          <w:color w:val="000000"/>
          <w:sz w:val="20"/>
          <w:lang w:val="en-US" w:eastAsia="en-US" w:bidi="ar-SA"/>
        </w:rPr>
        <w:t>. I direct counsel to make the necessary calculations to determine his net loss, with liberty to apply if they are unable to reach agreement.</w:t>
      </w:r>
      <w:r>
        <w:rPr>
          <w:rFonts w:ascii="arial" w:eastAsia="arial" w:hAnsi="arial" w:cs="arial"/>
          <w:sz w:val="20"/>
          <w:lang w:val="en-US" w:eastAsia="en-US" w:bidi="ar-SA"/>
        </w:rPr>
        <w:cr/>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Mr. Anderson's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a nutshell, my task is to compare the likely future of Mr. Anderson's working life if the Accident had not happened, to his likely future working life in light of its occurrence: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Many of my findings that bear on Mr. Anderson's loss before trial also have application to the assessment of his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Anderson described himself as a resourceful man and concedes that he is far from being unemployable. He is confident that his "entrepreneurial spirit" will eventually land him back on his feet to some extent. However, he submits that the most likely scenario is that it will take him a further year or so to take advantage of the future care items he seeks and to find his next career path or entrepreneurial opportunity. He contends that in the meantime he would most likely continue to provide consulting services to Preston (assuming it is not sold) and earn approximately $2,000 per month, on average, with an additional $1,000 monthly from the used cell phone/hardware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Although Mr. Anderson considers it likely that he will find full-time or near to full-time work or an equivalent opportunity in the relatively near future, he claims to have forever lost the ability to put in the extensive hours and grind through the relentlessly taxing work days seated at his computer that made him successful in the wireless cell phone industry and able to achieve earnings at the 90th Percentile Category. He contends that his diminished capacity to work at a computer uninterrupted for extensive spans of time each day presents a massive barrier to his ability to remain in the industry and otherwise earn in the 90th Percentile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Elaborating on the nature of his compromised capacity, Mr. Anderson asserts that, because of the Accident, he has little choice but to find a position that would enable him to earn a living while permitting him reasonable flexibility to take regular breaks in the work place. He submits that such opportunities will be few and far between, particularly in his chosen niche area. Mr. Barber supported Mr. Anderson's testimony in his observation that in Preston's hard-charging environment it would not be considered acceptable for an employee to take 15 minutes every hour to stretch and walk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Almog testified along similar lines, explaining that working 45 minutes of each hour would not be tolerated in the wireless sales industry. He explained that standing up and walking around on a cell phone while talking to a client would be permissible, but that it would be problematic for an employee to actually limit his or her work output by a factor of 15 minutes per hour. Offering a more general perspective, Dr. Powers described the industry as being highly competitive where employees, even those who are shareholders at the start-up, are expected to work long hours under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is Mr. Anderson's contention that, subject to contingencies, there is a high chance of a real and substantial possibility that the Accident has caused his long-term earning power to decrease to approximately $60,000 annually, representing a drop of about $25,000 per year. The reduced figure of $60,000 matches the approximate salary (including bonus) of Preston's current manager of operations who performs most, but not all, of Mr. Anderson's former day-to-day responsibilities. The $60,000 per year salary range represents earnings at the 70th percentile of all B.C. males between the ages of 30 and 35 with high school diplomas or the equivalent. Mr. Anderson submits that in light of the fact he has spent ten years building his career by working at the computer, which has turned out to be the primary activity that aggravates his injuries, a finding that his residual earning capacity will be limited to the above-mentioned 70th percentile, rather than the 90th Percentile Category, is entirely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Using that analytical model and assuming a steady annual loss of $25,000 until Mr. Anderson attains the age of 70, produces a present value of lost future earnings in the range of $645,034 to $705,750, without consideration of contingencies, including the standard statistical variety, such as survival, illness and voluntary withdrawal from the work force. Relying on this approach, Mr. Anderson seeks an award of between $650,000 and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 asserts that Mr. Anderson has failed to prove a real and substantial possibility of a future event leading to an income loss and, consequently, is not entitled to an award under this head. The preponderance of the evidence goes the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would observe at the outset that no cogent evidence was led by either party about Mr. Anderson's job or business prospects in Columbia, his entitlement to work there or how long he plans to stay. There is no proper evidentiary basis to conclude that there are fewer such opportunities available to Mr. Anderson while he resides in Medellin compared to Vancouver or other places in Canada, and neither party has persuaded me of a principled basis to take judicial notice of any such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medical evidence, including that of the defence expert, Dr. Loomer, who opined that Mr. Anderson may have a minor long-term disability, together with the evidence as a whole, plainly establishes that Mr. Anderson's earning capacity has been compromised by the injuries he has suffered from the Accident and will continue to be so for some period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 key factual feature in Mr. Anderson's case is that he has not reached his maximum physical rehabilitation. Dr. Jung agreed that compliance with the recommended courses of treatment and active rehabilitation program may improve his tolerance for pain and enhance his pain management skills. In closing submissions, it was effectively conceded by Mr. Anderson that he expects to experience a degree of improvement in his symptoms after he has had an opportunity to implement the treatments recommended by Drs. Jung and Hershler and Ms. Craig for about a year. Also, based on his own evidence, it is clear that the frequency and intensity of his residual neck and shoulder/trapezius symptoms have not stayed constant over the years; rather, they have fluctuated and improved. Despite the chronicity of his symptoms to date, all things considered, I am sceptical that Mr. Anderson will fall within the class of injured persons whose symptoms will likely not resolve, as was discussed by Drs. Hershler and Jung and acknowledged by Dr. Loomer.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accept that the buildup of Mr. Anderson's pain and difficulties with work and Mr. Mitchell caused his mood to flatten for a time in 2012 and into the first part of 2013. I reject, however, the contention that the Accident or its sequelae led to a genuine depression or that Mr. Anderson's downcast mood has interfered with his capacity to work since the early months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For years going forward, the ill-effects of the Accident will likely continue to be triggered in a way that causes Mr. Anderson impairment of his functional capacity for prolonged sitting and sustained computer work. However, through the implementation of proper ergonomic supports and appropriate breaks, and by adherence to the recommended treatments, there is a strong substantial possibility of improvement of Mr. Anderson's overall physical condition, including his tolerance for sustained sitting and computer work, which will give rise to a concomitant reduction in the frequency, duration and intensity of his symptomatic flares and their functional impairment. In turn, Mr. Anderson's residual capacity for work in general and in his field in particular will be enhanced.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find a strong chance of a real and substantial possibility that within a year or two, Mr. Anderson will be capable of safely and consistently performing sustained computer work for 40 hours per week, where not less than 6.5 hours per day are productive. His productive work endurance would be better still in jobs that did not require as much prolonged sitting at a computer as do the positions he has held in the past. Further, the evidence points to the likely event that with the passage of a few to several more years, Mr. Anderson's episodic symptomatic flares will have tapered-off significantly and become more infrequent and mild in their intensity and will therefore interfere less with his work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That said, it is unlikely that Mr. Anderson will completely recover to his former self even if he diligently follows through with the recommendations of Dr. Jung, Dr. Hershler and Ms. Craig. The suggested therapies and activities do not offer him a cure. Particularly given that Mr. Anderson has also injured his facet joints, he will likely remain prone to episodic flares of his lingering right-side neck and shoulder/trapezius symptoms for years into the future, although on a declining scale over time. The exacerbation of his symptoms will almost invariably be provoked by prolonged sitting especially while working at his computer. However, with his insight about the postures that trigger and exacerbate his symptoms, so long as Mr. Anderson remains committed to following those recommendations and maintains a program of stretching, strengthening and exercising at home, the evidence as a whole strongly favours a high chance of a real and substantial possibility of a much improved outcome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likelihood that Mr. Anderson's functional impairment will persist indefinitely is very low. His impairment will almost certainly not extend for the remainder of his working life or close to that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All things considered, I do not fully accept Dr. Powers' grim forecast of Mr. Anderson's future job or career prospects. As discussed, his opinion, including that the number of careers previously available to Mr. Anderson have been significantly narrowed on account of the Accident, are based in large measure on materially inaccurate factual underpinnings.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evidence establishes that a full-time position as the director of operations or as a full-time consultant at Preston is not presently available to Mr. Anderson, as he has effectively been replaced. There is some potential that Preston may continue to expand and may require more elaborate and updated systems that Mr. Anderson could provide. On the other hand, as I alluded to previously, there is some evidence that Preston could be sold in the future, or that the volume of consulting work available to Mr. Anderson may continue to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One of the potential options for Mr. Anderson would be to move into a management position with another dealer, such as the one he held at Cell Solutions. That does not seem particularly feasible at this point in time given that he remains a shareholder in Preston and thus may be in a conflict position by working for an industry competitor. That difficulty would sort itself out if Preston is sold or Mr. Anderson decides to sell his shares independent of a sale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combined evidence of Messrs. Mitchell and Almog indicates that, due to external forces in the industry, there is little chance of a real possibility for Mr. Anderson to establish his own dealership where he could work at his own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An important negative contingency applicable to Mr. Anderson is that, for at least the next number of years, he will be a more undesirable employee from an employer's standpoint than one who does not require work place accommodations. This is especially problematic for Mr. Anderson in terms of reviving his foothold in Preston on a full-time basis or in his chosen field at large. I am satisfied that because of the Accident, the likelihood is he has been temporarily rendered less competitively employable in the cell phone industry. The establishment of Preston was probably a unique opportunity for Mr. Anderson and is not likely to come around again for some time, if 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Also to be taken into account is that Mr. Anderson's level of education and the challenges that he would face in resuming post-secondary training, unconnected to the Accident, in combination with his Accident-induced injuries, also present obstacles in his ability to resume earning at the 90th Percentile Category. The likelihood of his earning in that bracket has been seriously compromised for the next several years, and possibly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Anderson made submissions to the effect that his reduced involvement in Preston after the Accident had a detrimental impact on its bottom line and, thus, on his ability to receive dividends on his shares. He contended that the asserted reduction in Preston's profitability is a negative contingency to be taken into account in assessing his loss. This branch of Mr. Anderson's argument does not rise to the threshold of a real and substantial possibility; it is pure speculation and will not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evidence leaves no legitimate room for doubt of a strong real and substantial possibility that Mr. Anderson's impaired earning capacity, caused by the Accident, will generate a pecuniary loss into the future. The next step is to quantify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my view, this is not an appropriate case to engage the "earnings approach" to assess Mr. Anderson's damages. It is instead preferable to quantify his loss by taking into account the factors that inform the capital asset approach laid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That assessment involves considering factors such as whether he: (i) has been rendered less capable overall of earning income from all types of employment; (ii) is less marketable or attractive as a potential employee; (iii) has lost the ability to take advantage of all job opportunities that might otherwise have been open to him; and (iv) is less valuable to himself as a person capable of earning income in a competitive labour market. The evidence establishes that all of these factors have application to Mr.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Bearing in mind the applicable legal principles, including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criteria, in light of the evidence and weighing the pertinent contingencies, I conclude that the sum of </w:t>
      </w:r>
      <w:r>
        <w:rPr>
          <w:rFonts w:ascii="arial" w:eastAsia="arial" w:hAnsi="arial" w:cs="arial"/>
          <w:b/>
          <w:color w:val="000000"/>
          <w:sz w:val="20"/>
          <w:lang w:val="en-US" w:eastAsia="en-US" w:bidi="ar-SA"/>
        </w:rPr>
        <w:t>$140,000</w:t>
      </w:r>
      <w:r>
        <w:rPr>
          <w:rFonts w:ascii="arial" w:eastAsia="arial" w:hAnsi="arial" w:cs="arial"/>
          <w:color w:val="000000"/>
          <w:sz w:val="20"/>
          <w:lang w:val="en-US" w:eastAsia="en-US" w:bidi="ar-SA"/>
        </w:rPr>
        <w:t xml:space="preserve"> is the present value of a fair and reasonable measure of Mr. Anderson's loss of future income-earning capacity.</w:t>
      </w:r>
      <w:r>
        <w:rPr>
          <w:rFonts w:ascii="arial" w:eastAsia="arial" w:hAnsi="arial" w:cs="arial"/>
          <w:sz w:val="20"/>
          <w:lang w:val="en-US" w:eastAsia="en-US" w:bidi="ar-SA"/>
        </w:rPr>
        <w:cr/>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Anderson seeks an award for non-pecuniary damages in the amount of $75,000. The defendant counters that a non-pecuniary award of between $40,000 and $50,000 is fair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Non-pecuniary damages are intended to compensate a plaintiff for the pain, suffering and loss of enjoyment of life and of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are meant to encompass such damages suffered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award should be fair and reasonable for both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176. While fairness is assessed by reference to awards made in comparable cases, because each case is decided on its own unique facts and calls for an individualized assessment, it is neither possible nor desirable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paras. 39-43. The process is one of assessment and is not amenable to mathematical precision: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Kirkpatrick J.A. set out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For the first seven months or so following the Accident, Mr. Anderson's injuries were neither disabling nor deeply painful; many of them resolved and those that lingered were not interfering with his life or job performance. As time passed and he continued to assume the aggravating posture for long hours at work, his neck and shoulder/trapezius symptoms and pain worsened and brought about the companion ill-effects of a depletion of his energy, a low mood and, most devastating for Mr. Anderson, a compromised ability to perform his "dream job". Mr. Anderson ultimately had to give up his full-time position as Preston's director of operations to take a vastly subordinate role in the company that he helped found and in which he had invested so much of his time, talent and sense of self-worth.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Anderson's injuries have had no adverse impact on his ability to do housework, yard maintenance or to participate in leisure activities, such as watching television, attending movies, playing video games, backpacking or socializing to the extent he desires. Nor have they interfered in any appreciable way with his enjoyment of physically intensive sports like ice hockey and snow skiing. The only recreational pursuit that may have been mildly curtailed by Mr. Anderson's injuries is his participation in golf. However, the evidence on that point, including how frequently he played golf prior to the Accident, was poorly developed. The other problem he has experienced on account of the Accident is driving for extended periods of time without taking appropriate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the near future, the lingering after-effects of the Accident will continue to pose a serious hurdle to Mr. Anderson's ability to re-establish himself in his niche area and the cell phone industry at large. They may also have foreclosed his ability to more fully reintegrate with Preston, which, as I have noted, is the type of business opportunity that might never again arise for Mr.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prior cases I have said that enduring pain, even when it becomes intermittent and mostly low-grade, can compel unwelcome adjustments to one's work life and lifestyle and cloud the pleasures of life, as it has in the case at hand. Taking care to not aggravate his residual symptoms and trying to manage his pain has become part of Mr. Anderson's everyday life and will continue for many years to come, although, in all likelihood, on an ever-declining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have reviewed the authorities placed before me by counsel. As they provide general guidelines only I do not propose to address them in any detail, except to say that I find the cases submitted by Mr. Anderson's counsel to be more instructive in that their facts more closely approximate my findings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Having regard to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the other case authorities in the context of the evidence in the case at hand, in my opinion a fair and reasonable award for Mr. Anderson's non-pecuniary damages is </w:t>
      </w:r>
      <w:r>
        <w:rPr>
          <w:rFonts w:ascii="arial" w:eastAsia="arial" w:hAnsi="arial" w:cs="arial"/>
          <w:b/>
          <w:color w:val="000000"/>
          <w:sz w:val="20"/>
          <w:lang w:val="en-US" w:eastAsia="en-US" w:bidi="ar-SA"/>
        </w:rPr>
        <w:t>$60,000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approach to be taken in assessing future care costs was settled by the Supreme Court of Canada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Damages for the cost of future care are meant to compensate for the financial loss to be reasonably incurred by an injured plaintiff to sustain or promote his or her mental and physical health: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561"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The claimed services and items must be medically justified. Being medically justified is not synonymous with the more stringent requirement of being medically necessary: </w:t>
      </w:r>
      <w:r>
        <w:rPr>
          <w:rFonts w:ascii="arial" w:eastAsia="arial" w:hAnsi="arial" w:cs="arial"/>
          <w:i/>
          <w:color w:val="000000"/>
          <w:sz w:val="20"/>
          <w:lang w:val="en-US" w:eastAsia="en-US" w:bidi="ar-SA"/>
        </w:rPr>
        <w:t>Langille v Nguyen</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2013 BCSC 1460</w:t>
        </w:r>
      </w:hyperlink>
      <w:r>
        <w:rPr>
          <w:rFonts w:ascii="arial" w:eastAsia="arial" w:hAnsi="arial" w:cs="arial"/>
          <w:color w:val="000000"/>
          <w:sz w:val="20"/>
          <w:lang w:val="en-US" w:eastAsia="en-US" w:bidi="ar-SA"/>
        </w:rPr>
        <w:t xml:space="preserve">, aff'd </w:t>
      </w:r>
      <w:hyperlink r:id="rId564" w:history="1">
        <w:r>
          <w:rPr>
            <w:rFonts w:ascii="arial" w:eastAsia="arial" w:hAnsi="arial" w:cs="arial"/>
            <w:i/>
            <w:color w:val="0077CC"/>
            <w:sz w:val="20"/>
            <w:u w:val="single"/>
            <w:shd w:val="clear" w:color="auto" w:fill="FFFFFF"/>
            <w:lang w:val="en-US" w:eastAsia="en-US" w:bidi="ar-SA"/>
          </w:rPr>
          <w:t>2014 BCCA 430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Recommendations made by physicians and other health care professionals such as an occupational therapist, are relevant in determining whether an item or service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quoted with approval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However, to successfully advance a future cost of care claim it is not necessary that the health care provider testify to the medical justification of each and every item of care being claimed. What is required is some evidentiary link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39;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43-53, 63. General contingencies and those specific to the plaintiff are to be taken into account where and as appropriate: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52. The amount of the award is necessarily affected by the nature of the future care and its anticipated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standard of proof for an award for future care is the determination of the real and substantial future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Whether a plaintiff is prepared to accept care that is in his or her best interests is a relevant factor. Where the plaintiff testifies that he or she will not submit to the recommended treatment even though it is medically justified on the evidence, an award may not be made or the quantum of it may be discounted: </w:t>
      </w:r>
      <w:r>
        <w:rPr>
          <w:rFonts w:ascii="arial" w:eastAsia="arial" w:hAnsi="arial" w:cs="arial"/>
          <w:i/>
          <w:color w:val="000000"/>
          <w:sz w:val="20"/>
          <w:lang w:val="en-US" w:eastAsia="en-US" w:bidi="ar-SA"/>
        </w:rPr>
        <w:t>Coulter (Guardian ad litem) v. Leduc</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Coulter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Also material are: (i) whether the plaintiff's judgment on the question of whether he or she will adhere to the recommendation has been impaired by the injuries inflicted by the tortfeasor; and, (ii) whether the evidence establishes that the plaintiff may ultimately be forced by circumstances to participate in treatment that he or she has expressed a desire to avoid, especially if the injuries are grave: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paras. 61-62; </w:t>
      </w:r>
      <w:r>
        <w:rPr>
          <w:rFonts w:ascii="arial" w:eastAsia="arial" w:hAnsi="arial" w:cs="arial"/>
          <w:i/>
          <w:color w:val="000000"/>
          <w:sz w:val="20"/>
          <w:lang w:val="en-US" w:eastAsia="en-US" w:bidi="ar-SA"/>
        </w:rPr>
        <w:t>Van v. Howlett</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2014 BCSC 1404</w:t>
        </w:r>
      </w:hyperlink>
      <w:r>
        <w:rPr>
          <w:rFonts w:ascii="arial" w:eastAsia="arial" w:hAnsi="arial" w:cs="arial"/>
          <w:color w:val="000000"/>
          <w:sz w:val="20"/>
          <w:lang w:val="en-US" w:eastAsia="en-US" w:bidi="ar-SA"/>
        </w:rPr>
        <w:t xml:space="preserve"> at paras. 78-79.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There is a distinction between a case where there is evidence that the plaintiff will not follow the recommended treatment (as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Coulter</w:t>
      </w:r>
      <w:r>
        <w:rPr>
          <w:rFonts w:ascii="arial" w:eastAsia="arial" w:hAnsi="arial" w:cs="arial"/>
          <w:color w:val="000000"/>
          <w:sz w:val="20"/>
          <w:lang w:val="en-US" w:eastAsia="en-US" w:bidi="ar-SA"/>
        </w:rPr>
        <w:t xml:space="preserve">) and a case where no evidence has been lead one way or the other. The Court of Appeal recently addressed this nuanced point in </w:t>
      </w:r>
      <w:r>
        <w:rPr>
          <w:rFonts w:ascii="arial" w:eastAsia="arial" w:hAnsi="arial" w:cs="arial"/>
          <w:i/>
          <w:color w:val="000000"/>
          <w:sz w:val="20"/>
          <w:lang w:val="en-US" w:eastAsia="en-US" w:bidi="ar-SA"/>
        </w:rPr>
        <w:t>Lo v. Matsumoto</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2015 BCCA 84</w:t>
        </w:r>
      </w:hyperlink>
      <w:r>
        <w:rPr>
          <w:rFonts w:ascii="arial" w:eastAsia="arial" w:hAnsi="arial" w:cs="arial"/>
          <w:color w:val="000000"/>
          <w:sz w:val="20"/>
          <w:lang w:val="en-US" w:eastAsia="en-US" w:bidi="ar-SA"/>
        </w:rPr>
        <w:t>, at paras.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 agree with counsel for the plaintiff that there is no hard and fast rule that requires a plaintiff to testify that he intends to use every item in the "wish list" of an occupational therapist in order to justify some award. On the other hand, a plaintiff must prove his case, both in terms of need and the likely utility of the item sought: see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68. Where the costs claimed are not matters of absolute necessity, a plaintiff cannot assume that the court will simply accept the recommendations of occupational therapists or even of medical practitioners. Unfortunately in this case, Mr. Lo was not closely examined in chief or cross-examined on every item in the therapist's report or on any discrepancies between his own testimony and what he had told the 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Considering, however, the seriousness of Mr. Lo's back injury and the fact that it is expected to cause him pain or discomfort indefinitely, I believe that the trial judge should have made some allowance for physical therapy sessions (costed at $600 per year) in the long term; a facility fee to pursue an exercise program (costed at $357 per year until age 65 when it would drop to $250); some yard maintenance (costed at $100 per year); non-prescription medications for back pain ($400-$500 per year); and something for the possibility that he would use the "Intimate Rider" equipment that might assist with his sexual function. Doing the best that I can with the evidence to which we were referred, I would increase the award for future care costs by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court, therefore, should be cautious about reducing or eliminating altogether an award for the cost of future care simply on the basis that the injured plaintiff has not confirmed a willingness to participate in a medically justified course of care, or currently says that he or she will not follow the recommended treatment. The court should act with similar circumspection where the plaintiff has not previously used the recommended type of treatment. This is because fairness requires that the court be alive to the prospect that an injured person's disposition may change, or that he or she may not have had the means or ability to follow certain courses of treatment in the past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defendant's position is that the evidence supports only a modest award for the cost of over-the-counter medications. That assertion is not supported on a fair assessment of the evidence or the proper 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It is not clear how long Mr. Anderson intends to remain in Medellin. The evidence indicates that Medellin is a modern, developed city where there are clinics that offer physiotherapy, massage, acupuncture and other treatments. There is nothing in the evidence to suggest that he would be unable to access those treatments or others such as chiropractic care, laser treatments, ergonomic equipment or vocational assessments while he resides there. I would note that Mr. Anderson's understanding about the cost of physiotherapy in Medellin closely approximates the cost of such treatments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Applying the applicable principles in light of my findings of fact pertinent to the issue, I conclude that Mr. Anderson is entitled to an award for the cost of his future care (expressed in present value dollars where applicable) comprised of the devices and treatments summarized below.</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Rehabilitation/Intensive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Hershler, Dr. Jung and Ms. Craig all recommended that Mr. Anderson partake in a structured form of active rehabilitation or a physical therapy program. The rationale is that it will assist his postural dysfunction and improve his overall functioning, including his capacity for sustained computer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 have adopted Ms. Craig's opinion that Mr. Anderson does not appear to have reached his maximum physical rehabilitation. I favour her detailed recommendations concerning Mr. Anderson's participation in an intensive rehabilitation program guided by a physiotherapist to address his muscular strength, endurance, flexibility, postural education and general conditioning. Based on Ms. Craig's costing, I award the sum of </w:t>
      </w:r>
      <w:r>
        <w:rPr>
          <w:rFonts w:ascii="arial" w:eastAsia="arial" w:hAnsi="arial" w:cs="arial"/>
          <w:b/>
          <w:color w:val="000000"/>
          <w:sz w:val="20"/>
          <w:lang w:val="en-US" w:eastAsia="en-US" w:bidi="ar-SA"/>
        </w:rPr>
        <w:t>$1,990</w:t>
      </w:r>
      <w:r>
        <w:rPr>
          <w:rFonts w:ascii="arial" w:eastAsia="arial" w:hAnsi="arial" w:cs="arial"/>
          <w:color w:val="000000"/>
          <w:sz w:val="20"/>
          <w:lang w:val="en-US" w:eastAsia="en-US" w:bidi="ar-SA"/>
        </w:rPr>
        <w:t xml:space="preserve"> to cover the cost of a six-week individualized program of that kind.</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Massage Therapy/Chiropractic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Massage therapy appears to have given Mr. Anderson the most palliative relief in the past. Dr. Hershler recommended weekly massage for a six-month period as a means of "breaking the cycle" ($2,394). Ms. Craig endorsed the benefits of massage therapy provided over the long term as part of Mr. Anderson's larger pain management strategy. I think the implementation of both of their recommendations would provide a complementary therapeutic approach and is justifiable and reasonable in this case. The portion of the award reflecting Ms. Craig's recommendations should allow Mr. Anderson to access massage therapy on a declining basis over the next several years, and not for the duration of his life expectancy, as he has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Jung and Ms. Craig also recommended that Mr. Anderson have a course of chiropractic treatment. Dr. Jung explained that chiropractic manipulation is intended to address Mr. Anderson's pain related to his facet joint injury. I find that it is reasonable and justifiable to make a separate award to cover the cost of chiropractic care for a limited time on a tapering-off basis, to provide Mr. Anderson additional symptomatic relief largely for his facet joint injury in accordance with Dr. Jung's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An award for these treatment modalities accords with Ms. Craig's opinion that while an immediate burst of therapy would be helpful, Mr. Anderson requires some supporting therapy as part of his future pain management program to settle his episodic flares.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 have determined that the sum of </w:t>
      </w:r>
      <w:r>
        <w:rPr>
          <w:rFonts w:ascii="arial" w:eastAsia="arial" w:hAnsi="arial" w:cs="arial"/>
          <w:b/>
          <w:color w:val="000000"/>
          <w:sz w:val="20"/>
          <w:lang w:val="en-US" w:eastAsia="en-US" w:bidi="ar-SA"/>
        </w:rPr>
        <w:t>$7,800</w:t>
      </w:r>
      <w:r>
        <w:rPr>
          <w:rFonts w:ascii="arial" w:eastAsia="arial" w:hAnsi="arial" w:cs="arial"/>
          <w:color w:val="000000"/>
          <w:sz w:val="20"/>
          <w:lang w:val="en-US" w:eastAsia="en-US" w:bidi="ar-SA"/>
        </w:rPr>
        <w:t xml:space="preserve"> is fair and adequate to cover Mr. Anderson's future cost of massage therapy and that </w:t>
      </w:r>
      <w:r>
        <w:rPr>
          <w:rFonts w:ascii="arial" w:eastAsia="arial" w:hAnsi="arial" w:cs="arial"/>
          <w:b/>
          <w:color w:val="000000"/>
          <w:sz w:val="20"/>
          <w:lang w:val="en-US" w:eastAsia="en-US" w:bidi="ar-SA"/>
        </w:rPr>
        <w:t>$3,500</w:t>
      </w:r>
      <w:r>
        <w:rPr>
          <w:rFonts w:ascii="arial" w:eastAsia="arial" w:hAnsi="arial" w:cs="arial"/>
          <w:color w:val="000000"/>
          <w:sz w:val="20"/>
          <w:lang w:val="en-US" w:eastAsia="en-US" w:bidi="ar-SA"/>
        </w:rPr>
        <w:t xml:space="preserve"> is fair and reasonable for his chiropractic treatment. The latter sum is sufficient to encompass some chiropractic sessions that incorporate additional laser heat treatments should Mr. Anderson wish to do so.</w:t>
      </w:r>
      <w:r>
        <w:rPr>
          <w:rFonts w:ascii="arial" w:eastAsia="arial" w:hAnsi="arial" w:cs="arial"/>
          <w:sz w:val="20"/>
          <w:lang w:val="en-US" w:eastAsia="en-US" w:bidi="ar-SA"/>
        </w:rPr>
        <w:cr/>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Acupuncture/Intramuscular Stimulation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Ms. Craig's endorsement that Mr. Anderson undergo six sessions of intramuscular acupuncture in the hope that stimulation of his trapezius muscle by that procedure will lead to better function and temporary reduction in his pain levels is reasonable. I award the sum of </w:t>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for that care.</w:t>
      </w:r>
      <w:r>
        <w:rPr>
          <w:rFonts w:ascii="arial" w:eastAsia="arial" w:hAnsi="arial" w:cs="arial"/>
          <w:sz w:val="20"/>
          <w:lang w:val="en-US" w:eastAsia="en-US" w:bidi="ar-SA"/>
        </w:rPr>
        <w:cr/>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Facet Joint Blocks and Prolotherapy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Jung recommended these more invasive forms of treatment to assist Mr. Anderson in managing his pain stemming from his facet joint injury. According to Dr. Jung, a prolotherapy injection may improve pain management and function for three to six months at a time. The benefits from a facet block injection, if successful, last for about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Anderson claims the sum of $1,900 to enable him to access two courses of prolotherapy ($200 per course) and two courses of facet block injections at $750 per treatment in order to determine whether one or both of them will be therapeutic. He submits that if those injections are more helpful than the ongoing cost of his chiropractic care, it would be fair to both parties to use the long-term components of his chiropractic award to fund the ongoing costs of one or both injections. I agree that this strategy is reasonable and have taken that into account in quantifying the cost of Mr. Anderson's future chiropractic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An award of </w:t>
      </w:r>
      <w:r>
        <w:rPr>
          <w:rFonts w:ascii="arial" w:eastAsia="arial" w:hAnsi="arial" w:cs="arial"/>
          <w:b/>
          <w:color w:val="000000"/>
          <w:sz w:val="20"/>
          <w:lang w:val="en-US" w:eastAsia="en-US" w:bidi="ar-SA"/>
        </w:rPr>
        <w:t>$1,900</w:t>
      </w:r>
      <w:r>
        <w:rPr>
          <w:rFonts w:ascii="arial" w:eastAsia="arial" w:hAnsi="arial" w:cs="arial"/>
          <w:color w:val="000000"/>
          <w:sz w:val="20"/>
          <w:lang w:val="en-US" w:eastAsia="en-US" w:bidi="ar-SA"/>
        </w:rPr>
        <w:t xml:space="preserve"> for the initial courses of prolotherapy and facet block injections is granted.</w:t>
      </w:r>
      <w:r>
        <w:rPr>
          <w:rFonts w:ascii="arial" w:eastAsia="arial" w:hAnsi="arial" w:cs="arial"/>
          <w:sz w:val="20"/>
          <w:lang w:val="en-US" w:eastAsia="en-US" w:bidi="ar-SA"/>
        </w:rPr>
        <w:cr/>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Anti-Inflammatory 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Anderson seeks an award to the cover the cost of anti-inflammatory gel over the next 45 years. As is the case with his claim for other ongoing care, his suggested duration is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claim for the cost of such gel is justifiable based on Dr. Hershler's evidence and reasonable for some duration and I award </w:t>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for this item.</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Ergonomic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Ms. Craig's recommendations that Mr. Anderson have an ergonomic workstation comprised of an adjustable chair ($100 - $450), a sit-stand work station ($846), and a keyboard/mouse positioning bracket, as well as an ergonomic assessment ($250 - $450) to facilitate his optimum posture with computer work. These are plainly reasonable and justifiable. An award of </w:t>
      </w:r>
      <w:r>
        <w:rPr>
          <w:rFonts w:ascii="arial" w:eastAsia="arial" w:hAnsi="arial" w:cs="arial"/>
          <w:b/>
          <w:color w:val="000000"/>
          <w:sz w:val="20"/>
          <w:lang w:val="en-US" w:eastAsia="en-US" w:bidi="ar-SA"/>
        </w:rPr>
        <w:t>$1,300</w:t>
      </w:r>
      <w:r>
        <w:rPr>
          <w:rFonts w:ascii="arial" w:eastAsia="arial" w:hAnsi="arial" w:cs="arial"/>
          <w:color w:val="000000"/>
          <w:sz w:val="20"/>
          <w:lang w:val="en-US" w:eastAsia="en-US" w:bidi="ar-SA"/>
        </w:rPr>
        <w:t xml:space="preserve"> is granted.</w:t>
      </w:r>
      <w:r>
        <w:rPr>
          <w:rFonts w:ascii="arial" w:eastAsia="arial" w:hAnsi="arial" w:cs="arial"/>
          <w:sz w:val="20"/>
          <w:lang w:val="en-US" w:eastAsia="en-US" w:bidi="ar-SA"/>
        </w:rPr>
        <w:cr/>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Vocational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Dr. Powers recommended that Mr. Anderson received ten hours of vocational services to help him investigate alternative careers suited to his medical condition, transferable skills, work history, preferences and interests. That is money well spent and I award the sum of </w:t>
      </w:r>
      <w:r>
        <w:rPr>
          <w:rFonts w:ascii="arial" w:eastAsia="arial" w:hAnsi="arial" w:cs="arial"/>
          <w:b/>
          <w:color w:val="000000"/>
          <w:sz w:val="20"/>
          <w:lang w:val="en-US" w:eastAsia="en-US" w:bidi="ar-SA"/>
        </w:rPr>
        <w:t>$1,575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Mr. Anderson is permitted recovery of the out-of-pocket expenses he reasonably incurred as a result of his injuries. His entitlement is derived from the fundamental principle that an injured person is to be restored to the position 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happened: </w:t>
      </w:r>
      <w:r>
        <w:rPr>
          <w:rFonts w:ascii="arial" w:eastAsia="arial" w:hAnsi="arial" w:cs="arial"/>
          <w:i/>
          <w:color w:val="000000"/>
          <w:sz w:val="20"/>
          <w:lang w:val="en-US" w:eastAsia="en-US" w:bidi="ar-SA"/>
        </w:rPr>
        <w:t>Milina v. Bartch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addition to the sum of $2,524.74 in agreed special damages, Mr. Anderson seeks reimbursement of $9.95 for a bottle of Advil and $425 for massage treatments he received in 2011. Despite the fact that the massages were not provided by a registered massage therapist, they are clearly recoverable on the evidence. Mr. Anderson's entitlement to reimbursement for the bottle of Advil is too obvious to warrant comment. The additional sum of </w:t>
      </w:r>
      <w:r>
        <w:rPr>
          <w:rFonts w:ascii="arial" w:eastAsia="arial" w:hAnsi="arial" w:cs="arial"/>
          <w:b/>
          <w:color w:val="000000"/>
          <w:sz w:val="20"/>
          <w:lang w:val="en-US" w:eastAsia="en-US" w:bidi="ar-SA"/>
        </w:rPr>
        <w:t>$434.95</w:t>
      </w:r>
      <w:r>
        <w:rPr>
          <w:rFonts w:ascii="arial" w:eastAsia="arial" w:hAnsi="arial" w:cs="arial"/>
          <w:color w:val="000000"/>
          <w:sz w:val="20"/>
          <w:lang w:val="en-US" w:eastAsia="en-US" w:bidi="ar-SA"/>
        </w:rPr>
        <w:t xml:space="preserve"> in special damages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defendant contends that Mr. Anderson has failed to mitigate his non-pecuniary and pecuniary losses with respect to his medical care and his employment and seeks a reduction in the range of 25-30% of his pecuniary and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Mr. Anderson is not entitled to recover damages that he reasonably could have avoided. His positive duty to take reasonable steps to minimize his losses brought about by the Accident is well-settled: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law does not hold Mr. Anderson to a high standard of conduct in mitigation. The threshold is satisfied if he has taken steps that are reasonable in the circumstances to reduce his loss: </w:t>
      </w:r>
      <w:r>
        <w:rPr>
          <w:rFonts w:ascii="arial" w:eastAsia="arial" w:hAnsi="arial" w:cs="arial"/>
          <w:i/>
          <w:color w:val="000000"/>
          <w:sz w:val="20"/>
          <w:lang w:val="en-US" w:eastAsia="en-US" w:bidi="ar-SA"/>
        </w:rPr>
        <w:t>Middleton v. Morcke</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2007 BCSC 804</w:t>
        </w:r>
      </w:hyperlink>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The burden of proof to show that Mr. Anderson could reasonably have avoided some parts of the loss rests on the defendant. It is not enough for the defendant to merely suggest some other course of conduct that Mr. Anderson might have followed; the mitigation test is more rigorous than that.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the Court of Appeal articulated the mitigation test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 would describe the mitigation test as a subjective/objective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xml:space="preserve">" by that treatment. The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[2008] B.C.J. No. 2561</w:t>
        </w:r>
      </w:hyperlink>
      <w:r>
        <w:rPr>
          <w:rFonts w:ascii="arial" w:eastAsia="arial" w:hAnsi="arial" w:cs="arial"/>
          <w:color w:val="000000"/>
          <w:sz w:val="20"/>
          <w:lang w:val="en-US" w:eastAsia="en-US" w:bidi="ar-SA"/>
        </w:rPr>
        <w:t xml:space="preserve"> case, on which the trial judge relies, uses slightly different language than this Court's judgment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"there is some likelihood that he or she </w:t>
      </w:r>
      <w:r>
        <w:rPr>
          <w:rFonts w:ascii="arial" w:eastAsia="arial" w:hAnsi="arial" w:cs="arial"/>
          <w:color w:val="000000"/>
          <w:sz w:val="20"/>
          <w:u w:val="single"/>
          <w:lang w:val="en-US" w:eastAsia="en-US" w:bidi="ar-SA"/>
        </w:rPr>
        <w:t>would have received substantial benefit from 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will first address the defence position in relation to Mr. Anderson's medical care, which has three branches of argument. One branch is based on the assertion that, had Mr. Anderson seen a doctor in or around May 2011 when it became apparent to him that his symptoms were not resolving through massage therapy, he would have set things in motion that would have accelerated his overall recovery. In that regard, the defendant emphasized Ms. Craig's testimony to the effect that the optimal time for an injured person to receive treatment, such as physiotherapy followed by an exercise and stretching program, is within the acute phase of the injury. The defence also relied on Dr. Hershler's concurrence with the general proposition that the sooner an injured person obtains appropriate treatment, the sooner he or she will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am not troubled by the fact that Mr. Anderson initially opted to try massage therapy to address his symptoms rather than see a medical doctor. Given that he did not have a family doctor at the time, that some of his injuries were resolving, that he had experienced success with massage therapy in the past and that his symptoms were not disrupting his work or lifestyle, I consider his course of conduct to be reasonable. The landscape changed, however, in about June or July 2011. At that time, it became apparent to Mr. Anderson that his neck and shoulder/trapezius symptoms were not getting better on a sustained basis through massage. Indeed, they were worsening significantly and starting to detrimentally affect his job performance and fracture his relationship with Mr.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Anderson is an intelligent man who had some level of medical coverage and financial resources available to him. Acting reasonably, he ought to have made an effort to find a medical doctor to have his condition medically assessed in or around July 2011. By that juncture, it was not reasonable for Mr. Anderson to maintain his expectation that his stubborn symptoms would run their course and disappear, and to take no further steps for several months to promote his physical 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Had Mr. Anderson acted reasonably in the circumstances, he would have consulted a medical doctor, either a new family doctor or a physician at a walk-in clinic, not later than the end of July 2011. That finding triggers the companion thorny question of what might then have happened. The defendant's argument is short on evidence and cogency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It seems likely that the treating doctor would have referred Mr. Anderson for some type of treatment. The nature of the referral that may have been made in relation to Mr. Anderson can be no more known than to suppose it would likely not have been to a massage therapist and may have been to a chiropractor, a physiotherapist or a physiatrist. The best evidence on that point is to look at what actually happened when Mr. Anderson finally saw Dr. Barber in 2012. He was referred to a physiatrist, Dr. Murray, who performed spinal manipulations and instructed Mr. Anderson with respect to certain neck exercises. Mr. Anderson derived some therapeutic effect from Dr. Murray's ongoing treatments, although they were not long-lasting. There is not a scintilla of evidence to support the inference that had Mr. Anderson undergone such or similar treatments earlier, that is, in the latter part of 2011, or more generally, had come under the care of a physiatrist at that time, he would not have sustained the losses that he did. Stated somewhat differently but to the same effect, the defendant has not proved that had Mr. Anderson been assessed by a family doctor earlier than he did, he would have received a substantial benefit from any referral that the doctor would have made, or from any treatment that the doctor would have provided, or that it would have otherwise made a positive difference to his path to recovery and lessened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turn next to the defendant's complaint that Mr. Anderson's failure to seek further treatment for his symptoms after Dr. Murray retired in 2013 constitutes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Anderson's last visit to Dr. Murray was on January 11, 2013, a few weeks before he left for South America. His symptoms improved considerably while he was travelling in South America and I accept that he genuinely believed he was finally reaping the benefits of the treatments he had received in the preceding months. In the circumstances, it was not unreasonable for Mr. Anderson to forgo further treatments of any sort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Shortly after he returned to Vancouver and resumed a more regular pattern of working at his computer, Mr. Anderson's symptoms became exacerbated. Dr. Murray was no longer practising. Dr. Hershler testified that he no longer knows of any practising physiatrist that provides the techniques used by Dr. Murray. In response to the significant flare of his symptoms, Mr. Anderson re-instated weekly massages until he relocated to Medellin in the fall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Once back in Medellin, Mr. Anderson expended almost no effort to seek out treatments there aimed at providing him symptomatic relief or improvement. He claims that he tried to connect with a kinesiologist, but gave flimsy reasons as to why he was unsuccessful in doing so. Fairly recently he located an English-speaking acupuncturist with whom he says he plans to follow up after this trial. He also came across a physiotherapy clinic in Medellin that offers, under one umbrella, several therapeutic services that he had "been searching for" such as massage therapy. However, as at the time of trial, he had not been in touch with the clinic to schedule an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To elaborate, Mr. Anderson received no treatment in respect of his symptoms between November 2013 and early July 2014. In the circumstances, Mr. Anderson ought reasonably to have taken steps to institute some type of palliative-like care after he relocated. I am satisfied that if he had comported himself in that reasonable manner, he would have better managed his symptoms and pain and thereby improved, at least mildly, both his function and his work capacity and, thus, avoided some part of his loss. The fact that he underwent a flurry of intensive treatments when he returned to Vancouver in July 2014, indicates that he was in need of such treatment. A modest reduction in the award made for his non-pecuniary damages, past loss and future loss of earning capacity ought to be made to reflect his failure to mitigate in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third arm of the defendant's assertion is primarily that Mr. Anderson neglected to mitigate his damages by failing to undertake an active rehabilitation program as soon as possible, as was recommended by Dr. Hershler and subsequently by Ms. Craig. The defendant submits that if Mr. Anderson had simply followed those reasonable courses of action, his injuries would not have worsened, as they did, and would not have adversely impacted his function or impaired his work performance at Preston to the extent that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considering this aspect of the defence position, it is important to be reminded of the timeline of when those treatment recommendations were made. Although Dr. Hershler saw Mr. Anderson on August 29, 2013, his written report was not prepared until May 18, 2014. His report stressed the importance of Mr. Anderson participating in an active rehabilitation program that was comprised of four components: weekly deep tissue massage over a six-month period; weekly sessions with a personal trainer for three months, followed by monthly sessions for the subsequent six months period; ten treatments of deep laser heat; and regular topical use of an anti-inflammatory 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There is no evidence about when Mr. Anderson became aware of Dr. Hershler's recommendations. The probabilities of the situation support the inference that he learned of them sometime after the date of Dr. Hershler's report that is, after May 18, 2014. By then, Mr. Anderson had taken several steps aimed at his physical recovery, including some steps that were consistent with certain of Dr. Hershler's recommendations. More specifically, he had been under the care of a physiatrist, had received several massage treatments over various periods, had participated in a sustained weekly program under the supervision of a personal trainer and was continuing to perform the neck strengthening exercises he had been taught by Dr. Murray as well as frequent self-manipulations of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Anderson credibly testified that the benefit he gleaned from his sessions with a personal trainer was mild, at best. In the circumstances, it does not strike me as unreasonable that he did not reinstate sessions with a new personal trainer upon learning of Dr. Hershler's recommendations. I would also point out that not long after Dr. Hershler wrote his report, Mr. Anderson added chiropractic and deep laser heat treatments to his regimen, as had been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find that Mr. Anderson became aware of the contents of Ms. Craig's report shortly after it was prepared on August 27, 2014. Through that report, he understood that Ms. Craig believed he had not yet reached his maximum physical rehabilitation and endorsed his participation in an individualized rehabilitation program guided by a physiotherapist, which she envisioned would address his muscular strength, endurance, flexibility, postural education and general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Implicit in Mr. Anderson's position concerning his loss of future earning capacity is that he accepts Ms. Craig's opinion and plans to follow her recommendations, as well as those of his other experts. In light of that and given that when the reports of Ms. Craig and Dr. Hershler came to Mr. Anderson's attention, approximately three and a half years had elapsed since the Accident and his neck and shoulder/trapezius symptoms were still problematic, he ought reasonably to have taken steps in fairly short order, in either Vancouver or Medellin, to follow Ms. Craig's recommendations concerning his participation in a rehabilitation program. The probabilities of the evidence support the inference that Mr. Anderson's involvement in such a program would have likely enabled him to better cope with his pain and promoted his recovery. I conclude that the benefits flowing from adherence to these recommendations may not have had adequate time to materialize in any appreciable way prior to trial. Consequently I have not relied on this rationale to reduce his pre-trial losses. I do conclude, however, that a small part of his future pecuniary loss and his non-pecuniary loss would have been avoided had he comported himself in this reasonable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defendant's argument concerning Mr. Anderson's alleged failure to mitigate on the employment front was difficult to follow. I find that for the majority of months in the year leading up to trial, Mr. Anderson worked fewer hours for Preston than he was capable of working and that his income stream was reduced accordingly. In that period, he took virtually no reasonable steps to investigate business or entrepreneurial opportunities that may have been suitable to his residual work capacity, and did not look for, much less apply for, a job to supplement his income from Preston. Although Mr. Anderson was not expected to seek out employment with any of Preston's competitors in that time frame, his utter inaction, beyond the lukewarm attempt to set up a sideline with Cesar, in the face of a dwindling supply of consulting work from Preston, is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consider it probable that had Mr. Anderson reasonably applied himself in this regard, he would have succeeded in reducing his losses to some degree. In fairness, a portion of Mr. Anderson's damages for his pre-trial loss and his future loss of earning capacity ought to be reduced to reflect this feature of his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other arguments presented by the defence in relation to mitigation, as best I can discern them, were unpersuasive.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Based on the foregoing, I make the following reductions to Mr. Anderson's damages:</w:t>
      </w:r>
      <w:r>
        <w:rPr>
          <w:rFonts w:ascii="arial" w:eastAsia="arial" w:hAnsi="arial" w:cs="arial"/>
          <w:sz w:val="20"/>
          <w:lang w:val="en-US" w:eastAsia="en-US" w:bidi="ar-SA"/>
        </w:rPr>
        <w:cr/>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 reduction of his non-pecuniary damages;</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12% reduction of his award for past loss of earning capacity; and</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15% reduction of his award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If the parties are unable to agree as to costs, they may file written submissions implementing a time table of their choosing that incorporates a final deadline of February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Andrews v. Mainster, [2012] B.C.J. No. 1142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9-10,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M111313 and M111722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1142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823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Brenda Andrews, Plaintiff, and Gail Mainster and Harold Chaim Gutovich, Defendants And between Gail Arden Mainster, Plaintiff, and Brenda Cheryl Andrews,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18"/>
      <w:bookmarkEnd w:id="16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Motor vehicles — Rules of the road — Action by Andrews for damages suffered in a 2009 motor vehicle accident allowed — Andrews travelled west through an intersection — Mainster travelled east and had stopped to make left hand turn — As light turned yellow, Manister proceeded to turn, thereby colliding with the Andrews' vehicle — Andrews was the dominant driver relative to Mainster --- Mainster did not yield and she did not become the dominant driver — Mainster did not meet the standard of care of a driver in her circumstances.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16"/>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for damages suffered in a 2009 motor vehicle accident. The plaintiff Andrews was travelling west towards an intersection. The plaintiff Mainster was travelling east and had stopped to make a left hand turn. The intersection was controlled by a traffic light. Andrews alleged that the light was green for her. She went halfway through the intersection, when Mainster collided with the Andrews vehicle. Mainster testified that she moved into the intersection while the light was green for her. The light then turned yellow. She saw no cars travelling towards her from the east and was struck by Andrews. Mainster argued that Andrews was not watching the road ahead of her as she travelled towards the intersection and that, had Andrew been paying attention, she would have had sufficient time to stop her vehicle before the intersection or at the very least take evasive action. Andrews argued that she was the dominant driver and had the right-of-way and that she constituted an immediate hazard relative to Mainster.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14"/>
            <w:bookmarkEnd w:id="169"/>
            <w:r>
              <w:rPr>
                <w:rFonts w:ascii="arial" w:eastAsia="arial" w:hAnsi="arial" w:cs="arial"/>
                <w:color w:val="000000"/>
                <w:sz w:val="20"/>
                <w:lang w:val="en-US" w:eastAsia="en-US" w:bidi="ar-SA"/>
              </w:rPr>
              <w:t>HELD: Andrew's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Mainster was solely liable for the accident. Andrews was the dominant driver relative to Mainster. The Andrews vehicle constituted an immediate hazard. Mainster did not yield and she did not become the dominant driver. Mainster in not seeing the Andrews' car was not paying proper attention to oncoming traffic. She did not meet the standard of care of a driver in her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1"/>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49"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(1)(a), s. 144(1)(a),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1" w:name="Counsel_23"/>
      <w:bookmarkEnd w:id="1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Action M111313: J. Murphy, Q.C., Irina Kordic.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 Action M111313: Gordon Marshall.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in Action M111722: Greg Lilles.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 Action M111722: Calvin L. Thiessen.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3"/>
      <w:bookmarkEnd w:id="172"/>
      <w:r>
        <w:pict>
          <v:line id="_x0000_s1135" style="position:absolute;z-index:2518312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June 11, 2012;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D.M. MASUHARA J._0"/>
            <w:bookmarkEnd w:id="173"/>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reasons relating to a trial of two actions arising from a motor vehicle accident that occurred on a sunny and dry Saturday, October 10, 2009 at around 2:50 p.m. at the intersection of Fir Street and West 16th Avenue in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two plaintiffs were the drivers of the two cars in the accident and travelling toward the intersection from opposite directions. Ms. Andrews was driving a red 1991 Mazda and travelling west on West 16th Avenue intending to continue through the subject intersection. Ms. Mainster was driving a grey 2001 Lexus travelling east on West 16th Avenue and had stopped to turn left onto Fir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intersection is essentially a T intersection. West 16th Avenue runs west/east and Fir Street runs south/north and intersects and terminates at West 16th Avenue. The intersection is controlled with traffic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only issue at trial is the determination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witnesses called in Ms. Andrews' case were: Ms. Andrews, and her boyfriend, Mr. Priolo, who was a passenger in her car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witnesses called in Ms. Mainster's case were: Ms. Mainster, her husband, Mr. Gutovich, and Ms. De Francesco, a witness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 technical or engineering evidence regarding the accident was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found all of the witnesses to be earnest and sincere in their testimony. As with many collisions, things happened suddenly.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Andrews is 54 years old. The Mazda she was driving had a manual transmission. I would describe the car as a small compact. She is a clinical therapist and last worked in First Nations communities with survivors of residential schools. She stated that at the time of trial she was under the following medications: Wellbutrin for depression and anxiety, Ativan for anxiety, and Gabapentin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day in question Ms. Andrews stated that she was on her way home from the airport where she had just picked up Mr. Priolo, who had arrived from Washington, D.C. where he resides. His visits then were about four times a year. She was driving north on Granville Street and had turned left onto West 16th after waiting for a southbound car to drive through that intersection. She stated that when she was about half way between Granville and the intersection at Fir, she saw that the traffic light had turned green for westbound traffic and vehicles were going through the intersection. She says that during the drive she had been engaged in "chit chat" with Mr. Priolo, not constant conversation. She said that she was travelling between 40-45 km/h. She stated that the light was green when she entered the intersection. She stated that when she was about half way through the intersection the collision occurred. She denied taking her eyes off the road and that she did not have her head turned towards Mr. Priolo. She stated that she did not see the car driven by Ms. Mainster until the collision. She stated she wanted to stop but did not have the chance before impact. She also recalls that just before the collision seeing a vehicle "zoom" by her on the right side moving westward. After the collision she got out of her car and lay down on the road. She was then helped off the road and placed on a grassy area. She was subsequently transported by ambulance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Priolo is 52 years old. He is an engineer. He testified that he was a passenger in Ms. Andrews' car at the time of the accident. Ms. Andrews' Jack Russell terrier was on his lap. The two were on their way to Ms. Andrews' residence in Kitsilano from the airport, where he had been picked up. He stated that they turned off Granville Street onto West 16th and that she was following two or three cars. Traffic was busy in the area. He stated that the two were having a casual conversation - "chit chat". He stated that the distance between Ms. Andrews' car and the car immediately ahead of her was a few car lengths. He stated the speed of the Mazda was normal, the same as other traffic. He stated that he saw that the light was green for traffic on West 16th as they approached the intersection. He stated that suddenly a car pulled in front of them. This was the Lexus. He yelled at Ms. Andrews to stop but there was no time to react before the collision. He heard her scream. After the impact, Mr. Priolo helped open her door from the inside and she got out of her side of the car. She initially lay down on the road. She was then moved off the road and was transported to the hospital. Mr. Priolo is not advancing any personal injury claim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Mainster was driving a dark grey 2001 Lexus IS300 sedan with an automatic transmission. She is a writer/editor for a well-known environmental foundation. She was travelling east on West 16th and had stopped at the intersection at Fir Street. Ms. Mainster testified that she moved into the subject intersection while the light was green for her. She says that she waited for about five westbound cars to drive through. She stated that the light then turned yellow for a couple of beats, she saw no cars travelling towards her from the east on West 16th and then looked at the crosswalk on Fir Street and then was struck by Ms. Andrews. She says the collision occurred at a point several feet behind where the Mazda ended up after impact as shown on the photographs tendered at trial. Her airbags deployed on impact. She testified that the force of the impact from Ms. Andrews' car pushed her car backwards two lane widths, from the lane in which she was intending to turn into, back to the crosswalk where her car ended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Mainster agreed that the view eastward to Granville Street from her position prior to her attempting to turn was unobstructed and that had she looked she would have seen the red Mazda.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De Francesco was a passenger in her brother's Nissan Murano, a sport utility vehicle. She also drives and has held a driver's licence for 20 years. She was formerly a bookkeeper and has been retired for one year. They were facing south on Fir Street, stopped as the light was red and waiting to turn right on West 16th. They were the first car in the turning lane. Ms. De Francesco stated that she saw a dark Lexus, which was to her right. She noticed that the car began to inch forward just before the collision. She stated that her brother began to inch forward to turn right as the intersection had cleared but he did not. I take this as evidence that there was a concern regarding through traffic on West 16th Avenue. Ms. De Francesco agreed her brother would have turned right had it been clear to do so but he did not. She also had looked eastward to see if the intersection was clear for her brother to turn right (as she would as a driver) and noticed the red Mazda which was being driven by Ms. Andrews. She noticed a male in the passenger seat with a dog in his lap. She says she observed Ms. Andrews head was turned about 45 degrees towards Mr. Priolo and was engaged in conversation just before the collision. She stated that at the time she first observed the Mazda it was within the Mazda's car length of the intersection. She stated the car was travelling at a normal speed for West 16th and that at that point she believed a collision was inevitable as Ms. Andrews was not slowing and which occurred "very quick". She was not certain of the time interval between her observation of the Andrews' car and the collision. She mentioned a couple of seconds. She resisted the suggestion that it was less than one second. After the collision, her brother turned right and travelled west on West 16th and turned back to return to the scene. They got out of the car and stood at the corner of West 16th and Fir where they spoke with Ms. Mainster. Ms. De Francesco knew neither of the drivers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Gutovich is 58 years old. He and Ms. Mainster have been married for 33 years. He arrived at the scene some time after the accident. He testified that he received a phone call at his office from his wife advising that she had been in an accident and asked him to come to the scene. He took a cab there. He stated that the emergency vehicles were no longer there. He spoke with his wife. A friend who was driving by saw Ms. Mainster and took her to Mr. Gutovich's parents' home. Mr. Gutovich then took photographs of the accident using his cell phone camera. The photos were entered as exhibits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Gutovich says he looked for tire marks or skid marks but did not see any at the scene. He testified that he never asked his wife how it was that she did not see the red Mazda.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photographs show that the two vehicles after impact ended up with the Lexus largely in the cross walk at the west side of the intersection and angled in a north easterly direction towards Fir Street across the westbound lane and the Mazda facing westward in the center westbound lane. The point of contact is the Lexus' front right corner and the middle of the front of the Mazda.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parties agree that central to the case is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Other important provisions are ss. 144(1)(a) and 128(1)(a), which respectively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(1) When a yellow light alone is exhibited at an intersection by a traffic control signal, following the exhibition of a green light,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for the parties referred to various authorities that have judicially considered the statutory requirements for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Johal v. Scott</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[1991] B.C.J. No. 458</w:t>
        </w:r>
      </w:hyperlink>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1991 CarswellBC 360</w:t>
        </w:r>
      </w:hyperlink>
      <w:r>
        <w:rPr>
          <w:rFonts w:ascii="arial" w:eastAsia="arial" w:hAnsi="arial" w:cs="arial"/>
          <w:color w:val="000000"/>
          <w:sz w:val="20"/>
          <w:lang w:val="en-US" w:eastAsia="en-US" w:bidi="ar-SA"/>
        </w:rPr>
        <w:t>, Coultas J. said this in regard to "immediate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term "immediate hazard" was considered by Tysoe J.A.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At p. 410,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Toribio v. Cook</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[1996] B.C.J. No. 915</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1996 CanLII 2948</w:t>
        </w:r>
      </w:hyperlink>
      <w:r>
        <w:rPr>
          <w:rFonts w:ascii="arial" w:eastAsia="arial" w:hAnsi="arial" w:cs="arial"/>
          <w:color w:val="000000"/>
          <w:sz w:val="20"/>
          <w:lang w:val="en-US" w:eastAsia="en-US" w:bidi="ar-SA"/>
        </w:rPr>
        <w:t xml:space="preserve"> (B.C.S.C.), in following the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decision above, Taylor J. stated that the test is whether the left turning driver had properly determined that no oncoming vehicle constituted an immediate hazard such that the left turn could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the Court of Appeal re-affirmed that a driver in the dominant position and having the right-of-way will not typically be found to be liable for an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driver like the defendant, who is in a dominant position, will not typically be found to be liable for an accident. Drivers are generally entitled to assume that others will obey the rules of the road. Further, though defensive driving and courteous operation of motor vehicles are to be encouraged, they do not necessarily represent the standard of care for the purposes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driver will not be held to have breached the standard of care simply because he or she failed to take extraordinary steps to avoid an accident or to show exceptional proficiency in the operation of a motor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oft-quoted passages from the concurring judgment of Cartwright and Locke JJ.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460-61 (S.C.C.), succinctly set out the duties of a driver in the dominant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a driver having the statutory right-of-way has been discussed in many cases. In my opinion it is stated briefly and accurately in the following passage in the judgment of Aylesworth J.A., concurred in by Robertson C.J.O., in </w:t>
      </w:r>
      <w:r>
        <w:rPr>
          <w:rFonts w:ascii="arial" w:eastAsia="arial" w:hAnsi="arial" w:cs="arial"/>
          <w:i/>
          <w:color w:val="000000"/>
          <w:sz w:val="20"/>
          <w:lang w:val="en-US" w:eastAsia="en-US" w:bidi="ar-SA"/>
        </w:rPr>
        <w:t>Woodward v. Harris</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judgment of the Court of Appeal in that case was set aside and a new trial ordered [ </w:t>
      </w:r>
      <w:hyperlink r:id="rId585"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there is nothing said in the judgments delivered in this Court to throw any doubt on the accuracy of the statement quoted.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applying this principle it is necessary to bear in mind the statement of Lord Atkinson in </w:t>
      </w:r>
      <w:r>
        <w:rPr>
          <w:rFonts w:ascii="arial" w:eastAsia="arial" w:hAnsi="arial" w:cs="arial"/>
          <w:i/>
          <w:color w:val="000000"/>
          <w:sz w:val="20"/>
          <w:lang w:val="en-US" w:eastAsia="en-US" w:bidi="ar-SA"/>
        </w:rPr>
        <w:t>Toronto R. W. Co. v. King</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586"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defendant also cites the judgment of this Court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at 277, </w:t>
      </w:r>
      <w:hyperlink r:id="rId354" w:history="1">
        <w:r>
          <w:rPr>
            <w:rFonts w:ascii="arial" w:eastAsia="arial" w:hAnsi="arial" w:cs="arial"/>
            <w:i/>
            <w:color w:val="0077CC"/>
            <w:sz w:val="20"/>
            <w:u w:val="single"/>
            <w:shd w:val="clear" w:color="auto" w:fill="FFFFFF"/>
            <w:lang w:val="en-US" w:eastAsia="en-US" w:bidi="ar-SA"/>
          </w:rPr>
          <w:t>43 M.V.R. (2d) 44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Though counsel rely strongly on the Act provisions, I note as stated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that at para. 18 the statutory provisions provide guidelines for assessing fault in motor vehicle accident cases, they do not, alone, provide a complete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standard of care of a driver is not perfection but is that of acting as would the ordinarily prudent person: </w:t>
      </w:r>
      <w:r>
        <w:rPr>
          <w:rFonts w:ascii="arial" w:eastAsia="arial" w:hAnsi="arial" w:cs="arial"/>
          <w:i/>
          <w:color w:val="000000"/>
          <w:sz w:val="20"/>
          <w:lang w:val="en-US" w:eastAsia="en-US" w:bidi="ar-SA"/>
        </w:rPr>
        <w:t>Haddan v. Lynch</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Both parties also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Mainster submits that Ms. Andrews was not watching the road ahead of her as she travelled towards the intersection at West 16th and Fir Street and that had she been paying attention she would have had sufficient time to stop her vehicle before the intersection or at the very least take evasive action. Reliance is placed upon the observation of Ms. De Francesco who says that Ms. Andrews had her head turned towards Mr. Priolo and talking. It is also submitted that Ms. Mainster had yielded the right of way to oncoming traffic that was in the intersection or so close as to constitute an immediate hazard before beginning her turn. Reliance is placed on the evidence that Ms. Mainster stopped and crept forward and only averted her eyes to confirm no pedestrian were crossing Fir Street on the north side. It is argued at that point it was then incumbent upon Ms. Andrews to yield the right of way to Ms. Mainster pursuant to s. 174 of the Act. It is submitted that Ms. Mainster had become the dominant driver and that she did not see Ms. Andrews because Ms. Mainster was not close enough to constitute an immediate hazard. Reliance is placed on the view that there was a gap between the cars that went through the intersection which Ms. Mainster had waited for and then she began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is further submitted by Ms. Mainster that Ms. Andrews did not meet the standard of care expected of a reasonable driver when approaching a controlled intersection where an oncoming vehicle was signaling a turn that would have crossed her path given her speed, inattention and distraction. Ms. Mainster argues that it was Ms. Andrews'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Andrews submits that she was the dominant driver and had the right-of-way and that she constituted an immediate hazard relative to Ms. Mainster. She was travelling at a normal speed for the conditions and area. Ms. Andrews submits that Ms. Mainster was negligent in failing to see Ms. Andrews' red Mazda despite the fact that she had a clear and unobstructed view eastward on West 16th. It is submitted that if Ms. Mainster had seen the Mazda, she would never have turned into the oncoming westbound lane. It is further submitted that there is no evidence to prove that Ms. Andrews' vehicle was far enough east of the intersection to allow Ms. Mainster to safely make her turn and to establish herself as the dominant driver. Reliance is placed on Ms. Mainster's testimony that she had barely begun her turn when the collision occurred. It is also submitted that in terms of any blame to be cast upon Ms. Andrews, the evidence does not establish that Ms. Andrews became aware or should have become aware of Ms. Mainster's intention to turn left and that Ms. Andrews then had sufficient opportunity to avoid the accident as per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It is submitted that the vehicles were too close together by the time Ms. Mainster moved in the lane of oncoming traffic and there was no time to take any action. Reliance is placed upon the evidence of Ms. Mainster that the collision occurred just as she began her left turn; Mr. Priolo that the Mainster car began to turn when there was no chance to avoid a collision; and Ms. De Francesco who testified that when she saw the Mazda, it was within a car length of the intersection and that she knew that a collision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dry and sunny at the time of the accident. Ms. Mainster had a clear and unobstructed view up West 16th to Granville Street. Ms. Andrews was not driving at an excessive speed on West 16th. Rather, she was driving at a normal speed approximately 45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Ms. Mainster had proceeded into the intersection beyond the westside crosswalk and was waiting for traffic to pass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More likely than not, Ms. Andrews was talking to Mr. Priolo just prior to the accident and that Ms. Andrews' head was turned somewhat towards Mr. Priolo.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also find that Ms. Mainster turned left into the lane of oncoming traffic at the time the light for traffic on West 16th turned yellow. I also find at this same time Ms. Andrews' car was within a car length of the intersection. Ms. Andrews was the dominant driver relative to Ms. Mainster.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Ms. Andrews' vehicle constituted an "immediate hazard". I find that Ms. Mainster did not "yield" and that she did not become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the collision occurred in the intersection closer to the crosswalk on the west side of the intersection than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note that Ms. Mainster agreed that if she would have looked eastward that she should have been able to see the red Mazda and could not explain why she did not see it. Ms. Mainster said that it was just a brief moment between the time the front of her car had just moved to turn and the collision. The first time she saw the Mazda was at the time of the collision. The theory that Ms. Andrews must have been travelling excessively and if seen initially would have been at the eastern end of West 16th (closer to Granville) has not been made out. As a result, Ms. Mainster in not seeing the Andrews' car was not paying proper attention to oncoming traffic. She did not meet the standard of care of a driver in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Though, Ms. Andrews had her head somewhat turned toward Mr. Priolo in conversation as she was driving towards the intersection just before the collision, I do not find that she had taken her eyes off the road in front of her. I also do not find that Ms. Andrews had a duty to anticipate that Ms. Mainster would move into her lane when she did. In any event, the proximity of the two vehicles was such that when Ms. Mainster moved into the lane of oncoming traffic that Ms. Andrews would have been unable to take sufficient action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circumstances, I find Ms. Mainster to be entirely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11,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Masuhara dated June 4, 2012 have been corrected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Counsel for the Defendants in Action M111313 should read Gordon Marshall.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Boyd v. Baldwin, [2015] B.C.J. No. 1083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G.J. Fitch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M124105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1083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887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Angela Boyd (a.k.a. Angela Huttunen), Plaintiff, and Ronald William Baldwin and Shayne Christopher Martineau, Defendants, and Shayne Christopher Martineau and Ronald William Baldwin,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19"/>
      <w:bookmarkEnd w:id="17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Determination of liability for motor vehicle accident — Baldwin was entirely liable for accident — Baldwin, who had been driving northbound, turned left at intersection and collided with Martineau, who was driving southbound through it — Light governing through traffic was early into yellow phase when Baldwin turned left — Baldwin turned when it was unsafe to do so — Martineau was entitled to assume that Baldwin would yield intersection.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17"/>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motor vehicle accident. The plaintiff was a passenger in Baldwin's vehicle. Baldwin, who had been driving northbound, turned left at an intersection and collided with Martineau, who was driving southbound through it. The central issue was whether the light governing the through traffic was yellow or red when Baldwin turned.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15"/>
            <w:bookmarkEnd w:id="176"/>
            <w:r>
              <w:rPr>
                <w:rFonts w:ascii="arial" w:eastAsia="arial" w:hAnsi="arial" w:cs="arial"/>
                <w:color w:val="000000"/>
                <w:sz w:val="20"/>
                <w:lang w:val="en-US" w:eastAsia="en-US" w:bidi="ar-SA"/>
              </w:rPr>
              <w:t>HELD: Baldwin was entirely liable for the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light was early into its yellow phase when Baldwin turned left. Baldwin turned when it was unsafe to do so. Baldwin's vision of oncoming traffic was obstructed by a truck that was immediately opposite him and, as a result, he did not see Martineau approaching the intersection. Martineau approached at or below the speed limit. When Martineau first saw Baldwin, he was moving in the intersection but not yet turning. Martineau was entitled to assume that Baldwin would yield the intersection. Martineau could not have safely stopped before the intersection. Martineau was an immediate hazard when the light turned yellow and the dominant driver when he entered the intersection.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12"/>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8"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49"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(1), s. 128(1) (a), s. 129(1), s. 144(1), s. 146(1), s. 158,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24"/>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Britni M. Troy.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and Third Party, Baldwin: Romany K. Benham-Parker.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Martineau: Karen M. Finnan.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4"/>
      <w:bookmarkEnd w:id="179"/>
      <w:r>
        <w:pict>
          <v:line id="_x0000_s1140"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G.J. FITCH J."/>
            <w:bookmarkEnd w:id="180"/>
            <w:r>
              <w:rPr>
                <w:rFonts w:ascii="arial" w:eastAsia="arial" w:hAnsi="arial" w:cs="arial"/>
                <w:b/>
                <w:color w:val="000000"/>
                <w:sz w:val="30"/>
                <w:lang w:val="en-US" w:eastAsia="en-US" w:bidi="ar-SA"/>
              </w:rPr>
              <w:t>G.J. FITCH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the determination of liability for injuries the plaintiff, Angela Boyd ("Boyd"), says she sustained in a motor vehicle accident that occurred July 22, 2010, at the intersection of Fraser Street and East 12th Avenue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 front seat passenger in a vehicle, a standard transmission 2000 Pontiac Sunfire, being driven by the defendant and third party, Ronald Baldwin ("Baldwin").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when Baldwin, who was travelling northbound on Fraser Street, turned left at the intersection of Fraser Street and East 12th Avenue to proceed westbound on East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Baldwin says he turned left only after the light governing traffic travelling north and south on Fraser Street switched to red. He says the defendant and third party, Shayne Martineau ("Martineau"), driving a 1997 Ford Explorer, came through the intersection against the red light and struck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Martineau was travelling southbound in the curb lane on Fraser Street, approaching its intersection with East 12th Avenue. Martineau says the light turned yellow just as he entered the pedestrian crosswalk on the north side of the intersection. He says Baldwin quickly and unexpectedly turned left against the yellow light and drove into his path. Martineau says the collision occurred when the light was still yellow for northbound and southbound traffic. He says he briefly attempted to brake, realized he could not stop, and then swerved his vehicle to the right to avoid a head-on collision. Martineau's vehicle came to rest on the sidewalk on the southwest corner of the intersection, narrowly missing a pedestrian standing on that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to have suffered soft tissue injuries in the accident. Damages will be assessed at a subsequent trial following the determination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central issue in this case is a factual one - whether the light was yellow or red when Baldwin turned left, heading westbound from the northbound lane of Fraser Street, and Martineau entered the intersection from the opposite direction, travelling southbound.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Boyd testified. On completion of her evidence, the parties agreed that she in no way contributed to the accident and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or both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Baldwin and Martineau contend that the other is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Baldwin called Anthony Cornish, an independent witness to the accident. Unfortunately, his recollection of events is fragmentary.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Martineau called Cst. Spence of the Vancouver Police Department, who attended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engineering or accident reconstruction evidence was tendered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its intersection with East 12th Avenue, Fraser Street consists of two lanes for northbound traffic and two lanes for southbound traffic. The northbound and southbound lanes are fairly narrow. The speed limit on Fraser Street is 50 km/h. At its intersection with Fraser Street, East 12th Avenue consists of two lanes for westbound traffic and two lanes for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intersection of East 12th Avenue and Fraser Street is governed by a traffic light. The light stays green for traffic travelling northbound and southbound on Fraser Street for 20 seconds. The light then switches to yellow for 3.5 seconds. Traffic lights are red in all directions for 1.5 seconds. The traffic signal then switches to green for eastbound and westbound traffic on East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dedicated left turn lane, nor is there an advance green light, for left-turning vehicles proceeding northbound and southbound on Fraser Street at its intersection with East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stop lines for traffic proceeding northbound and southbound on Fraser Street are well marked and located before the eastbound and westbound pedestrian crosswalks.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accident occurred in the late afternoon of a sunny, summer day. Weather conditions played no role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evidence that either Baldwin or Martineau was distracted at the time of the accident. There is no evidence that either driver was fatigued at the time of the accident. Although Baldwin consumed one beer shortly before the accident, I am satisfied that alcohol played no role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Neither Baldwin nor Martineau was ticketed as a result of the accident. The police officers who attended the scene made no determination of fault. After giving an account of the accident to the police, both drivers were permitted to proceed on their way. The damage to the vehicles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Summary of the Evidence</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Boyd testified that on the day of the accident Baldwin drove his vehicle from her residence in Mission to Vancouver. Baldwin is the godfather of Boyd's two young daughters. Boyd was a front seat passenger. Her daughters were back seat passengers. They stopped at a residence on Fraser Street and East 43rd Avenue to pick up a friend of Boyd's daughters. They were at this residence for about one hour. They repacked some bags and set out again, proceeding northbound on Fraser Street, now with her daughters and her daughters' friend in the back seat. Boyd testified they were heading to the Horseshoe Bay ferry terminal to catch a ferry to attend a community festival on the Sunshine Coast. Boyd testified they were not in a rush to get to the ferry and had no 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Boyd testified that as Baldwin travelled northbound towards the intersection of Fraser Street and East 12th Avenue, the light was green. Traffic was moderate to heavy. Baldwin's left turn signal was activated. Baldwin stopped his car on the green light behind the crosswalk, before the intersection. Boyd testified that other southbound vehicles were going straight through the intersection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Boyd testified that Baldwin proceeded straight into the intersection just after the light turned yellow. Baldwin was driving slowly in first gear.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Boyd noticed that a heavier vehicle, which she variously described as a truck, pickup, van and SUV, was in the southbound center lane waiting to turn left to proceed eastbound on East 12th Avenue. This vehicle had its left turn signal activated. Boyd described this vehicle as being "opposite us". She said this vehicle obstructed her ability to see if any other vehicles were behind it proceeding southbound towards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proceeding straight into the intersection, Baldwin then slowly turned left through the intersection, still in first gear. Boyd was unable to say in her evidence at trial whether the light was yellow or red when Baldwin turned left. On examination for discovery, Boyd repeatedly testified that the light switched to red before Baldwin turned left. She acknowledged giving those answers and testified that she was being truthful at the time. She testified that the answers she gave on examination for discovery did not refresh her memory. She said she recalled being in the intersection when the light was yellow, but that, "as we turned, I couldn't tell you what colour the light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Boyd testified that the heavier truck was still in the intersection waiting to turn left to proceed eastbound on East 12th Avenue when Baldwin turned left to proceed westbound on East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Boyd did not see Martineau's vehicle until just before the collision. Martineau's vehicle clipped the front end of Baldwin's vehicle on the driver side. She said Martineau's vehicle "flew past us". She testified that while Martineau's vehicle was moving quickly, she did not know its exact speed. She testified that Martineau's vehicle was travelling above the speed limit, and agreed with a suggestion put to her in cross-examination by Baldwin's counsel that Martineau was travelling too quickly for traffic conditions. On examination for discovery, Boyd testified Martineau's vehicle was probably travelling 70-80 km/h.</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Baldwin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Baldwin testified he consumed one beer when they stopped at the residence in Vancouver to pick up a friend of Boyd's children. They were there for about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leaving the residence, Baldwin drove north on Fraser Street. They were on route to the Horseshoe Bay ferry terminal with the intention of proceeding to the Sunshine Coast for a community festival. They did not have a ferry reservation. Baldwin testified they were not trying to catch a particular ferry, and were not in a hurry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Baldwin decided to turn left to proceed west on East 12th Avenue. As he approached the intersection, the light was green. His left turn signal was on. He stopped in the crosswalk on the south side of the intersection. He did not advance from this position while the light was green. He testified that he stopped at the crosswalk because he did not want to impede southbound traffic turning left to proceed east on East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the light turned yellow, Baldwin said he eased straight into the intersection about five or six feet. He then came to another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Baldwin testified that a larger vehicle travelling southbound was facing him, waiting to turn left to proceed eastbound on East 12th Avenue. Baldwin says he commenced his left turn only after the light switched to red. He explained he did not attempt to turn left before the light switched to red because the larger vehicle facing him obstructed his ability to see oncoming traffic approaching the intersection southbound in the curb lane on Fraser Street. He agreed in cross-examination that this larger left-turning, southbound vehicle in the center lane was blocking his vision. Baldwin could not recall whether any other southbound vehicles passed through the intersection in the curb lane while he was waiting for the light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Baldwin testified on direct examination that the larger vehicle turning left to proceed eastbound on East 12th Avenue was still facing him when he turned left. He was trying to see around it. When Baldwin was asked in cross-examination whether this larger southbound vehicle was still stopped, waiting to make its turn, when he started to turn left, Baldwin replied, "I think so", but said he could not be exact. Later in cross-examination, Baldwin testified that he was not sure whether the southbound vehicle turning left was still facing him when he commenced his turn. He agreed it made sense that if that vehicle had turned through the intersection, he would have had an unobstructed view of traffic coming towards the intersection in the southbound curb lane. Baldwin also testified in cross-examination that he has no recollection of whether anything was blocking his view of the curb lane when he turned left. He said he did not know how far he could see down the southbound curb lane when he was stopped at the light. He agreed that it is his habit to wait for the light to switch to red before turning left through an intersection if he cannot see. In this case, however, Baldwin testified he was not relying on his driving habits or usual practices. He testified that he remembers not turning left until the light switched to red. Baldwin reiterated that he did not attempt to turn left before the light switched to red because he did not have a clear view of vehicles coming southbound towards the intersection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proceeding about 5 to 10 feet into his left turn, Baldwin says Martineau, who was proceeding southbound on Fraser Street in the curb lane, came through the red light. Baldwin testified that the nose of his vehicle had entered the southbound curb lane when he saw Martineau's vehicle. Baldwin testified Martineau's vehicle was just coming into the intersection when he first saw it. Baldwin immediately applied his brakes to avoid a collision. He says his tires left a short skid mark, about a foot in length, on the road. Despite his efforts to stop, Baldwin was unable to avoid a collision. The nose of Baldwin's vehicle was clipped by Martineau's vehicle as it passed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Baldwin testified he could tell that Martineau was going well above the speed limit when Martineau entered the intersection. He testified Martineau was travelling at least 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Baldwin testified he has a criminal record for theft and possession for the purposes of trafficking. While the existence of a criminal record is a factor potentially relevant to the assessment of credibility, it is not a relevant factor in the circumstances of this case. Counsel for Martineau does not suggest otherwise. Accordingly, I have not relied on the existence of the record to discount Baldwin's credibility as a witness.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Cst. Spence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Cst. Spence, one of the two officers who attended at the scene of the accident, testified that his partner made an approved screening device demand of Baldwin at the scene. Baldwin complied with the request. He blew .02, below the .05 reading that could attract a driving suspension, and well below the .08 reading that could attract criminal sanctions. Baldwin was permitted to leave the scene of the accident with the children in the back seat. Cst. Spence confirmed that Baldwin would not have been allowed to leave the scene if he was impaired.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Martineau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Martineau testified he was travelling southbound in the curb lane on Fraser Street in his 1997 Ford Explorer. He had been in the curb lane for at least a block before reaching the intersection of Fraser Street and East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Martineau testified he lives eight blocks from the scene of the accident and drives that route all the time. He was heading to a car wash at the time of the accident. He was not in a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Martineau had turned left onto Fraser Street from East Broadway. It is 300 metres from the intersection of East Broadway and Fraser Street to the intersection of Fraser Street and East 12th Avenue. Martineau agreed that you can see the lights at the intersection of Fraser Street and East 12th from the intersection of East Broadway and Fraser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Martineau testified he was travelling 40 to 45 km/hour as he approached the intersection of Fraser Street and East 12th. His speed was constant. He neither accelerated nor decelerated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Martineau testified there was nothing in front of him in the southbound curb lane, but a large pickup truck with a canopy was stopped ahead of him in the center lane for southbound traffic. This large truck was stopped about halfway into the intersection, waiting to turn left to travel east on East 12th Avenue. The driver of the truck was signalling to turn left. Martineau described this vehicle as a two-tone, brown and tan coloured F350 truck with an 8-foot box and a canopy. He said at trial that this vehicle did not have a rack on top of the canopy. He testified on examination for discovery that the vehicle had a rack on top of it. Martineau said he has no recollection now of the vehicle having a rack on top, but agreed that his memory would have been better at the time of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light was green as Martineau approached the intersection. It remained green until he passed the stop line and entered the pedestrian crosswalk on the north side of the intersection. The southbound truck turning left was in the same position when Martineau entered the intersection and began passing it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Martineau said he was about 20 feet from the stop line when he first saw the roof of Baldwin's vehicle in the center lane for southbound traffic. Baldwin's vehicle was moving straight forward. He knew Baldwin was waiting to turn left, but did not anticipate that Baldwin would turn into his path. Martineau testified that Baldwin's vehicle came into full view when he was beside the truck that was turning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Martineau was asked in examination in chief if he noticed the colour of the light as he approached the intersection. He responded, "Yes, of course". He was then asked when he first noticed the light. He testified he first noticed the colour of the light when he was behind the left-turning truck in the center lane. The light was green. It turned yellow just as he entered the pedestrian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Martineau did not change his speed when the light turned yellow. He never saw Baldwin's vehicle come to a full stop. He testified Baldwin accelerated quickly into a left turn and the front end of Baldwin's vehicle entered the curb lane for southbound traffic. He testified that the light was yellow when Baldwin turned. He heard Baldwin's tires "chirp" when he accelerated, and then heard the screeching of Baldwin's tires when Baldwin saw Martineau in the intersection and tried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Martineau testified that he put his foot on the brake for a split second, but quickly realized he could not bring his vehicle to a stop before colliding head-on with Baldwin who was stopped right in front of him. To avoid a collision, Martineau swerved sharply to the right. He testified that his vehicle skimmed the front end of Baldwin's vehicle. He said the light was still yellow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Martineau braked hard after swerving to avoid a head-on collision. He ended up on the sidewalk on the southwest corner of the intersection about 20 feet from the point of impact. Martineau narrowly avoided striking a pedestrian standing on the southwest corner of the intersection. He was unable to say whether the southbound truck that was waiting to turn left actually completed its turn in the same signal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examination in chief, Martineau testified that the time between the light changing to yellow and the collision was "one to two seconds, tops". When it was put to Martineau in cross-examination that two seconds passed from when he first saw Baldwin's vehicle to the point in time at which Baldwin turned left, Martineau replied that he could not say because it would just be a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Martineau testified the light at the intersection was green when he approached it and switched to yellow as he entered the pedestrian crosswalk just before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Martineau denied a suggestion that he was not looking at the traffic light, and testified he was aware of everything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was subsequently put to Martineau that he had confirmed in direct examination that the first time he saw the traffic light was when he was coming up to the back of the southbound truck that was turning left from the center lane. After a brief pause, Martineau responded, "If that's what I said". Later in cross-examination, it was put to Martineau that he observed the traffic light and took note of Baldwin's vehicle at approximately the same time. He replied that it was hard to answer the question but generally agreed.</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Cornish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Anthony Cornish ("Cornish") is a retired 71-year-old former police officer. He was driving the first westbound vehicle in the center lane of East 12th Avenue at its intersection with Fraser Street. He later testified he thinks he was stopped at the intersection waiting for the light to turn green, but acknowledged he may have been moving and further away from the intersection when the accident happened. From his vantage point, Cornish was closest to the northbound lanes of Fraser Street and perpendicular to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Cornish saw Martineau's vehicle go through the intersection and onto the curb of the southwest corner of Fraser Street and East 12th Avenue. He first saw Martineau's vehicle as it was halfway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Cornish remembers travelling west through the intersection "immediately" and "very shortly" thereafter, but was unable to say with any further particularity what that meant. He could only say that he moved forward when his light (governing eastbound and westbound traffic) turned green, very shortly after Martineau's vehicle went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Cornish, by his own admission, can remember only "bits and pieces "of what he observed. He could not say whether his light had turned green when Martineau proceeded southbound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Cornish's evidence does not directly assist in resolving whether the traffic light governing northbound and southbound traffic on Fraser Street had turned red when Martineau came through the intersection. The uncertainty characterizing Cornish's evidence on a number of issues is such that I cannot rely on it unless it is confirmed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this caution in mind, there is, however, one aspect of Cornish's evidence I wish to highlight. In direct examination, Cornish initially testified he saw a southbound vehicle in the center lane stopped in the middle of the intersection. Later in his direct examination, Cornish testified that he thought something was wrong when Martineau's vehicle entered the intersection because there were already vehicles stopped in the intersection. He thought perhaps there had already been an accident, and that Martineau came through the intersection with nowhere to go, causing him to veer off onto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cross-examination, Cornish testified that his vision of Martineau's vehicle was blocked by the vehicle already in the intersection. The vehicle was in the center part of the intersection and going west. Cornish testified he could not remember any vehicles in the intersection other than this westbound vehicle. When asked if it was possible there was a large southbound vehicle in the center lane that was stopped and waiting to make a turn to go eastbound on East 12th Avenue, Cornish responded that it was possible, but that he could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Framework for the Analysis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determining whether, and to what extent, parties to an accident met their common law duties of care, a court will be informed by the rules of the road. While the rules of the road provide guidelines for assessing fault in motor vehicle accident cases, they do not, standing alone, provide a complete legal framework. As noted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 "[t]his is both because the rules of the road cannot comprehensively cover all possible scenarios, and because users of the road are expected to exercise reasonable care, even when others have failed to respect their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following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Act") are of potential relevance to the determination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(1) When a yellow light alone is exhibited at an intersection by a traffic control signal, following the exhibition of a green light,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Red light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Speed limits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(1) Subject to this section, a person must not drive or operate a motor vehicle on a highway in a municipality or treaty lands at a greater rate of speed than 50 km/h, and a person must not drive or operate a motor vehicle on a highway outside a municipality at a greater rate of speed than 80 km/h.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on right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(1) The driver of a vehicle must not cause or permit the vehicle to overtake and pass on the right of another vehicle, except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support of his argument that Baldwin is completely at fault for the accident, Martineau relies on the principles laid down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and applied in numerous subsequent cases, including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the plaintiff, an eastbound cyclist, entered an intersection just as the traffic light turned yellow. He was cycling immediately behind and to the right of an eastbound motor vehicle which passed him as they both entered the intersection, obscuring his visibility to the defendant. The defendant, who was travelling west, was attempting to negotiate a left turn at the intersection. She waited for the eastbound motor vehicle to pass before commencing her turn. The defendant struck the plaintiff cyclist in the intersection. Neither saw the other before the collision because their view of one another was obstructed by the eastbound motor vehicle. In finding the defendant entirely liable for the accident, the court stated:</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defendant who wishes to make a left hand turn in an intersection has an obligation to yield to on-coming traffic which is in the intersection under the provision of s. 176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bound to guard against every conceivable eventuality but only against such eventualities as a reasonable person ought to have foreseen as being within the ordinary range of human experience. The plaintiff was entitled to proceed on the assumption that all other vehicles will do what it is their duty to do, namely observe the rules regulating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the case under appeal entered the intersection on a green light and was in the intersection when the light changed to amber. The defendant was initiating her left turn when the light turned to amber.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earliest that the plaintiff could have become aware of the defendant's disregard of the law was when the defendant made a partial left hand turn when the light changed to amber. At that point the plaintiff was already in the intersection. The evidence shows that if he had braked when the light changed to amber, he would have slid into the centre of the intersection but would have been unable to avoid the accident.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quote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at p.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[W]hen the time arrived at which he [the plaintiff] could reasonably have been expected to realize that [the defendant] was not yielding the right of way, it would have been too late for him to do anything effective to prevent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the court held at para. 29 that the reasoning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supported a conclusion that the obligation created by s. 174 of the Act has priority over the obligation created by s. 158.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further addressed at paras. 33-35 the principles laid down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left turning driver is assessing making a left turn in an intersection he or she must yield the right of way to oncoming traffic unless it is not an immediate hazard. Describing a driver as dominant means no more than that driver has the right of way, whereas the servient driver has the obligation to yield the right of way. 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observed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the words "immediate hazard"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classic statement of law as to when an oncoming vehicle constitutes an "immediate hazard" is found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at 410, where Tysoe J.A.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 164 [now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If the through driver is the dominant driver by virtue of being an immediate hazard at the time the left-turning driver commences his turn, the through driver does not lose his position as the dominant driver by virtue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While the dominant driver will not typically be found liable for an accident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25), where the through driver breaches his common law and/or statutory obligations he may be contributorily negligent. The issue then becomes one of apportioning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Counsel for Martineau recognizes that the first step in the liability analysis for a collision between a left-turning driver and a through driver is the colour of the traffic light when the left-turning driver commenced his turn: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2014 BCCA 234</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Applying these principles, Martineau invites me to find that: he was proceeding toward the intersection below the speed limit; the light turned yellow just as he entered the pedestrian cross walk to the north of the intersection; he could not then bring his vehicle to a safe stop at the intersection; he was the dominant vehicle; Baldwin, whose view was obstructed by the southbound, left-turning vehicle facing him, did not see Martineau approaching the intersection in the curb lane when he commenced his turn on the yellow light; Martineau had no reason to believe that Baldwin would turn left into his path; and, when Baldwin did so, Martineau took the only evasive action reasonably open to him to attempt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do not understand Baldwin to take issue with the general principles set out herein. Against these foundational principles, Baldwin invites me to find that: he did not commence his left turn until after the light turned red; he then slowly proceeded into his left turn, trying to see around the southbound left-turning vehicle facing him; he was the dominant driver when he turned left; just as he turned left, Martineau, travelling well above the speed limit, passed the southbound left-turning vehicle on its right and entered the intersection; Martineau did not observe the traffic signal until he was almost at the intersection; exercising reasonable care, Martineau could have brought his vehicle to a stop at the intersection; Martineau entered the intersection as the traffic signals governing all directions of travel were red; and Martineau passed another vehicle on the right when it was unsafe to do so, failed to yield the right-of-way under ss. 128(1), 129(1) and 174 of the Act, and proceeded into the intersection without due care and attention contrary to s. 144(1)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Baldwin asserts that when the light changed to red, he was, despite the visual obstruction facing him, entitled to assume that all oncoming traffic had or would obey the rules of the road and come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Baldwin places particular reliance on: </w:t>
      </w:r>
      <w:r>
        <w:rPr>
          <w:rFonts w:ascii="arial" w:eastAsia="arial" w:hAnsi="arial" w:cs="arial"/>
          <w:i/>
          <w:color w:val="000000"/>
          <w:sz w:val="20"/>
          <w:lang w:val="en-US" w:eastAsia="en-US" w:bidi="ar-SA"/>
        </w:rPr>
        <w:t>Morgan v. Hauck</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(1988), 27 B.C.L.R. (2d) 118</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Frankson v. Myre</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2008 BCSC 795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Ruscheinski v. Biln</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2011 BCSC 1263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All these authorities involve motor vehicle accidents between through and left-turning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Frankson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the through driver was found to have proceeded through the intersection against a red light. In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Ruscheinski</w:t>
      </w:r>
      <w:r>
        <w:rPr>
          <w:rFonts w:ascii="arial" w:eastAsia="arial" w:hAnsi="arial" w:cs="arial"/>
          <w:color w:val="000000"/>
          <w:sz w:val="20"/>
          <w:lang w:val="en-US" w:eastAsia="en-US" w:bidi="ar-SA"/>
        </w:rPr>
        <w:t>, the court found that after the light turned yellow, the through driver had ample time to stop in safety before entering the intersection as other drivers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the basis of these authorities, Baldwin asserts that a left-turning driver who has complied with their statutory and common law duties is entitled to assume that other drivers will obey the rules of the road. In the circumstances of this case, Baldwin asserts that when the light turned red and he commenced his left turn, he was the dominant driver and Martineau was the servient driver who had an obligation to yield to him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Findings of Fact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 number of factors have negatively influenced my assessment of Baldwin's credibility, and undermined the reliability of his testimony and the faith I can have in it. For example:</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 testified at trial they were not trying to catch a particular ferry to the Sunshine Coast and were not in a hurry. On examination for discovery, he testified that "we missed the ferry we were going for so we had to sit and wait a little bit...";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 testified at trial there was at least one large truck facing him in the southbound center lane waiting to turn left to go east on East 12th Avenue. On examination for discovery, Baldwin testified that he thought there were two cars (not trucks) stopped at the intersection waiting to turn left on Fraser to go east on East 12th Avenue. Baldwin, who was present in court for the testimony of Boyd, explained that his memory was refreshed by hearing Boyd's testimony that the vehicle facing them and turning left was a large truck. I am skeptical of Baldwin's contention that his memory of events, close to five years after the accident, was refreshed by hearing Boyd's account;</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Baldwin's recollection of the location of the larger left-turning vehicle facing him in the intersection evolved over the course of the trial to such an extent that it affects my assessment of his credibility, and the reliability of his account;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 testified at trial that he initially stopped in the crosswalk on the south side of the intersection and did not proceed into the intersection until the light turned yellow. On examination for discovery, Baldwin testified that he pulled directly into the intersection and waited for the light to turn yellow;</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 testified at trial that the light switched to red before he commenced his left turn. On examination for discovery, Baldwin generally maintained that position but also gave this evidence: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you're saying that you never actually began your final turn until the light went red, is that it, or was it still yellow?</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my recollection -- by what I think, I can't be exact, but I wouldn't have proceeded through unless it was red, because that's my normal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asked in cross-examination if he was relying on his usual practices, Baldwin insisted he was not, and that the light had switched to red when he turned left. When asked in cross-examination why he had given this evidence on examination for discovery if he was certain he did not turn until the light was red, Baldwin replied that the discovery occurred three years after the accident and he could not remember. That being the case, there is little reason for the Court to believe that two years after the examination for discovery, and five years after the accident, Baldwin now has a clear and exact recollection of the colour of the light when he turned -- a recollection he did not have on examination for discovery;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if he told the police he turned on a yellow light, Baldwin replied, "No. I don't think so";</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it most unlikely that if Baldwin had the clear recollection he purported to have at trial (that he turned only after the light switch to red) he would not have answered the questions posed in the previous two bullets in the way he did. The cross-examination of Baldwin on these two points undermines my assessment of the reliability of his trial testimony;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cannot accept Baldwin's evidence (even though it is confirmed by Boyd to some extent) that Martineau was travelling well above the speed limit, at least 70 km/h when he entered the intersection. The reality is Baldwin had no opportunity to assess the speed of Martineau's vehicle. I would say the same about Boyd. Martineau's vehicle was upon them before either Baldwin or Boyd even saw it. That Baldwin was prepared to give this evidence undermines his credibility and the reliability of his evidence because it suggests a willingness on his part to attribute conduct to Martineau (speeding) that would shift blame away from himself and onto Martineau. This evidence is also inconsistent with the fact that Martineau was able to bring his vehicle to a complete stop in something less than the span of the intersection;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Baldwin's evidence that when he turned left he had "just barely got going" and travelled only about 5 to 10 feet to the point of impact is difficult to reconcile with his evidence that when he braked upon seeing Martineau's vehicle coming into the intersection, he left a foot-long skid mark. The skid mark Baldwin says his vehicle left on the road is more consistent with rapid acceleration and an abrupt stop than it is with the version of events Baldwin gave at trial. It is more consistent with Martineau's evidence that Baldwin accelerated quickly into the turn and then braked hard when he saw Martineau's vehicle. It is also more consistent with Boyd's version of events that Baldwin entered the intersection when the light turned yellow and turned left without stopping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accept Boyd was being truthful at trial when she testified she could not say whether the light was yellow or red when Baldwin turned left. However, the fact that she repeatedly testified on examination for discovery that the light was red when Baldwin turned left undermines her credibility and the reliability of her account on other issues, including the speed at which Martineau was travelling when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When Boyd was being cross-examined at trial by Baldwin's counsel on the evidence she gave in examination for discovery regarding the colour of the light when Baldwin turned left, I expressed the view that Boyd had not, in law, "adopted" the evidence she gave on examination for discovery and that it was, as a consequence, not admissible for its truth. I took this position because Boyd, despite the evidence she gave on examination for discovery, repeatedly testified at trial she has no current recollection as to the colour of the light when Baldwin turned left, and no current recollection that the light was red when Baldwin made that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for Baldwin did not contest the Court's preliminary assessment of the limited use to which Boyd's evidence given on examination for discovery could be 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Nevertheless, Baldwin's counsel submitted in closing argument that Baldwin's evidence that the light was red when he turned left is confirmed by the evidence of Boyd, who was said to have adopted the evidence she gave on this point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With respect, I cannot agree with the position counsel for Baldwin advanced in closing argument. In my view, Boyd cannot be said to have adopted the evidence she gave on examination for discovery, and that evidence is not admissible for its truth. In coming to this conclusion, I rely on </w:t>
      </w:r>
      <w:r>
        <w:rPr>
          <w:rFonts w:ascii="arial" w:eastAsia="arial" w:hAnsi="arial" w:cs="arial"/>
          <w:i/>
          <w:color w:val="000000"/>
          <w:sz w:val="20"/>
          <w:lang w:val="en-US" w:eastAsia="en-US" w:bidi="ar-SA"/>
        </w:rPr>
        <w:t>R. v. Kelly</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2011 ONCA 549</w:t>
        </w:r>
      </w:hyperlink>
      <w:r>
        <w:rPr>
          <w:rFonts w:ascii="arial" w:eastAsia="arial" w:hAnsi="arial" w:cs="arial"/>
          <w:color w:val="000000"/>
          <w:sz w:val="20"/>
          <w:lang w:val="en-US" w:eastAsia="en-US" w:bidi="ar-SA"/>
        </w:rPr>
        <w:t xml:space="preserve">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prevailing authority a witness cannot adopt a prior inconsistent statement unless that witness has a present recollection of the events referred to in the statement and can attest to the accuracy of the statement based on a present recollection of those events. A witness who has no present recollection of the events but insists that the statement was true because, for example, she would not lie to the police, has not adopted the prior statement and subject to some other rule of evidence, the prior statement is not admissible for its truth: see </w:t>
      </w:r>
      <w:r>
        <w:rPr>
          <w:rFonts w:ascii="arial" w:eastAsia="arial" w:hAnsi="arial" w:cs="arial"/>
          <w:i/>
          <w:color w:val="000000"/>
          <w:sz w:val="20"/>
          <w:lang w:val="en-US" w:eastAsia="en-US" w:bidi="ar-SA"/>
        </w:rPr>
        <w:t>R. v. Toten</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(1993), 83 C.C.C. (3d) 5</w:t>
        </w:r>
      </w:hyperlink>
      <w:r>
        <w:rPr>
          <w:rFonts w:ascii="arial" w:eastAsia="arial" w:hAnsi="arial" w:cs="arial"/>
          <w:color w:val="000000"/>
          <w:sz w:val="20"/>
          <w:lang w:val="en-US" w:eastAsia="en-US" w:bidi="ar-SA"/>
        </w:rPr>
        <w:t xml:space="preserve">, at p. 23 (Ont. C.A.); </w:t>
      </w:r>
      <w:r>
        <w:rPr>
          <w:rFonts w:ascii="arial" w:eastAsia="arial" w:hAnsi="arial" w:cs="arial"/>
          <w:i/>
          <w:color w:val="000000"/>
          <w:sz w:val="20"/>
          <w:lang w:val="en-US" w:eastAsia="en-US" w:bidi="ar-SA"/>
        </w:rPr>
        <w:t>R. v. McCarroll</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(2008), 238 C.C.C. (3d) 404</w:t>
        </w:r>
      </w:hyperlink>
      <w:r>
        <w:rPr>
          <w:rFonts w:ascii="arial" w:eastAsia="arial" w:hAnsi="arial" w:cs="arial"/>
          <w:color w:val="000000"/>
          <w:sz w:val="20"/>
          <w:lang w:val="en-US" w:eastAsia="en-US" w:bidi="ar-SA"/>
        </w:rPr>
        <w:t>, at paras. 38-39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Given Boyd's clear evidence at trial that she has no present recollection as to whether the light was yellow or red when Baldwin turned, it cannot be said that she adopted the evidence she gave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are fewer factors that negatively impact my assessment of the credibility of Martineau and the reliability of his evidence. As noted earlier, Martineau testified on examination for discovery that the truck turning left in the center southbound lane had a rack on top of it - something he did not mention at trial. Counsel for Baldwin submits that Martineau adopted the evidence he gave on examination for discovery on this point. Again, I cannot agree. Martineau testified he has no current recollection of the truck having a rack on top of its canopy. Counsel for Baldwin's argument that the rack may have further obstructed Martineau's sight line as he approached the intersection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Further, while counsel for Baldwin suggested that Martineau's vision may have been impaired by the setting sun, the submission is also a speculative one with no basis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for Baldwin submits that I should understand Martineau's evidence at trial to be that he did not notice the colour of the light at all until he was immediately behind the truck turning left from the southbound center lane, or about 20 feet from the intersection. The submission rests on what I consider to be a literal interpretation of an isolated portion of Martineau's evidence - one not borne out by his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Martineau's recollection of events was more detailed than that given by Baldwin and more consistent with the evidence as a whole. On the whole of his evidence, I am satisfied Martineau knew the light was green as he travelled towards the intersection well before he was at the pedestrian crosswalk immediately to the north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Martineau was not shaken in his evidence that, when the light turned yellow, he was entering the pedestrian crosswalk and was at the back of the southbound truck in the center lane that was turning left. Martineau's evidence that the light was yellow is supported by the body of evidence that the left-turning truck in the southbound center lane was still in the intersection facing Baldwin and waiting to turn left to go east on East 12th Avenue when Baldwin turned left to go west on East 12th Avenue. Had the light either been late into its yellow phase or red before Baldwin commenced his turn, it is very unlikely that the truck facing Baldwin would still have been in the intersection in the position described by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mindful of Martineau's evidence that "one to two seconds, tops" elapsed between the light changing to yellow and the collision. If this is a fair estimate, Martineau would likely have been farther back from the intersection than the pedestrian crosswalk when the light changed to yellow. Assuming a speed of 40 km/h and a one-second interval between these two events, Martineau would have been 36.5 feet from the point of the collision when the light turned yellow. Assuming a speed of 40 km/h and a two-second interval between these two events, Martineau would have been 73 feet from the point of the collision when the light turned yellow. Assuming a speed of 45 km/h and a one-second interval between these two events, Martineau would have been 41 feet from the point of collision when the light turned yellow. Assuming a speed of 45 km/h and a two-second interval between these two events, Martineau would have been 82 feet from the point of collision when the light turned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Having said this, human experience suggests that witnesses have an easier time describing their position at a particular point in time by reference to context; in other words, by describing where they were in relation to other things. Generally speaking, witnesses have a more difficult time estimating the seconds that may have passed in describing a traumatic event. The point is illustrated by the evidence in this case. Martineau was unshaken in cross-examination about where he was in relation to the southbound truck turning left when the light turned yellow. While Martineau testified in chief that he was "one to two seconds, tops" from the intersection when the light turned yellow, in cross-examination he acknowledged that accurately translating his experience of events into seconds was an exercise in guesswork.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Martineau's proximity to the intersection when Baldwin turned left is confirmed by the following evidence: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Baldwin's vehicle was struck almost immediately upon entering the southbound curb lane;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Boyd did not see the Martineau vehicle until it was colliding with Baldwin's vehicle;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nose of Baldwin's vehicle had only reached the midpoint of the curb lane before impact. The vehicle was not perpendicular to Martineau's vehicle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of Cornish simply confirms, in my view, the presence of the southbound, left-turning vehicle in the intersection that was facing Baldwin as Baldwin commenced his turn to proceed west on East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Taking all of these considerations into account, I make these factual findings: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was early into its yellow phase when Baldwin turned left into Martineau's path;</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Baldwin's vision of oncoming traffic was obstructed by the truck immediately opposite him that was waiting to turn left to go eastbound on East 12th Avenue;</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 did not, as a consequence of the visual obstruction created by this truck, see Martineau approaching the intersection in the southbound curb lane when he commenced his turn;</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 commenced his turn when it was unsafe for him to do so;</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fact that Baldwin's vision was obstructed, he proceeded quickly with his left turn shortly after the light switched to yellow and braked hard when he saw Martineau's approaching vehicle, causing his tires to screech and leave a skid mark on the road before he came to a stop part way through the southbound curb lane;</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Martineau approached the intersection at or below the speed limit. His evidence on this point is confirmed by the fact that he was able to bring his vehicle to a stop a short distance after taking evasive action in the middle of the intersection to avoid a head-on collision with Baldwin;</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Martineau did not accelerate or decelerate before entering the intersection;</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Martineau first saw Baldwin's vehicle, it was moving in the intersection but going straight; it was not yet turning left;</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Martineau had no reason to believe that the Baldwin was going to turn left early into the yellow light until he did so;</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facts as I have found them, Martineau was entitled to assume that Baldwin would yield the intersection to him;</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Martineau was very close to the intersection when the light turned yellow and, exercising reasonable care, could not have brought his vehicle to a safe stop before the intersection;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Martineau was, when the light turned yellow, an immediate (but unobserved) hazard;</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Martineau was the dominant driver when he entered the intersection; and,</w:t>
      </w:r>
    </w:p>
    <w:p>
      <w:pPr>
        <w:numPr>
          <w:numId w:val="5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Baldwin proceeded with his turn, Martineau's options were limited: he could stay in his lane and brake hard in order to reduce the force of the head-on impact, or steer sharply to the right to avoid the impact, and brake hard after being clear of it. He chose the latter course. I cannot fault him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light of these findings, Baldwin is entirely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action against Martineau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Counsel for Martineau seeks a further order that the costs of the plaintiff incurred in connection with this trial be borne by the defendant, Baldwin. Martineau seeks this further order as a consequence of Baldwin's refusal to admit prior to the trial that Boyd bore no responsibility for the accident - an admission made by Martineau. Martineau submits that the involvement of Boyd's counsel at trial would have been unnecessary had Baldwin made this reasonable admission in advance of the trial. I agree with the position of Martineau's counsel on this point and order that the costs of the plaintiff in connection with the trial be borne by Baldwin.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G.J. FITCH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Bystedt (Guardian ad litem of) v. Hay, [2003] B.C.J. No. 779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and March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S050592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779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520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214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Morgan Beverly Bystedt by her Guardian ad litem, Wylie Melissa Bystedt, plaintiffs, and Richard Creighton Hay,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20"/>
      <w:bookmarkEnd w:id="181"/>
      <w:r>
        <w:rPr>
          <w:rFonts w:ascii="arial" w:eastAsia="arial" w:hAnsi="arial" w:cs="arial"/>
          <w:b/>
          <w:color w:val="000000"/>
          <w:sz w:val="20"/>
          <w:lang w:val="en-US" w:eastAsia="en-US" w:bidi="ar-SA"/>
        </w:rPr>
        <w:t>Damages — General damages — General damages for personal injury — Discount or capitalization rate and present value of future payments — Management of fund fee (investment counselling) — Practice — Costs — Party and party costs — Entitlement to party and party costs — Successful party, exceptions.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18"/>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Bystedt, for calculation of the present value multiplier of a future care award and for calculation of management fees for the fund. The defendant doctor, Thiessen, applied for costs. Bystedt, an infant, was awarded damages against the defendant doctor, Hay, as a result of a finding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 claims against Thiessen were dismissed at the conclusion of Bystedt's case. The award of damages included a sum for Bystedt's cost of future care and attendant care for the duration of her 25-year life expectancy. Bystedt argued for the survival probability approach to the present value calculation, claiming that it was more appropriate because of the lack of certainty as to how she would spend her money post-judgment and as to how long she would actually live. Hay argued for the excess death rate approach on the basis that it assumed annual withdrawals that more closely reflected Bystedt's future care needs. Bystedt argued that non-pecuniary damages, court costs and legal fees should not be deducted from the investment fund when calculating the management fee. Hay argued that those amounts should be deducted, as they did not reflect awards for future losses. Bystedt argued that Thiessen should not be awarded costs because he was a witness for another defendant such that his participation in the action and his attendance at trial were necessary in any event.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16"/>
            <w:bookmarkEnd w:id="183"/>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approaches relied on accepted actuarial principles and had validity. However, the flat or constant morality rate assumption of the excess death rate approach more closely reflected Bystedt's anticipated future care and attendant care costs. The assumed withdrawal patterns were therefore likely to be more accurate. Based on the current authorities, management fees were to be calculated on an investment fund that reflected Bystedt's future pecuniary loss. Accordingly, the fees were to be calculated on a fund that did not include non-pecuniary damages or court costs. There was no basis to deviate from the general rule for costs. Thiessen was entitled to his costs for successfully having the claims against him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Counsel_25"/>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 Harding and J. Prodor, for the plaintiff. C.E. Hinkson, Q.C. and K.J. Jakeman,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5"/>
      <w:bookmarkEnd w:id="185"/>
      <w:r>
        <w:pict>
          <v:line id="_x0000_s1144" style="position:absolute;z-index:2517872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REASONS FOR JUDGMENT ON OUTSTANDING ISSUES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D.M. SMITH J."/>
            <w:bookmarkEnd w:id="186"/>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parties seek ancillary orders following reasons for judgment in which the infant plaintiff, Morgan Beverly Bystedt, was awarded damages as a result of a finding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Dr. Hay at the time of Morgan's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Before the commencement of the trial claims against all but two defendants had, by consent, been dismissed without costs. At the conclusion of the plaintiff's case the claims against the defendant Dr. Thiessen were non-suited. He now seeks an order for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award of damages included a sum for Morgan's cost of future care and attendant care for the duration of the period of her 25 year life expectancy. This application addresses the calculation of the present value multiplier for that future care award. It also seeks a calculation of management fees for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agree that a tax gross-up award, in the circumstances of this case, is unnecessary. Any award would be negligible in view of Morgan's current age of 10 years and her life expectancy of only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conclusion of the trial, the plaintiff was awarded increased costs at 50% of special costs. Special costs have yet to be determined and will be addressed following an application for approval of plaintiff's counsels' legal account. In that regard, the Practice Direction dated October 13, 1998,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judgment is recovered by an infant at trial and where the total amount for legal fees including disbursements, to be deducted from the award exceeds $10,000 (and where the matter is not dealt with at trial), application for approval of the proposed legal fees to be charged must be heard by the trial judge, if available. The trial judge will determine whether the matter will proceed by way of oral hearing or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summary, the issues to be determined in this application include the defendant Thiessen's claim for costs, the present value of Morgan's cost of future care and attendant care, and the appropriate sum for management fees.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 Thiessen's Claim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Rule 57(9)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provides that costs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plaintiff submits the court should not award Dr. Thiessen his costs because he was a witness for the defendant and therefore his participation in the action and his attendance at trial was necessary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 claim against a party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serious allegation. It requires that party to instruct counsel for the purpose of preparing pleadings, to attend at pre-trial discovery procedures, and to testify at trial as a party to the action. There are consequences for a party found liable on a claim, as there are for a party who elects to pursue a claim to trial. One of those is a successful party's entitlement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case, I am of the view that there is no basis upon which the court should deviate from the general rule for costs. The defendant Dr. Thiessen is entitled to his costs for successfully having the plaintiff's claims against him dismissed. Accordingly, he is awarded costs at Scale 3.</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Value of the Cost of Future Care and Attendant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Law and Equity Regulation, </w:t>
      </w:r>
      <w:hyperlink r:id="rId609" w:history="1">
        <w:r>
          <w:rPr>
            <w:rFonts w:ascii="arial" w:eastAsia="arial" w:hAnsi="arial" w:cs="arial"/>
            <w:i/>
            <w:color w:val="0077CC"/>
            <w:sz w:val="20"/>
            <w:u w:val="single"/>
            <w:shd w:val="clear" w:color="auto" w:fill="FFFFFF"/>
            <w:lang w:val="en-US" w:eastAsia="en-US" w:bidi="ar-SA"/>
          </w:rPr>
          <w:t>B.C. Reg. 352/81</w:t>
        </w:r>
      </w:hyperlink>
      <w:r>
        <w:rPr>
          <w:rFonts w:ascii="arial" w:eastAsia="arial" w:hAnsi="arial" w:cs="arial"/>
          <w:color w:val="000000"/>
          <w:sz w:val="20"/>
          <w:lang w:val="en-US" w:eastAsia="en-US" w:bidi="ar-SA"/>
        </w:rPr>
        <w:t xml:space="preserve">, made pursuant to s. 56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mandates the use of a discount rate for all awards for future pecuniary loss. The rate for non-wage items is 3.5%. Future losses are usually awarded in a lump sum. However, an award must be "discounted" to its present value in order to accurately compensate a plaintiff for a loss or expense that will occur some time in the future. Failure to do this would result in a plaintiff being overcompensated.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rationale for "discounting" future care awards was summarized by Finch C.J.B.C. in Townsend v. Kroppmanns </w:t>
      </w:r>
      <w:hyperlink r:id="rId610" w:history="1">
        <w:r>
          <w:rPr>
            <w:rFonts w:ascii="arial" w:eastAsia="arial" w:hAnsi="arial" w:cs="arial"/>
            <w:i/>
            <w:color w:val="0077CC"/>
            <w:sz w:val="20"/>
            <w:u w:val="single"/>
            <w:shd w:val="clear" w:color="auto" w:fill="FFFFFF"/>
            <w:lang w:val="en-US" w:eastAsia="en-US" w:bidi="ar-SA"/>
          </w:rPr>
          <w:t>(2002), 2 B.C.L.R. (4th) 10</w:t>
        </w:r>
      </w:hyperlink>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2002 BCCA 365</w:t>
        </w:r>
      </w:hyperlink>
      <w:r>
        <w:rPr>
          <w:rFonts w:ascii="arial" w:eastAsia="arial" w:hAnsi="arial" w:cs="arial"/>
          <w:color w:val="000000"/>
          <w:sz w:val="20"/>
          <w:lang w:val="en-US" w:eastAsia="en-US" w:bidi="ar-SA"/>
        </w:rPr>
        <w:t xml:space="preserve">, leave to appeal granted, </w:t>
      </w:r>
      <w:hyperlink r:id="rId611" w:history="1">
        <w:r>
          <w:rPr>
            <w:rFonts w:ascii="arial" w:eastAsia="arial" w:hAnsi="arial" w:cs="arial"/>
            <w:i/>
            <w:color w:val="0077CC"/>
            <w:sz w:val="20"/>
            <w:u w:val="single"/>
            <w:shd w:val="clear" w:color="auto" w:fill="FFFFFF"/>
            <w:lang w:val="en-US" w:eastAsia="en-US" w:bidi="ar-SA"/>
          </w:rPr>
          <w:t>[2002] S.C.C.A. No. 339</w:t>
        </w:r>
      </w:hyperlink>
      <w:r>
        <w:rPr>
          <w:rFonts w:ascii="arial" w:eastAsia="arial" w:hAnsi="arial" w:cs="arial"/>
          <w:color w:val="000000"/>
          <w:sz w:val="20"/>
          <w:lang w:val="en-US" w:eastAsia="en-US" w:bidi="ar-SA"/>
        </w:rPr>
        <w:t>,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1978 damage awards for seriously injured plaintiffs have been broken down into their various components including non-pecuniary damages, past loss of income, loss of capacity to earn income in the future and cost of future care. The award for cost of future care is usually based on evidence as to various anticipated costs of providing adequate care for the injured plaintiff over the course of her lifetime. The costs will not be incurred until dates or times in the future, but the law allows a one-time lump sum award to be made at the conclusion of the trial. That lump sum amount is determined by "capitalizing" the future costs. Because the lump sum can earn interest for the plaintiff, the law recognizes that the present amount required to provide for future care will be less than the sum of all future care costs. Expert opinion evidence has therefore been admitted to reduce those future costs to a present lump sum amount. (Andrews v. Grand &amp; Toy Alberta Ltd., </w:t>
      </w:r>
      <w:hyperlink r:id="rId2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(S.C.C.), Teno v. Arnold, </w:t>
      </w:r>
      <w:hyperlink r:id="rId612"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issue in determining the present value of Morgan's cost of future care and attendant care award is the preferred actuarial method of calculating the discount rate. While counsel for each of the parties led actuarial opinion evidence on the preferred method, it must not be forgotten that this issue is merely one aspect of the assessment of Morgan's damages claim. These assessments have been described by appellate authorities as "informed" or "best estimates" and not precise mathematical or statistical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turn to a review of the actuarial evidence.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Mortality Ratio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the plaintiff, Mr. Aldridge of Economica Ltd. relied on the "Mortality Ratio" or "survival probability" approach which resulted in a present value calculation of $1,418,693. This method takes into account the probability of Morgan surviving to receive each payment for the duration of her reduced life expectancy of 25 years (approximately 15 years from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Aldridge took the statistical mortality rates from the Canada Life Tables (based on the life expectancy of a normal child) and scaled them upward by a constant factor applied on a multiplicative basis to take into account Morgan's reduced life expectancy of 25 years. He calculated Morgan's survival probabilities by incorporating an "increased chance of death" factor for each future year of her life. That calculation extended Morgan's "mortality risk curve" to beyond her life expectancy (to about age 34). It also resulted in low mortality rates for Morgan's early years post trial because the standard mortality rates for a normal child of her age are low. The mortality rates increase dramatically toward the end of her life expectancy and are assumed to balance out the earlier low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consequence of this mortality risk curve is an adjustment downwards in the early years post trial of the costs of Morgan's care needs in order to reflect the assumed reduced mortality risk. This assumption in turn attracts smaller assumed annual withdrawals during that period. A larger fund balance in the early years results in a higher level of investment income. As Morgan's mortality risk increases over her life expectancy, so do the annual withdrawal payments for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plaintiff submits the probabilistic approach is more appropriate because one cannot say with certainty how Morgan will spend her money post-judgment, or indeed how long she will actually live.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Excess Death Rate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the defendant, Mr. Hildebrand of Columbia Pacific Consulting adopted the "Excess Death Rate" method which resulted in a present value of $1,282,457. This method adds a constant excess mortality rate that is evenly distributed over statistical or conventional mortality rates for the period of Morgan's life expectancy. In calculating the excess mortality rate, Mr. Hildebrand assumed Morgan was a severely compromised infant and would have a higher mortality rate than a normal child reflected in the Canada Life Tables. Like Mr. Aldridge, Mr. Hildebrand applied the Excess Death Rate method to standard mortality rates which similarly resulted in an extension of Morgan's mortality curve to beyond her reduced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mortality risk curve created by this approach assumes a flat and more constant mortality factor over the course of Morgan's life expectancy. That, in turn, results in a constant and fixed assumed withdrawal pattern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defendant submits the Excess Death Rate approach should be followed because it assumes annual withdrawals that more closely reflect Morgan's future care needs as established at trial.</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a difference of $136,236 in the calculations under the two approaches. That difference is caused by the way in which the statistical mortality rates are used, which in turn creates different "mortality curves" and different assumptions about annual withdrawal patterns from the fund. In short, the assumptions employed in each of the two approaches affect how quickly the future care fund is notionally exhausted and, therefore, the size of fund needed, at present, to meet Morgan's future care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Excess Death Rate approach has been adopted by this court in two earlier decisions: Sammartino (Guardian ad litem of) v. Hiebert, </w:t>
      </w:r>
      <w:hyperlink r:id="rId613" w:history="1">
        <w:r>
          <w:rPr>
            <w:rFonts w:ascii="arial" w:eastAsia="arial" w:hAnsi="arial" w:cs="arial"/>
            <w:i/>
            <w:color w:val="0077CC"/>
            <w:sz w:val="20"/>
            <w:u w:val="single"/>
            <w:shd w:val="clear" w:color="auto" w:fill="FFFFFF"/>
            <w:lang w:val="en-US" w:eastAsia="en-US" w:bidi="ar-SA"/>
          </w:rPr>
          <w:t>[1996] B.C.J. No. 2650</w:t>
        </w:r>
      </w:hyperlink>
      <w:r>
        <w:rPr>
          <w:rFonts w:ascii="arial" w:eastAsia="arial" w:hAnsi="arial" w:cs="arial"/>
          <w:color w:val="000000"/>
          <w:sz w:val="20"/>
          <w:lang w:val="en-US" w:eastAsia="en-US" w:bidi="ar-SA"/>
        </w:rPr>
        <w:t xml:space="preserve"> (S.C.), at para. 17; and, Lee v. Richmond Hospital Society </w:t>
      </w:r>
      <w:hyperlink r:id="rId614" w:history="1">
        <w:r>
          <w:rPr>
            <w:rFonts w:ascii="arial" w:eastAsia="arial" w:hAnsi="arial" w:cs="arial"/>
            <w:i/>
            <w:color w:val="0077CC"/>
            <w:sz w:val="20"/>
            <w:u w:val="single"/>
            <w:shd w:val="clear" w:color="auto" w:fill="FFFFFF"/>
            <w:lang w:val="en-US" w:eastAsia="en-US" w:bidi="ar-SA"/>
          </w:rPr>
          <w:t>(2002), 3 B.C.L.R. (4th) 91</w:t>
        </w:r>
      </w:hyperlink>
      <w:r>
        <w:rPr>
          <w:rFonts w:ascii="arial" w:eastAsia="arial" w:hAnsi="arial" w:cs="arial"/>
          <w:color w:val="000000"/>
          <w:sz w:val="20"/>
          <w:lang w:val="en-US" w:eastAsia="en-US" w:bidi="ar-SA"/>
        </w:rPr>
        <w:t xml:space="preserve"> (S.C.). Lee is under appeal and I understand one of the issues to be addressed in the appeal is the preferred actuarial method for calculating the present value multiplier.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Lee, Wong J. followed Sammartino. He preferred the Excess Death Rate approach because, in his view, it considered the actual annual amounts required to be withdrawn for care as compared to the probabilistic approach which assumed withdrawals from the fund that were more closely aligned to a conventional mortality risk period. (paras. 11, 14 &amp;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approaches rely on accepted actuarial principles and have validity. Both involve assumptions regarding future fund withdrawal patterns that cannot be confirmed until after Morgan's death. Until the Court of Appeal addresses this issue, I have concluded that I must follow the earlier decisions that have adopted the Excess Death Rate approach. I also concur with the comments of Wong J. in Lee, namely, that the flat or constant mortality rate assumption more closely reflects Morgan's anticipated future care and attendant care costs and, therefore, the assumed withdrawal patterns are likely to be more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result, I conclude that Morgan's future care and attendant costs have a present value of $1,282,457.</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criteria to apply in deciding whether to award management fees are noted in Mandzuk v. Vieira, </w:t>
      </w:r>
      <w:hyperlink r:id="rId615" w:history="1">
        <w:r>
          <w:rPr>
            <w:rFonts w:ascii="arial" w:eastAsia="arial" w:hAnsi="arial" w:cs="arial"/>
            <w:i/>
            <w:color w:val="0077CC"/>
            <w:sz w:val="20"/>
            <w:u w:val="single"/>
            <w:shd w:val="clear" w:color="auto" w:fill="FFFFFF"/>
            <w:lang w:val="en-US" w:eastAsia="en-US" w:bidi="ar-SA"/>
          </w:rPr>
          <w:t>[1988] 2 S.C.R. 650</w:t>
        </w:r>
      </w:hyperlink>
      <w:r>
        <w:rPr>
          <w:rFonts w:ascii="arial" w:eastAsia="arial" w:hAnsi="arial" w:cs="arial"/>
          <w:color w:val="000000"/>
          <w:sz w:val="20"/>
          <w:lang w:val="en-US" w:eastAsia="en-US" w:bidi="ar-SA"/>
        </w:rPr>
        <w:t>, at 651:</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assistance is necessary;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investment advice is necessary in the circumstances;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evidence of the cost of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Law Reform Commission Report of January, 1994, recommended a four-level classification. Level 4 is the highest level and is described in the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require full investment management services on a continuous basis, including custody of the fund, accounting, and discretionary responsibility for making and carrying out investment decisions. Such a plaintiff is likely to be mentally incapacitated or otherwise incapable of managing personal financial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All three criteria in Mandzuk are applicable to Morgan's circumstances. Management fees are paid to plaintiffs who do not have the capacity or acumen to properly invest a large sum of money provided for their future care. Morgan is severely disabled and will need Level 4 services to ensure her future care award is properly managed in order to last her for the remaining 15 years of her life expectancy. As well, both parties adduced evidence of the costs for investment fund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Aldridge, on Morgan's behalf, recommended a management fee of $304,449 to $363,538. Mr. Hildebrand, for the defendant, submitted an award of $79,200 as appropriate. The difference between the two amounts is significant and arises as a result of the following issues: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investment fund should include non-pecuniary damages, court costs and legal fees;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appropriate type of investment management and advice and the consequent fee schedule;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should assume a higher excess return rate than the mandated 3.5% and, if so, should it discount the estimated management fees;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assumptions regarding the withdrawal patterns from the fund should be based on the probabilistic approach or the life certain approach.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and Court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size of the investment fund will affect the size of the management fee. The larger the fund, the higher the fee. Generally, fees are charged as a percentage of the fund size and the percentage rate usually changes relative to the size of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the plaintiff submits that non-pecuniary damages, court costs and legal fees should not be deducted from the investment fund when calculating the management fee. Counsel for the defendant submits those amounts should be deducted as they do not reflect awards for 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Historically, courts have calculated management fees only with reference to the award for future financial loss. The rationale for this approach was addressed at some length by Bouck J. in Lewthwaite v. Godin, </w:t>
      </w:r>
      <w:hyperlink r:id="rId616" w:history="1">
        <w:r>
          <w:rPr>
            <w:rFonts w:ascii="arial" w:eastAsia="arial" w:hAnsi="arial" w:cs="arial"/>
            <w:i/>
            <w:color w:val="0077CC"/>
            <w:sz w:val="20"/>
            <w:u w:val="single"/>
            <w:shd w:val="clear" w:color="auto" w:fill="FFFFFF"/>
            <w:lang w:val="en-US" w:eastAsia="en-US" w:bidi="ar-SA"/>
          </w:rPr>
          <w:t>[1984] B.C.J. No 2938</w:t>
        </w:r>
      </w:hyperlink>
      <w:r>
        <w:rPr>
          <w:rFonts w:ascii="arial" w:eastAsia="arial" w:hAnsi="arial" w:cs="arial"/>
          <w:color w:val="000000"/>
          <w:sz w:val="20"/>
          <w:lang w:val="en-US" w:eastAsia="en-US" w:bidi="ar-SA"/>
        </w:rPr>
        <w:t xml:space="preserve"> (S.C.), at paras. 21-23: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an award to compensate an injured plaintiff for the anticipated expenses he will incur by way of investment management fee should be confined to a consideration of the amount given with respect to his future loss. If there is no future loss, either by way of cost of future care or loss of future income, there can be no management fee. The reason for this is relatively simple. Future loss claims are based upon the plaintiff recovering compensation from a diminishing fund. It is anticipated he will invest the money and get back a certain rate of return. From time to time he may sell off securities to pay for the cost of his care or to produce the income he needs. It is presumed he will be wise enough to make the correct investments so that the fund will earn the sums contemplated in the judgment. At the end of the relevant period the fund will be exhausted. If a mistake is made during the investment process, the amount the plaintiff is supposed to recover may be diminished.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damages for pain, injury, suffering and loss of enjoyment of life and past loss of income are not predicated on any sort of actuarial basis. As for pain and suffering, the award mostly involves discomfort suffered from the date of the injury to the date of trial although there is frequently an ingredient of pain, suffering and loss of amenities from the date of trial into the future. Damages for past loss of income represent an amount due the plaintiff to the time of the trial. Neither have anything to do with the prospective loss, or a diminishing fund based upon actuarial evidence. Therefore, the law does not anticipate the plaintiff should have the use of this money over any future period. He may spend it at once, or invest it in perpetuity. The option is entirely up to him and the award is made on that understanding.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these reasons, a management fee is only an item of damages applicable to a plaintiff's future financial loss. If he has to pay an investment consultant a fee to help manage the fund, then he will not be getting all the money anticipated by the actuarial calculations. He should not be out of pocket for the costs he incurs in managing that part of the award since it is intended to provide complete compensation over a future period of time. It is the defendant who must pay all the reasonable expenses in order to put the plaintiff in as good a position as he was before the accident so far as money can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This decision was affirmed on appeal (see Lewthwaite v. Godin, </w:t>
      </w:r>
      <w:hyperlink r:id="rId617" w:history="1">
        <w:r>
          <w:rPr>
            <w:rFonts w:ascii="arial" w:eastAsia="arial" w:hAnsi="arial" w:cs="arial"/>
            <w:i/>
            <w:color w:val="0077CC"/>
            <w:sz w:val="20"/>
            <w:u w:val="single"/>
            <w:shd w:val="clear" w:color="auto" w:fill="FFFFFF"/>
            <w:lang w:val="en-US" w:eastAsia="en-US" w:bidi="ar-SA"/>
          </w:rPr>
          <w:t>[1986] B.C.J. No. 370</w:t>
        </w:r>
      </w:hyperlink>
      <w:r>
        <w:rPr>
          <w:rFonts w:ascii="arial" w:eastAsia="arial" w:hAnsi="arial" w:cs="arial"/>
          <w:color w:val="000000"/>
          <w:sz w:val="20"/>
          <w:lang w:val="en-US" w:eastAsia="en-US" w:bidi="ar-SA"/>
        </w:rPr>
        <w:t xml:space="preserve"> (C.A.)), although the question of management fees was not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Court of Appeal revisited this issue in Mandzuk v. Vieira, </w:t>
      </w:r>
      <w:hyperlink r:id="rId618" w:history="1">
        <w:r>
          <w:rPr>
            <w:rFonts w:ascii="arial" w:eastAsia="arial" w:hAnsi="arial" w:cs="arial"/>
            <w:i/>
            <w:color w:val="0077CC"/>
            <w:sz w:val="20"/>
            <w:u w:val="single"/>
            <w:shd w:val="clear" w:color="auto" w:fill="FFFFFF"/>
            <w:lang w:val="en-US" w:eastAsia="en-US" w:bidi="ar-SA"/>
          </w:rPr>
          <w:t>[1986] B.C.J. No. 332</w:t>
        </w:r>
      </w:hyperlink>
      <w:r>
        <w:rPr>
          <w:rFonts w:ascii="arial" w:eastAsia="arial" w:hAnsi="arial" w:cs="arial"/>
          <w:color w:val="000000"/>
          <w:sz w:val="20"/>
          <w:lang w:val="en-US" w:eastAsia="en-US" w:bidi="ar-SA"/>
        </w:rPr>
        <w:t xml:space="preserve"> (C.A.). That case involved a claim for damages arising out of a motor vehicle accident. In awarding a management fee of $40,000, the court made the following comments at 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cost of future care is a component in a personal injuries award, "the paramount concern of the courts ... should be to assure that there will be adequate future care": Andrews v. Grand &amp; Toy Alberta Ltd. </w:t>
      </w:r>
      <w:hyperlink r:id="rId241"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at 476. The amount awarded for the cost of future care must be a self-extinguishing sum over the normal life expectancy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appeal to the Supreme Court of Canada was dismissed without discussion of this issue. (See Mandzuk v. Insurance Corp. of British Columbia, </w:t>
      </w:r>
      <w:hyperlink r:id="rId615" w:history="1">
        <w:r>
          <w:rPr>
            <w:rFonts w:ascii="arial" w:eastAsia="arial" w:hAnsi="arial" w:cs="arial"/>
            <w:i/>
            <w:color w:val="0077CC"/>
            <w:sz w:val="20"/>
            <w:u w:val="single"/>
            <w:shd w:val="clear" w:color="auto" w:fill="FFFFFF"/>
            <w:lang w:val="en-US" w:eastAsia="en-US" w:bidi="ar-SA"/>
          </w:rPr>
          <w:t>[1988] 2 S.C.R. 650</w:t>
        </w:r>
      </w:hyperlink>
      <w:r>
        <w:rPr>
          <w:rFonts w:ascii="arial" w:eastAsia="arial" w:hAnsi="arial" w:cs="arial"/>
          <w:color w:val="000000"/>
          <w:sz w:val="20"/>
          <w:lang w:val="en-US" w:eastAsia="en-US" w:bidi="ar-SA"/>
        </w:rPr>
        <w:t xml:space="preserve">). In Watkins v. Olafson, </w:t>
      </w:r>
      <w:hyperlink r:id="rId619" w:history="1">
        <w:r>
          <w:rPr>
            <w:rFonts w:ascii="arial" w:eastAsia="arial" w:hAnsi="arial" w:cs="arial"/>
            <w:i/>
            <w:color w:val="0077CC"/>
            <w:sz w:val="20"/>
            <w:u w:val="single"/>
            <w:shd w:val="clear" w:color="auto" w:fill="FFFFFF"/>
            <w:lang w:val="en-US" w:eastAsia="en-US" w:bidi="ar-SA"/>
          </w:rPr>
          <w:t>[1989] 2 S.C.R. 750</w:t>
        </w:r>
      </w:hyperlink>
      <w:r>
        <w:rPr>
          <w:rFonts w:ascii="arial" w:eastAsia="arial" w:hAnsi="arial" w:cs="arial"/>
          <w:color w:val="000000"/>
          <w:sz w:val="20"/>
          <w:lang w:val="en-US" w:eastAsia="en-US" w:bidi="ar-SA"/>
        </w:rPr>
        <w:t>, the Supreme Court of Canada confirmed its decision in Mandzuk.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More recently, Finch C.J.B.C. in Townsend v. Kroppmans, supra, made the following comments in regard management fees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recognizes that specific awards including costs of future care, future loss of income earning capacity, cost of housekeeping care, and other present lump sum amounts awarded in respect of future losses, must be invested in order to provide sufficient funds for the future income stream in respect of which the award is made. Accordingly, a sum of money is provided to cover professional financial managers' fees and similar expenses (Watkins, supra).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concluded that legal fees should not be deducted in determining the amount of the fund to be invested. In that regard he states at paras. 58 and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respectful view, how the plaintiff may choose to spend the amounts recovered on her claim for damages is not relevant to the assessment of damages for management fees and tax gross-up. It will be the relatively rare case where the actual expenditure of sums recovered for future losses will be the same as expenditures forecast by the evidence on future costs. Deduction of legal fees from the sum recovered penalizes the plaintiff who must use her damage recovery for that purpose. It involves the court in sometimes complicated inquiries into how legal fees were calculated. It ignores the fact that, when liability is apportioned, only partial recovery of full compensation is achieved. It assumes that the determination of future damage awards is a calculation rather than an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true of a deduction for legal fees before calculating management fees and tax gross-up is equally true of any payment from a future damage award in an amount, or at a time, not contemplated by the evidence on which that award was based. How or when the plaintiff may choose to spend her damages after judgment has been given has never been a concern the courts would consider in making damage awards. The awards for management fees and tax gross-up are designed to ensure that the damages assessed for future losses are adequate. The actual expenditure of damages after recovery is not relevant to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plaintiff submits that Townsend has changed the law in regard to the deduction of non-pecuniary damages and court costs from the fund to be invested. Townsend dealt with issues of tax gross-up and management fees. In regard to management fees, Finch J.A. expressed the view that the innocent plaintiff should not be penalized by the taking of a narrow approach that awarded management fees on only the actual fund to be invested when full compensation from the defendant for legal fees generally is never achieved. In Townsend, however, non-pecuniary damages and court costs were not included in the calculations for the award of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plaintiff also submits that Morgan's non-pecuniary damages represent, at least in part, an award for a future loss, being her pain and suffering for the balance of her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Townsend, at this time, is authority for the proposition that legal fees should not be deducted from the investment fund in calculating management fees. In my view, however, the case does not stand for the proposition that non-pecuniary and court costs should also be included in that fund based upon the same rationale.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purpose of an award for management fees is to compensate the plaintiff for the cost of securing a future income stream to meet future income replacement or future expense needs without having to pay those costs from the investment fund itself. On the other hand, while non-pecuniary damages are compensation for past, present and future pain and suffering, any future aspect of such an award does not involve a future pecuniary loss as do awards for future care or wage loss. The plaintiff does not need to secure a future income stream to be fully compensated for the future aspect of an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Court costs are also not a future pecuniary loss that require management in order to produce a future income stream. They are a partial indemnification for legal fees. As legal fees are not deducted from the investment fund in calculating management fees, the plaintiff would receive a form of double recovery if court costs that indemnify for legal fees were not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Based on the current authorities, I am satisfied that management fees should be calculated on an investment fund that reflects Morgan's future pecuniary loss. Accordingly, management fees should be calculated on an investment fund that does not include non-pecuniary damages or court costs.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costs of a professional adviser are threefold. They include:</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Custodial costs of maintaining records, paying service providers and paying the guardian for her expenditures on Morgan's behalf;</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 costs of buying and selling financial instruments to meet Morgan's care needs;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costs for the advisory services performed by the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stated earlier, professional fees are generally charged as a percentage of the fund. The larger the fund, the larger the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plaintiff seeks a management fee based on the costs of an investment manager with Scotia McLeod ("SM"). SM offers a "wrap program" that provides a comprehensive service for an all inclusive fee determined on a sliding percentage scale - 1.75% on the first $500,000, 1.50% on the next $500,000 and 1.25% on the next $1,000,000. Assuming an investment fund of $1,600,000 to $1,700,000, fees would be between 1.48%-1.47% of the investment fund ($23,750 - $25,000) for the first year. Of course, as Morgan draws from the fund for her future needs, both the percentage and the fees will change appropriately - the percentages will increase but the annual fees will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the defendant submits that Scotia McLeod's costs are excessive. Estimates were provided of lower fee schedules from investment counselling firms, including HSBC Asset Management, RBC Investments, and Scotia Cassels Investment Counsel Ltd. However, their services were not specifically identified and, therefore, it is difficult to compare those firms with 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the defendant, Mr. Palfrey from the investment firm of Leith Wheeler ("LW") gave evidence as to the service provided by his counselling firm. He stated that LW considers itself in a fiduciary relationship with its clients. It deals directly with its client rather than through a "wrap" program. However, it does not provide an "all-in" service like SM and transaction costs are extra. He also confirmed that LW does not provide ongoing due diligence, although it does give quarterly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LW's management fee, compared to SM's, for a comparable portfolio, would be about $10,000 less per annum. That estimate includes a $3,000 fee for engaging a trust company to hold the assets. However, transaction costs would be additional. There was no specific evidence of what those prospective transaction costs would be. However, they would form a portion of the management fees for which the defendant is responsible. Otherwise the value of the investment fund will be eroded.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SM offers a more diversified program, both firms have similar targets for their rate of return. SM targets an annual return of 7-9%, while LW targets a return of about 7%. Last year LW realized 6.9%. There is no evidence as to SM's actual past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issue is the reasonableness of the claim for management fees. Reasonableness applies to both the cost of the service and the value received. It is important that Morgan's investment fund be managed in such a way as to provide her with a consistent and stable return that will meet her unique financial needs. The high costs for her ongoing future care and her reduced life expectancy demand a high level of sophistication and due diligence in a professional adviser. For these reasons, I have concluded that Morgan's financial needs would be best met with a professional adviser such as SM that offers an all-in service and ongoing due diligence. I have also taken into account the lack of specificity surrounding some of the costs of the investment counselling offered by LW.</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 Rate of Return Discount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seeks a 50% discount of the management fee award based on the likelihood that Morgan will realize a return on her investment greater than the statutory discount rate of 3.5% with the assistance of a professional adviser.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 number of authorities cited have discounted awards for management fees on that basis. In Macdonald (Guardian ad litem of) v. Neufeld </w:t>
      </w:r>
      <w:hyperlink r:id="rId620" w:history="1">
        <w:r>
          <w:rPr>
            <w:rFonts w:ascii="arial" w:eastAsia="arial" w:hAnsi="arial" w:cs="arial"/>
            <w:i/>
            <w:color w:val="0077CC"/>
            <w:sz w:val="20"/>
            <w:u w:val="single"/>
            <w:shd w:val="clear" w:color="auto" w:fill="FFFFFF"/>
            <w:lang w:val="en-US" w:eastAsia="en-US" w:bidi="ar-SA"/>
          </w:rPr>
          <w:t>(1993), 85 B.C.L.R. (2d) 129</w:t>
        </w:r>
      </w:hyperlink>
      <w:r>
        <w:rPr>
          <w:rFonts w:ascii="arial" w:eastAsia="arial" w:hAnsi="arial" w:cs="arial"/>
          <w:color w:val="000000"/>
          <w:sz w:val="20"/>
          <w:lang w:val="en-US" w:eastAsia="en-US" w:bidi="ar-SA"/>
        </w:rPr>
        <w:t xml:space="preserve"> (S.C.), and O'Brien (Guardian ad litem of) v. Anderson, </w:t>
      </w:r>
      <w:hyperlink r:id="rId621" w:history="1">
        <w:r>
          <w:rPr>
            <w:rFonts w:ascii="arial" w:eastAsia="arial" w:hAnsi="arial" w:cs="arial"/>
            <w:i/>
            <w:color w:val="0077CC"/>
            <w:sz w:val="20"/>
            <w:u w:val="single"/>
            <w:shd w:val="clear" w:color="auto" w:fill="FFFFFF"/>
            <w:lang w:val="en-US" w:eastAsia="en-US" w:bidi="ar-SA"/>
          </w:rPr>
          <w:t>[1999] B.C.J. No. 1519</w:t>
        </w:r>
      </w:hyperlink>
      <w:r>
        <w:rPr>
          <w:rFonts w:ascii="arial" w:eastAsia="arial" w:hAnsi="arial" w:cs="arial"/>
          <w:color w:val="000000"/>
          <w:sz w:val="20"/>
          <w:lang w:val="en-US" w:eastAsia="en-US" w:bidi="ar-SA"/>
        </w:rPr>
        <w:t xml:space="preserve"> (S.C.) management fee awards were discounted by 50% in the face of evidence that the plaintiff would realize a greater rate of return than 3.5%. It is unclear from the decisions what amount was projected for the excess rate of return or over what period the fund was to be managed. In McGlone et al v. Dr. Kelly et al Management Fees, </w:t>
      </w:r>
      <w:hyperlink r:id="rId622" w:history="1">
        <w:r>
          <w:rPr>
            <w:rFonts w:ascii="arial" w:eastAsia="arial" w:hAnsi="arial" w:cs="arial"/>
            <w:i/>
            <w:color w:val="0077CC"/>
            <w:sz w:val="20"/>
            <w:u w:val="single"/>
            <w:shd w:val="clear" w:color="auto" w:fill="FFFFFF"/>
            <w:lang w:val="en-US" w:eastAsia="en-US" w:bidi="ar-SA"/>
          </w:rPr>
          <w:t>[2003] B.C.J. No. 368</w:t>
        </w:r>
      </w:hyperlink>
      <w:r>
        <w:rPr>
          <w:rFonts w:ascii="arial" w:eastAsia="arial" w:hAnsi="arial" w:cs="arial"/>
          <w:color w:val="000000"/>
          <w:sz w:val="20"/>
          <w:lang w:val="en-US" w:eastAsia="en-US" w:bidi="ar-SA"/>
        </w:rPr>
        <w:t>, a discount of 50% was applied to an award for management fees in circumstances where the infant plaintiff had a reduced life expectancy of a remaining 14 years and the court concluded the plaintiff would realize an excess rate of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defendant submits the court should conclude a higher rate of return than the statutory mandated return of 3.5% if the cost of a professional advisor is included in the management fee award, based on the evidence of the investment counsellors as to their target rates. Conversely, counsel for the plaintiff submits that, even with a professional advisor, the court should not presume that Morgan will do better than the statutory discount rate of 3.5%; particularly in view of her remaining shortened life expectancy of 15 years. He submits that today's return on a conservative annuity investment might only be 2.5%; and that an investment manager would have to provide a better return to realize the statutory discount rate of 3.5%. Over 15 years Morgan will not have the same opportunity to recoup any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heard limited evidence on Morgan's likely rate of return. As indicated, last year LW realized 6.9%, while the investment counselling of SM that I have deemed appropriate for Morgan targets an annual return of 7-9%. Regardless of her actual rate of return, I am satisfied on the evidence before me that the real rate of return on the managed funds is likely to exceed the real discount rate (net of inflation) of 3.5%. Stated differently, I believe the professional services of SM will likely provide a rate of return in excess of the 3.5% (net of inflation) for which the defendant is responsible. As such, a reduction must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not convinced, however, that the reduction should equal the 50% level as in previous cases. No evidentiary basis was established for a 50% discount. Being particularly mindful of the short time span Morgan has to recoup any losses she might incur, the circumstances of the investment climate we live in today and the real possibility that Morgan may not realize 3.5% (net of inflation), I am of the view that a more modest reduction of 25% is appropriate.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Alternate Fund Withdrawal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present value of the award for management fees is also subject to variation depending on the actuarial approach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the plaintiff, Mr. Aldridge adopts the "Mortality Ratio" or "survival probability" method he used in calculating the present value of the future care award. Based on that approach, as well as SM's estimated fee schedule, he calculates management fees of $304,449.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defendant, Mr. Hildebrand uses the "Life Certain" approach which is different from the "Excess Death Rate" approach he adopted in his future care calculations. The life certain approach assumes the annual withdrawals will be exhausted by the end of Morgan's life expectancy. Mr. Hildebrand's estimate for management fees is about $14,000 lower than that of Mr. Aldridge's or less than 1% of the award for fund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difference between the two actuarial methods was described in the 1994 Law Reform Commission Report at p.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different actuarial techniques can be employed to arrive at a gross-up number. The first is the "life certain" method. It presupposes that payments will be made from the fund over the full period of its intended existence, no more and no less. This period usually coincides with the plaintiff's life expectancy, but may be a shorter period coinciding with the length of time during which the plaintiff is expected to require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technique is the "survival probability" method. This method of calculation takes account of the probability of the plaintiff surviving to receive each payment, instead of employing an assumption at the outset that the plaintiff will survive to a full life expectancy, or to the end of any other period of given length that may be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life certain method is somewhat less complex and is more readily grasped by judges, counsel and jurors. The survival probability method, however, is a more sophisticated technique coinciding to a greater extent with the method generally used to calculate the future losses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for the plaintiff submits the life certain approach assumes a certainty as to how Morgan will spend her money post-judgment, an assumption that was rejected in Townsend in determining whether legal fees should be deducted from the fund in calculating management fees. He further submits that the probabilistic approach provides for annual withdrawals that extend beyond life expectancy because the withdrawals are adjusted for survival probabilities. Mr. Aldridge also challenges Mr. Hildebrand's inconsistency in adopting one approach for calculating the present value of future care and another for calculating the present value of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for the defendant reiterates that the life-certain approach assumes annual withdrawals that match Morgan's financial needs as identified at trial. Further, he submits, this method leads to a depletion of the fund at the end of her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1994 Law Commission Report noted that both actuarial approaches were considered valid, although it endorsed the mortality ratio approach as a more sophisticated and actuarially correct method. On the other hand, Wong J. in Lee adopted the life-certain approach over the mortality ratio method in calculating the present value of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reiterate that, in my view, both actuarial approaches have merit. However, until there is appellate authority that prefers one approach over the other, I have concluded that I must follow the life-certain approach as adopted in Lee. I am also satisfied that the assumed constant withdrawals each year more closely correspond with the evidence at trial and do not overstate the anticipated fund balance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Costs shall be payable to the defendant Dr. Thiessen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present value of Morgan's cost of future and attendant care is based on the Excess Death Rate actuarial method and calculated at $1,282,457.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Management fees will be calculated on an investment fund reflecting the plaintiff's future pecuniary loss without the addition of court costs and non-pecuniary damages or deduction of legal fees. It will be based on the life certain actuarial method and the fee schedule proposed by SM with a 25% discount for an excess rate of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shall have liberty to address the specific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the appropriate time, counsel for the plaintiff shall proceed to have his fee approved before me, providing his materials to the Public Trustee beforehand in the usual manner, for their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Carifelle v. Gill, [2009] B.C.J. No. 1637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E.G. 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29 and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0627094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2167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825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Joseph Carifelle, Plaintiff, and Tarwinder Singh Gill and Shergill Transport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1"/>
      <w:bookmarkEnd w:id="18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Plaintiff's action for damages for injuries sustained in a 2005 motor vehicle accident dismissed with costs — The plaintiff failed to establish on a balance of probabilities that when he entered the highway via a left-hand turn it was safe for him to do so, in that the defendant Gill's vehicle was not approaching so closely that it constituted an immediate hazard — The plaintiff ought to have yielded the right-of-way because, given the weather conditions, the Gill truck was approaching too closely — Gill did not have a sufficient opportunity to avoid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19"/>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sustained in a 2005 motor vehicle accident. The issues of liability and quantum were severed, and only liability was presently at issue. On the day in question, the plaintiff's pick-up truck made a left-hand turn onto the highway and was struck by a transport truck owned by the defendant Shergill Transport Ltd. and driven by the defendant Gill. Gill claimed to have just emerged from a fog patch, travelling 75-80 km/hr in the 100 km/ hr zone to see the plaintiff's truck on the centre line at an angle. The plaintiff claimed to have looked in both directions and saw no one approaching from either direction. He claimed he had completed his turn, was travelling 20-25 km/hr, and after checking his rear-view mirror determined that he would pull to the far right side to allow the defendant transport room to get by him. He denied there were any vehicles coming from the north. He claimed Gill was not paying attention. Gill claimed there were vehicles coming from the north and he was unable to pass the plaintiff's truck using the northbound lane.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17"/>
            <w:bookmarkEnd w:id="189"/>
            <w:r>
              <w:rPr>
                <w:rFonts w:ascii="arial" w:eastAsia="arial" w:hAnsi="arial" w:cs="arial"/>
                <w:color w:val="000000"/>
                <w:sz w:val="20"/>
                <w:lang w:val="en-US" w:eastAsia="en-US" w:bidi="ar-SA"/>
              </w:rPr>
              <w:t>HELD: Plaintiff's action dismissed with costs.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under a positive duty to yield the right of way to Gill if Gill's vehicle constituted an immediate hazard. The plaintiff, by entering the highway as he did, failed to ascertain if any vehicles were approaching from the direction that the Gill vehicle was approaching from and which might constitute an immediate hazard. The plaintiff's evidence that he looked both ways and did not note any vehicles approaching from either direction was rejected. There was no evidence upon which to conclude Gill was not giving the required attention to vehicles entering his travelled portion of the highway. The distance that would have been covered in three seconds disclosed very little opportunity on the part of Gill to act defensively. The plaintiff failed to establish on a balance of probabilities that when he entered the highway it was safe for him to do so, in that Gill's vehicle was not approaching so closely that it constituted an immediate hazard. The plaintiff's vehicle ought to have yielded the right-of-way because, given the weather conditions, the Gill truck was approaching too closely. Gill did not have a sufficient opportunity to avoid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3"/>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7"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30" w:history="1">
        <w:r>
          <w:rPr>
            <w:rFonts w:ascii="arial" w:eastAsia="arial" w:hAnsi="arial" w:cs="arial"/>
            <w:i/>
            <w:color w:val="0077CC"/>
            <w:sz w:val="20"/>
            <w:u w:val="single"/>
            <w:shd w:val="clear" w:color="auto" w:fill="FFFFFF"/>
            <w:lang w:val="en-US" w:eastAsia="en-US" w:bidi="ar-SA"/>
          </w:rPr>
          <w:t>RSBC 1996, CHAPTER 318, s. 175</w:t>
        </w:r>
      </w:hyperlink>
      <w:r>
        <w:rPr>
          <w:rFonts w:ascii="arial" w:eastAsia="arial" w:hAnsi="arial" w:cs="arial"/>
          <w:color w:val="000000"/>
          <w:sz w:val="20"/>
          <w:lang w:val="en-US" w:eastAsia="en-US" w:bidi="ar-SA"/>
        </w:rPr>
        <w:t>, s. 176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6"/>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Tindale and K. Aimetz.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D.W. Lindsay and A.D. Reynolds.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6"/>
      <w:bookmarkEnd w:id="192"/>
      <w:r>
        <w:pict>
          <v:line id="_x0000_s1149"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E.G. CHAMBERLIST J."/>
            <w:bookmarkEnd w:id="193"/>
            <w:r>
              <w:rPr>
                <w:rFonts w:ascii="arial" w:eastAsia="arial" w:hAnsi="arial" w:cs="arial"/>
                <w:b/>
                <w:color w:val="000000"/>
                <w:sz w:val="30"/>
                <w:lang w:val="en-US" w:eastAsia="en-US" w:bidi="ar-SA"/>
              </w:rPr>
              <w:t>E.G. 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 vehicle accident that occurred on the 23rd day of December 2005, on Highway 97 south of the City of Quesnel, near the Alexandria School Road, in the Province of British Columbia, when a transport truck owned by the defendant Shergill Transport Ltd. and driven by the defendant Tarwinder Singh Gill came into collision with a pickup truck operated by the plaintiff. Pursuant to an order of the court made the 9th day of September 2008 it was agreed between the parties that the issues of liability and quantum of damages would be severed and, as a result, I heard only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when the plaintiff entered Highway 97 and was rear ended by the transport truck driven by Tarwinder Singh Gill. The circumstances leading up to the accident were described in some detail by the defendant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age 68 years at the time of trial and a week shy of his 65th birthday when the accident occurred. The plaintiff has a grade two education and, according to him, reads very little English. On the day of the accident he had travelled some 35 k. south of his residence in Quesnel to visit his sister who lives at Alexandria. Her home is on the right hand side of Highway 97 south from Quesnel. He visited with his sister and brother-in-law from approximately 11:00 a.m., having driven there in his 2000 GMC pickup truck. He stayed for approximately two hours. He was informed while there that fog was coming in across the road and he decided to return home. According to him he came out of the home, started his truck and stopped at the driveway entrance to Highway 97. He described the weather as being good with the roads a little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Under direct examination the plaintiff testified to being able to see south from his vantage point to a closed café building on the right hand side. He described looking to his left, northerly, and then to his right, southerly, and observed no vehicles approaching from either direction so he pulled out and proceeded to turn left on Highway 97 towards Quesnel. He testified that after he got into his lane and looked into his rear view mirror he immediately saw a transport truck behind him and was also able to observe two telephone poles to the south. He testified to then pulling towards the northerly shoulder but was rear ended on the right side of his vehicle. According to him he had driven approximately 75 feet before he noticed the transport truck behind him, and thereafter his truck was rear ended and started rolling close to the Alexandria School Road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respect to what the plaintiff was able to observe when he looked north and south, he testified that there was no fog at the north end, but looking south he was able to see fog at the location of the café which he described as being some 500 feet south from the entrance to his sister's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plaintiff entered the highway he estimated his speed as between 20 to 25 km/h. He testified to estimating the speed of the transport truck, which he first observed in his rear view mirror, as "approaching me pretty fast". The plaintiff described his first observation of the transport truck being roughly close to the Alexandria School Road which enters Highway 97. As a result of the impact by the transport truck to the back of the pickup truck, the plaintiff's pickup truck began to roll and ended up off the highway to the right of the northbound lane. Mr. Carifelle described how he attempted to open the door of his truck after undoing his seatbelt and described himself lying sideways on the front seat, his head leaning towards the driver's side. He then described the defendant driver coming to the truck and opening the door, whereupon he described Mr. Gill saying "you are not killed". He denied the defendant saying anything else to him, and thereafter the RCMP and ambulance attendants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of ICBC advising him that he would be responsible for the motor vehicle accident, he and his wife re-attended at the site in August 2006 and they took various measurements. He measured telephone poles and the distances from his sister's driveway. He concluded he had travelled some 75 feet from where he first saw the transport truck. In addition, he timed how long it would take him to where he believed the impact occurred. The results of those observations were recorded in a written memorandum, written by his wife and signed by the plaintiff. In the second page of the letter addressed to his counsel and dated August 27, 2006, the plaintiff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Transport truck spotted after travelling 75 feet from departure driveway. Transport truck location at hydro pole 250 feet from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Under cross-examination the plaintiff agreed that the distance from the centre of his sister's driveway to the most southerly portion of the Alexandria School Road, which is accessible from the northbound lane where his truck left the road, was approximately 106 feet. He agreed that the posted speed limit in the area was 100 km/h and agreed that traffic will travel at 100 km/h. Under further cross-examination he agreed that he had travelled 75 feet when he noticed the transport truck behind him and decided, according to him, to move over to the right shoulder. He agreed that tire marks disclosed in photo #1 contained in the RCMP disclosure of February 27, 2006, showing tire marks leaving the highway on the north side of the Alexandria School Road, had been made by his pickup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respect to his ability to observe north and south when he was about to enter Highway 97, he agreed that fog was rolling in and that there was no fog visible to him when looking north; however looking south, when he turned right, he testified that although he could not see as far as he could looking north because of the fog, he was able to see 500 to 600 feet south towards the old café. Under further cross-examination the plaintiff remained adamant that his visibility to the south was more than 250 feet and that he was able to see to the old café.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referred to his examination for discovery transcript where he was examined for discovery on January 3, 2008, some three years after the accident, and some two and a half years after he and his wife had returned to the scene to do their measurements. Commencing at page 23, question 167, these questions and answers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I'll ask you again. How far do you think you could see south?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South about two hundred.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two hundred?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You have to kind of go slow because I don't follow that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south, I can see about five hundred feet. I mean north. I'm sorry, north.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south you could see about two hundred feet or metres?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South two hundred feet.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south you could see about two hundred feet and north you could see about five hundred, maybe more?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Maybe more.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you said you could only see two hundred feet south was because there was some fog?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some fog. Just start come up - - I went to my sister's place probably about - - roughly around 11:00, I went and visit her. They live Alexandria. Then the fog start coming up from the river, like crossing. Then I said to my sister, "It start fogging up, I better go home." So, I didn't stay there all that long. Maybe two and a half hours, maybe.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Carifelle agreed with defence counsel that the fog he observed could be described as being "quite thick". He also agreed that he knew the fog could last and agreed that he had no concerns about vehicles coming up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Defence counsel suggested that the plaintiff checked his rear view mirror because he was concerned when he made the turn, however the plaintiff testified that he always checks behind him. Under further cross-examination the plaintiff agreed that when he first saw the truck in his rear view mirror he knew he was in trouble and had to react immediately, but denied that when his pickup truck was hit it was at an angle towards the ditch. Again under cross-examination it was suggested to the plaintiff that when he first observed the transport in his rear view mirror that he thought he was going to die, but the plaintiff merely stated that he had not considered dying because he had given the transport truck room to pass him. He agreed that upon seeing the transport truck in his rear view mirror he had slowed down a bit, stating "can't go into ditch fast". Again the plaintiff testified that he was not at an angle when the impact occurred. At this time the plaintiff was again referred to the examination for discovery. At page 57, question 343 and 344, these questions and answers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when he hit you you said you were going into the shoulder of the road. And do you know what part of your vehicle he hit?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back bumper on the driver's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he hit your vehicle, did it push you - - your vehicle forward?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Like, I go sideways right away because I was already - - my truck not quite straight because I'm close to the ditch already. Didn't quite fully turn, otherwise I wouldn't - - like, he would have put more damage if I didn't.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those answers, Mr. Carifelle indicated that he was confused and the answers given at the discovery to questions 343 and 344 were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Carifelle was again referred to his examination for discovery transcript. These questions and answers appear at page 29 of the transcript, questions 201 and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didn't see any traffic and you didn't have to wait for any traffic?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have to wait for anything, and then I went. But I always check on my rear-view mirror, if there's anything coming behind.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Uh-huh.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Especially when you don't - - can't see that much, like - - but when I turn, when I started going, when I look in my rear-view mirror, you still see the full view of the truck and those mirrors are pretty small. And this truck - - I know he was moving fast. So, only chance that I have to get off, so he can pass me - - and then there's no reason why he didn't pass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those answers, Mr. Carifelle again stated that he was confused at the time of the discovery, but testified to not being confused at trial. Again the plaintiff was referred to page 40 of the transcript of the examination for discovery, notwithstanding what he had said earlier about being fearful for his life, he was confronted with question 257: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saw the truck coming up behind you, you didn't try to accelerate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I wouldn't be here if I did that. This truck was approaching me pretty fast. So in that distance, what I'm going to do, save my life or let him run over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after having that question put to him, and giving that answer, he agreed that it was an emergency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 in his cross-examination Mr. Carifelle was again confronted with his evidence concerning when he first saw the truck in his rear view mirror, and his evidence that he could see two telephone poles, notwithstanding his testimony that the transport truck filled the mirrors of his pickup truck. Mr. Carifelle was referred to page 54, question 328 of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where was the truck when you first saw it? Can you show me on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Behind here someplace. About two hundred feet, probably, or hundred feet. Who knows. I can't judge that, so - - I know it was a full 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Upon being directed to that question and answer, Mr. Carifelle stated that he knew it was 200 feet or more. Under further cross-examination the plaintiff agreed that he knew at the time of making his left-hand turn onto Highway 97 that any vehicle can cover 200 feet in no time at all if travelling at 100 km/h. Under further cross-examination he maintained that when making a left-hand turn onto a highway where the posted speed is 100 km/h he did not need to accelerate quickly and did not answer whether he had to accelerate as quickly as possible. Mr. Carifelle agreed that fog is a frequent factor in that area and that if the fog was closer he would have been able to turn right on Highway 97 south and then make a left-hand turn onto the entrance of the Alexandria School Road further south and come back on Alexandria School Road emerging at the point where his vehicle, after impact, had left the travelled portion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was confronted at length with respect to his indication of how long it takes him to make his turn onto the highway and the fact that, according to his calculations, from when he first observed the transport in his rear view mirror the impact was some five to seven seconds. He was also confronted with the fact that his being able to observe the café was first disclosed at trial when it was not mentioned in the August statement relating to the measurements he and his wife took nor was it mentioned at the discovery. Mr. Carifelle agreed that he did not see headlights of the transport truck because of the fog.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defence called two witnesses, being the defendant Tarwinder Singh Gill, and Baldev Samra. In addition, the two reports of Baker Materials Engineering Ltd. authored by Jonathan Gough were marked as an exhibit and Jonathan Gough was made available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Baldev Samra had been a truck driver with the defendant Shergill Transport Ltd. for some six years. He testified that on the day of the accident he and the defendant were driving their respective transport trucks from the lower mainland heading towards Quesnel to pick up loads. He testified that at times he was 150 to 200 feet behind Gill's transport truck. He described the road conditions when he left Williams Lake, which is less than 100 k. from the accident, as being reasonably good but slushy and with spotty fog in some places. He described the earlier fog as patchy but not as thick where the accident occurred. He testified to Gill having called on his radio and saying that he had been in an accident and for him to stop. He testified to having seen Gill's truck within 100 feet where it was stopped at the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Samra also testified to having seen a couple of southbound vehicles drive by him at about the time Gill had called him with respect to the accident. Mr. Samra testified to Gill being in his truck when he arrived and that Gill said he was going to check on the pickup truck and asked him to call 911. He also testified to Gill having called him to slow down because of fog. He described Gill's transport truck, when he came upon it, as being stopped in the middle of the highway intersection with Alexandria School Road. Mr. Samra had known Mr. Gill for some ten years as a good friend. He was not definite on distances however he thought he had lost sight of the Gill transport truck some 300 feet from the accident, although he testified that when the two transport trucks left Williams Lake he was approximately 200 feet behind him as they drove their super-b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Samra described hitting the fog bank just prior to the accident. He was referred to a photograph taken by Jonathan Gough, being figure #5, and testified that figure #5, which shows the view for a northbound driver approximately 420 metres to the south of the driveway from which the plaintiff's pickup entered the roadway, as being where he encountered fog. He further testified that where the accident occurred there was light fog present. He was referred to figure #6 in the Gough report, which is a photograph showing the view for a northbound driver approximately 320 metres to the south of the driveway from which the Carifelle pickup entered the highway, which includes the old café previously identified by the plaintiff. He agreed that at that point the fog was not as thick as it was 420 metres to the south of the driveway. He said that once having received Gill's radio communication warning about fog that he was doing 80 to 85 km/h when he hit the fog patch and then having applied his engine retarder came out of the fog patch travelling approximately 70 to 80 km/h. He said that he saw the Gill transport's brake lights when Gill called him regarding the fog and that he had no trouble stopping behind the Gill transport. He testified to losing sight of the Gill transport when Gill was in the fog. He testified to it being "maybe a minute when he got to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Samra testified, as did Mr. Gill, that Mr. Gill does not drive with his shoes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Tarwinder Gill has had a Class 1 licence for almost seven years at the date of trial and therefore some 3 1/2 years at the time of the accident. He testified that on the date in question he was driving his 2005 Peterbilt Cab pulling a super-b tandem trailer. His transport was lead truck to the Samra transport truck, and at the time of the accident, he had been driving for 61/2 hours. He too described the road conditions as being slushy in parts with some fog patches off and on up to the accident site. He described traffic as being normal when he hit the fog patch just south of the site of the accident at which time he called on his radio to Samra warning of the fog. He testified to seeing the plaintiff's pickup truck making a left turn onto Highway 97. At the time he thought he had slowed down to 75 to 80 km/h when he went into the fog patch but was not absolutely sure. He testified to just coming out of the fog patch and seeing the pickup truck in the middle, on the centre line, at an angle. He was not able to estimate the speed of the pickup truck when he first saw it. He says he was paying attention at the time. He also testified that the impact with the plaintiff's truck occurred between the Alexandria School driveway and the driveway from which Mr. Carifelle had entered the highway. He described hitting the pickup truck by the yellow centre line and said that the pickup truck had not completed its left hand turn onto the highway. He said that after impact, on stopping his transport unit, he put on his shoes and went to the driver's side of the pickup. He saw only the driver's feet. He testified to speaking to Mr. Carifelle who identified himself as the driver. His recollection at the time was that the Samra transport arrived within a half minute but he was not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cross-examination Mr. Gill agreed that it was some one or two minutes before the Samra transport truck arrived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Gill testified that when he first saw the pickup truck there was no time to react and that he had attempted to swing out his tractor and trailer unit to pass the pickup truck, however, having noted approaching traffic he pulled back into the northbound lane. He was unable to say whether he had pulled his unit all the way into the oncoming lane, as in his words "it happened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Gill testified that when he first entered the fog bank he took his foot off the gas and applied the engine retarder. With respect to his application of brakes he testified that he applied his brakes when he almost hit the pickup truck. Under cross-examination he agreed that as it was his first intention to go around the vehicle he had not applied his brakes at first. Under further cross-examination he agreed that he remembered applying his brakes but was not sure when he had applied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the fog bank, he too was referred to figures #5 and #6 in Baker Materials Engineering Ltd. report authored by Jonathan Gough. Mr. Gill testified that the fog existed further north of the old café building shown in figure #6 and that the fog was closer to the driveway where the plaintiff entered the highway. He was referred to the statement he had provided to the attending RCMP at the scene on December 23rd where he had indicated that at the scene it was not foggy but further back, which he estimated to be 400 or 500 metres back, it was "really foggy". In explanation, Mr. Gill said it was not foggy at the time and that when he was sitting in the police car giving his statement it was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note that there is no commencement time given in the RCMP statement and the statement itself is quite short, and according to the RCMP Officer ended at 14:16 hours, or colloquially 2:16 p.m. In answer to questions put to him by plaintiff's counsel with respect to his statement of 400 to 500 metres Mr. Gill stated that he had just been in the collision and that he volunteered the distance although, according to him, he had no idea of 400 to 500 metres as he "just goes by feet". Under further cross-examination Mr. Gill testified that he did not remember seeing the café building when he was driving on December 23rd, but remained adamant that although he didn't remember where the fog ended, the fog was close to the driveway where the plaintiff entered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Gill was then referred to the statement he had provided to ICBC on December 28, 2005. At page 1 of that statement, Mr. Gill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was heading around the curve on Hwy 97 and saw another vehicle coming from my left side out of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Under cross-examination Mr. Gill conceded that his statement was not correct as he had come out of the curve when he saw the vehicle. Mr. Gill described it as a general statement a couple of days after the accident and denied the suggestion from plaintiff's counsel that he had seen the plaintiff's vehicle before he reached the café and again referred to it as being just a general statement. According to Mr. Gill he was only trying to say that he saw the pickup when he came out of the fog and had no time to react. At this point in time Mr. Gill was referred to his examination for discovery, also conducted on January 3, 2008, and in particular page 8 and page 9, where he had provided, in his own words at the invitation of plaintiff's counsel, his recollection of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plaintiff's counsel put to Mr. Gill that what he described in his own words was consistent with the statement given to ICBC on December 28, 2006, my reading of his description does not bear that out. Mr. Gill testified that when his transport rig impacted with the pickup truck he did not hit the pickup truck straight on and again denied that when he came around the slight curve he saw the pickup truck as had been referred to in the statement given to ICBC. He denied that he was not paying attention to the roadway while on the radio advising Samra of the existence of fog and denied rear ending the plaintiff's pickup truck as the plaintiff was pulling over to the shoulder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two expert reports prepared by Jonathan Gough of Baker Materials Engineering Ltd. were entered as exhibits at trial. The first report is dated April 4, 2006 and the follow-up report is dated May 6, 2008. It was prepared as a result of Mr. Carifelle's examination for discovery and the production of the Carifelle letter dated the 27th of August 2006 regarding the re-enactment.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first report one of the assumed facts Mr. Gough relied on was that at the time of the collision Mr. Carifelle was in the process of executing a left turn from his sister's driveway to travel northbound. The second assumed fact was that Mr. Gill observed the Carifelle pickup turning onto the highway and braked in an attempt to avoid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collision site was examined on March 4, 2006. At page 3 the results of the site examination are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Site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collision site was examined on 4 March 2006. It has not been altered since the date of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area where the collision occurred, Highway 97 runs in a generally north-south alignment. There is a single lane of travel in each direction, each measuring approximately 3.7 metres in width. On both sides of the highway, there are asphalt shoulders. The northbound shoulder was approximately 2.1 metres wide while the southbound shoulder was 1.5 metres wide. To the south of the collision site, the highway is straight for approximately 300 metres and then there is a counterclockwise curve for northbound traffic. To the north of the collision site, the highway curves in a clockwise direction for northbound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east side of the highway, Alexandria School Road intersects the highway at an acute angle, running in a southeasterly direction. On the west side of the highway, there is a driveway leading to the residence located at **** Highway 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 driver exiting this driveway would have had a clear view to the south for in excess of 400 metres, limited only by the fog.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Gough went on to interpret RCMP photographs which were also exhibited at the trial. With respect to the tire marks identified by Mr. Carifelle as being caused by his truck, Mr. Gough states at page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gravel on the road surface at the Alexandria School Road intersection, there were several marks that appeared to have been deposited by the Carifelle pickup as it travelled off the road surface. These marks would have been deposited after the impact with the Gill tractor. Three distinct marks were present, indicating that the pickup was in a state of yaw when the tire marks were deposited.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Gough went on to conclude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there were no gouges, skid marks or other artifacts that could be used to identify the exact position of either of the vehicles at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Gough concluded from the investigation conducted by himself that the damage to the vehicles indicated that when impact occurred the centre line of the Carifelle pickup was offset slightly to the right of the centre line of the Gill tractor trailer. He also concluded that the greater crush depth at the right rear of the Carifelle pickup truck indicated that it was probably angled slightly to the right with respect to the Gill tractor trailer. He also estimated that the Carifelle pickup truck had travelled approximately 25 metres from the driveway when the impact occurred. At the time there was no physical evidence from which Mr. Gough could determine the rate at which the Carifelle pickup accelerated as it executed its left turn but he assumed because of the 100 km/h speed limit and that there was fog which limited the driver's vision to the south, he would have expected Mr. Carifelle to have accelerated rapidly. Based on this assumption he calculated that it would have required approximately 4 seconds to reach the point of impact from the pickup's entry onto the highway. Notwithstanding that assumption, Mr. Gough, at page 6,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time that the pickup required to reach the point of impact is not necessarily the time available to Mr. Gill to perceive and react to the emerging hazard presented by the pickup. This is due to two factors. Firstly, the fog that was present would have limited Mr. Gill's ability to see the pickup and secondly, during the initial movement of the pickup, Mr. Gill may not have appreciated the fact that it would continue across the centreline into his path. During the first second of movement, the pickup would have travelled only 1 1/2 metres, which is less than the width of the west shoulder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the issue of fog, Mr. Gough said, again at 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we understand that it was foggy. In order to assess the effect of the fog on the collision, it is necessary to be able to determine the visibility distance for both drivers. There is no way to assess this distance based on the available information. If we assume that the speed of the Gill tractor-trailer averaged 80km/h during the time that the pickup was accelerating, then it would have been between 80 to 105 metres away when the pickup started to accelerate. If Mr. Carifelle could not see the tractor-trailer when he started to accelerate, then this suggests that the visibility distance was reduced to less than 105 metres due to the fog. If the fog was dense enough that Mr. Carifelle could not see the headlights of the Gill tractor (which we assume were illuminated since the tractor was required to be equipped with daytime running lights) when he started to pull out, then Mr. Gill would similarly not have been able to see the un-illuminated side of the Carifelle pickup. The calculated impact severity suggests that Mr. Gill did not slow his tractor-trailer significantly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summary, the Gough report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analysis of the subject collision has been based upon review of the provided data and examination of the Carifelle pickup and the accident site. Based on our analysis, we conclude that at the point of impact, the Carifelle pickup had travelled approximately 25 metres from the driveway it was exiting and it had been on the highway for between 3 and 5 seconds. The ability of Mr. Carifelle to see the approaching tractor unit would have been better than the ability of Mr. Gill to see the Carifelle pickup emerging from the side of the road, due to the headlights on the front of the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follow-up report which was conducted after reviewing Mr. Carifelle's examination for discovery and the letter prepared by Mr. Carifelle dated August 27, 2006, Mr. Gough found that Mr. Carifelle's estimate of the distance travelled by his pickup was not consistent with the physical data documented in the RCMP photographs, which photographs depicted the post-impact tire marks from the Carifelle pickup as it traversed the gravel at the entrance to the Alexandria School Road because separation between the tire marks indicated that the pickup was already rotating as it left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position is that Mr. Carifelle executed his entrance onto Highway 97 and proceeded on the highway when he was hit from behind. The issue, says the plaintiff, is whether or not the defendant Gill was driving with the necessary care. The plaintiff submits that the accident involves a very simple fact situation given that Mr. Carifelle looked in both directions and could observe fog at or about the old café, and that he saw no one approaching either from the north or the south. Simply put, the plaintiff submits that he was driving north on Highway 97 when he noted the transport truck in his review mirror and was in the process of moving over to the shoulder when he was hit from behind. He points to the evidence of the defence witness, Baldev Samra, who testified that he came to the slight curve where the fog was located and that at the café there was no more fog. The plaintiff also relies on the Gough report which indicates damage to the entire width of the pickup truck but with damage to the front bumper of the transport truck, being primarily two-thirds to the right passenger side. Also the plaintiff submits that there is nothing to indicate that the Gill vehicle slowed at all, and given the speed estimate of Gill as being between 75 and 95 km/h, it must lead to the conclusion that the Gough reports do not have sufficient facts for the opinion which was contained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submits that Mr. Gill's evidence is less than truthful and that Gill is tailoring his evidence. He points to the fact that Gill contradicted himself by testifying on the first day of the trial that his speed was between 75 to 80 km/h and under cross-examination was up to 95 km/h. The plaintiff also points to the fact that in his statement to the police Mr. Gill used the measurement of metres but in his testimony he testified that he doesn't use metres to describe distances. The plaintiff also points to the fact that in Gill's statement to ICBC several days immediately after the accident, Mr. Gill said that he was proceeding around the curve when he saw the Carifelle vehicle, but at trial admitted he was in error at the time. Likewise, in the examination for discovery he said he had just come out of the slight curve when he saw the Carifelle vehicle. The plaintiff also points to the fact that the description of the northerly extent of the fog is inconsistent with the evidence of Samra.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Based on all of the above the plaintiff submits that Mr. Gill had indeed seen the Carifelle vehicle from some distance, and that distance, as indicated in the Gough pictures, would be 300 metres of a straight stretch to the driveway from which Mr. Carifelle emerged onto Highway 97. The plaintiff submits that it is clear that Mr. Gill is backtracking from what he said earlier and points especially to the absence of evidence of braking. It is also submitted by the plaintiff that Mr. Gill wants the court to believe that the Gill transport hit the pickup truck on the right side, which is inconsistent with the physical evidence analyzed by Gough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Simply put, the plaintiff submits that Gill was not paying attention when he struck the Carifelle pickup. It is submitted that as it was the Carifelle vehicle that was rear ended the onus shifts to Mr. Gill to establish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The plaintiff argues that Gill has not provided an explanation that should be believed because of the inconsistencies in his own evidence and in the evidence of Mr. Samra. Thus, says the plaintiff, in all the circumstances, and given the lack of explanation by Mr. Gill, the accident was the defendant's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DEFENCE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defence submits that the action should be dismissed. They submit that on the evidence, the Carifelle vehicle was making a left hand turn onto Highway 97 and the driveway is not an intersection. The pickup truck made a left hand turn onto a highway upon which the posted speed is 100 km/h and there was a significant straight stretch to the south of where the Carifelle pickup truck entered the highway. The evidence is that the pickup truck had travelled less than 106 feet before it was hit by the Gill transport truck. It is important to note, submits the defendant, that the plaintiff and his wife went to the site of the accident after he had been told he was being held responsible for the accident. The defence notes that Gill has said that the point of impact was closer to the driveway. This, says the defence, is a small distance. The defence points to the fact that the Gough report says the accident occurred some 85 feet from the driveway. Whatever is made of the discrepancy, the fact remains, submits the defence, that the Carifelle pickup truck had not travelled far before it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says he was 75 feet from the driveway when he saw the Gill transport truck in his rear view mirror. The Alexandria School Road shown in the RCMP photographs is just 31 feet past where the plaintiff would have noticed the vehicle. The defence submits that Carifelle has testified that he took some five to eleven seconds to go that distance. The defence says that if Mr. Carifelle was travelling 20 km/h he would be covering 5.6 metres per second, and if travelling 25 km/h he would have covered 6.9 metres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defence submits that the calculations done by the plaintiff were as a result of ten different tests and the results merely show an average, and in fact, if a test were performed, it was in a different vehicle. The equivalent of 5.6 metres per second is 18 feet per second, while the equivalent of 6.9 metres per second is 22 feet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important issue, submits the defendant, is the distance from where the Carifelle pickup truck entered the highway and the fog. The defence submits that even after Mr. Carifelle did his measurements in feet in August 2006 he still stated at his discovery on January 3, 2008 that the visibility looking south was 200 feet from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defence points to the fact that although Mr. Carifelle brought the visibility of the café into issue at trial, the café was never mentioned before as a reference point by Mr. Carifelle.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defence further submits that the best evidence of distance is the Gough reports, especially figures #6 and #7 which indicate distances of 220 to 320 metres and points to the fact that the plaintiff, in its submissions, referred to photographs #5 and #6 as being the curve in the road. The defence says that the plaintiff's submissions that Gill would have seen him when he came around the corner, being some 320 metres away, cannot stand. At 80 km/h a vehicle would travel 22.2 metres per second, and to travel 320 metres would take 14.4 seconds. Similarly, at 90 km/h it would take 12.8 seconds to travel that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Therefore, the defendant submits that based on those estimates Mr. Carifelle would be past the school road when he would have been impacted, which we know is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submits that what comes into play is the fact that everyone agrees that there was fog to the south of the Carifelle entrance point. The defence submits that stopping was a non-factor for the Gill transport if it was travelling at 90 km/h, or 25 metres per second. The defence argues that the evidence is that Gill did not significantly slow down prior to the impact because the accident occurred within a few seconds of Gill seeing the Carifelle vehicle. The defence submits that Gill should be believed when he says he applied his brakes, although he is not sure exactly when. The existence of the fog does not fully explain the role that the fog played, but Carifelle himself agreed that the visibility south was some 50% of the visibility to the north. Assuming the existence of the fog, the visibility for both would be the same and the defendant submits that Carifelle had a duty to look for vehicles approaching on the highway while Gill had no such duty. Assuming that they would have the same visibility, if Gill could see then Carifelle would have the same ability. The defence further submits that the Carifelle pickup truck was travelling at an unreasonably slow speed as it came on to the highway. The defence says that Mr. Carifelle looked in his rear view mirror as soon as he made the left turn and he was immediately in trouble. This factor alone, the defence submits, points to the fact that Mr. Carifelle was unable to make the turn safely. The defence says that Samra's and Gill's evidence is not contradicted and the court must accept that the point of impact was such that the Carifelle pickup was hit almost immediately on pulling on to Highway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 respect to what Gill testified to, namely the pickup truck being at an angle when he saw it, the defence points to what Mr. Carifelle said at his discovery, that he was slightly at an angle, being consistent with his not completing his left hand turn when hit. The defence says that the Carifelle pickup truck was not able to make its left turn on to Highway 97 safely, either because Mr. Carifelle pulled out right in front of the Gill transport or alternatively accelerated far too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the defence says the question arises that if you accept the Carifelle evidence, why was he struck? The defence submits that Gill was required to react quickly and as a result Carifelle was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the parties disagree on where the fog bank ended to the south of the driveway from whence Mr. Carifelle entered the highway, both the plaintiff and the defendant agree that there was a fog bank. The plaintiff maintains that he looked both ways before proceeding on to the highway upon which he knew the posted speed was 100 km/h. The plaintiff says that he had completed his turn on to the highway and after checking his rear view mirror determined that he would pull to the far right side to allow the defendant transport room to get by him. He denies that there were any vehicles coming from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says that there were vehicles coming from the north and although he had originally intended to pass the plaintiff's vehicle utilizing the southbound lane he had to change his mind, pull back into the northbound lane and that is when he collided with the rear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evidence has always been that he was travelling between 20 and 25 km/h throughout. In his re-enactment he said that his speed after leaving the driveway was 20 km/h reaching 25 km/h at 75 feet. Further, in his re-enactment, he stated his and his wife's conclusions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timings ranged from 6-8 seconds to 75 feet. After 75 ft slowed to 20 km when pulling over. Total time after entering Highway 11-13 seconds to crash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not disputed that the distance between the driveway and the southerly junction of Alexandria School Road is 106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determined that the re-enactment calculations done by Mr. Carifelle and his wife on August 27, 2006 and upon which he based most of his testimony cannot be accurate. This is simply because if he travelled at 20 km/h for between 6 and 8 seconds he would be travelling, by my calculations, at approximately 5.5 metres per second, or some 18 feet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only 20 km/hr, in 6 seconds Mr. Carifelle would have travelled 108 feet, or further than the intersection with Alexandria School, when it is beyond question that his truck was hit from behind at a point prior to the Alexandria School intersection with Highway 97 from the RCMP photographs taken at the scene showing the tire marks, which Mr. Gough's opinion referred to. The further problem with the re-enactment is found in Mr. Carifelle's statement that the total time after entering the highway was 11 to 13 seconds to crash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Taking the average of his calculation, being 12 seconds, Mr. Carifelle would have covered 216 feet or some 110 feet past the Alexandria School Road before being involved in the collision. This simply could not be as I accept as a fact that the collision occurred in the 106 feet between the driveway and the Alexandria School Road. My conclusion is consistent with the calculations of Mr. Gough that Mr. Carifelle's estimate of the distance travelled by his pickup truck is inconsistent with the physical data documented in the RCMP photographs which clearly depict the post-impact tire marks from the Carifelle pickup as it traversed the gravel at the entrance to Alexandria School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other calculation one must be mindful of is the distance that the defendants' truck would have covered at the speeds indicated by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some discrepancy in the evidence of the speed given by Mr. Gill. I am satisfied that for the purposes of my decision regarding liability that I am able to use the speeds of 80 and 90 km/h. At 80 km/h the Gill transport truck would have been covering 22.2 metres per second, or 72.83 feet per second. At 90 km/h the Gill transport would have been covering 25 metres per second, or 82 feet per second. At 18 feet per second it would take the Carifelle vehicle only about 4 seconds to cover 75 feet to the point of impact. Thus, based on the speed of the Gill transport, I have picked 3 and 4 seconds to do some calculations. In seconds, at 90 km/h, Mr. Gill would have covered (3 x 82) 246 feet, and at 80 km/h would have covered some (3 x 72.83) 218.49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relevant statutory provisions relating to this action are found in s. 175 and s. 176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0"/>
        <w:gridCol w:w="154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175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If a vehicle that is about to enter a through highway has stopped in compliance with section 186,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0"/>
        <w:gridCol w:w="154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176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The driver of a vehicle in a business or residence district and emerging from an alley, driveway, building or private road must stop the vehicle immediately before driving on the sidewalk or the sidewalk area extending across an alleyway or private driveway, and must yield the right of way to a pedestrian on the sidewalk or sidewalk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Section 176(2) is applicable here because under that subsection Mr. Carifelle was under a positive duty to yield the right of way to the Gill vehicle if it constituted an immediate hazard, just as section 175(1) puts the positive onus on Mr. Carifelle to yield to traffic that is approaching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question then becomes what is an immediate hazard? Mr. Justice Hood, in </w:t>
      </w:r>
      <w:r>
        <w:rPr>
          <w:rFonts w:ascii="arial" w:eastAsia="arial" w:hAnsi="arial" w:cs="arial"/>
          <w:i/>
          <w:color w:val="000000"/>
          <w:sz w:val="20"/>
          <w:lang w:val="en-US" w:eastAsia="en-US" w:bidi="ar-SA"/>
        </w:rPr>
        <w:t>Twining v. Huang</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1999 CarswellBC 2159</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[1999] B.C.J. No. 2174</w:t>
        </w:r>
      </w:hyperlink>
      <w:r>
        <w:rPr>
          <w:rFonts w:ascii="arial" w:eastAsia="arial" w:hAnsi="arial" w:cs="arial"/>
          <w:color w:val="000000"/>
          <w:sz w:val="20"/>
          <w:lang w:val="en-US" w:eastAsia="en-US" w:bidi="ar-SA"/>
        </w:rPr>
        <w:t xml:space="preserve">, had occasion to deal with that issue. Although that was an intersection case rather than a case dealing with a vehicle entering a highway, Mr. Justice Hood referred to the often quoted extract from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where Mr. Justice Davey had reiterated his definition of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Commencing at para. 16 of Mr. Justice Hood's decision in </w:t>
      </w:r>
      <w:r>
        <w:rPr>
          <w:rFonts w:ascii="arial" w:eastAsia="arial" w:hAnsi="arial" w:cs="arial"/>
          <w:i/>
          <w:color w:val="000000"/>
          <w:sz w:val="20"/>
          <w:lang w:val="en-US" w:eastAsia="en-US" w:bidi="ar-SA"/>
        </w:rPr>
        <w:t>Twining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Justice Davey also reiterated his definition of an immediate hazard, which he had given earlier in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that an approaching car is an immediate hazard if the circumstances are such as to require the driver of that car to make some sudden or violent action to avoid the threat of a collision if the servient driver fails to yield the right of way. Speed and distance generally determines what constitutes immediate hazard. Mr. Justice Davey also gave the following common-sense guidance at page 359: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having said that, I must add that in most automobile collision cases estimates of time, speed and distance do not lend themselves to exact mathematical analysis, because the estimates are by their very nature uncertain. But on occasion the results of such analysis, used with care and understanding, may be very revealing. So it is 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s. 165 dealing with rights-of-way of drivers proceeding along through streets, and stopped at stop signs on intersecting streets, is to be applied broadly from the point of view of the motorist sitting in the driver's seat, and not meticulously by a Judge with the benefit of afterthought. The situation confronting a motorist, even one waiting at a stop sign, is not a static, but a fluid one, calling for quick appreciation and judgment. </w:t>
      </w:r>
      <w:r>
        <w:rPr>
          <w:rFonts w:ascii="arial" w:eastAsia="arial" w:hAnsi="arial" w:cs="arial"/>
          <w:color w:val="000000"/>
          <w:sz w:val="20"/>
          <w:u w:val="single"/>
          <w:lang w:val="en-US" w:eastAsia="en-US" w:bidi="ar-SA"/>
        </w:rPr>
        <w:t>A driver waiting at a stop sign ought not to enter a through street unless it is clear that on-coming traffic does not constitute an immediate hazard</w:t>
      </w:r>
      <w:r>
        <w:rPr>
          <w:rFonts w:ascii="arial" w:eastAsia="arial" w:hAnsi="arial" w:cs="arial"/>
          <w:color w:val="000000"/>
          <w:sz w:val="20"/>
          <w:lang w:val="en-US" w:eastAsia="en-US" w:bidi="ar-SA"/>
        </w:rPr>
        <w:t>. Excessive refinement of what traffic is an immediate hazard will defeat the purpose of the right-of-way regulations contained in s. 165, and make them an inadequate and confusing method of regulating traffic at intersections on through streets. [Emphasis added by Hood J.]</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Davey J.A. also emphasized the importance of giving consideration to the interval of time it would take a careful driver to realize that the servient driver was making an entry into the intersection, when considering whether or not that driver's vehicle constituted an immediate hazard. Sheppard, J.A.'s general views were similar to those of Davey, J.A. He emphasized that it was the threat of collision which constitutes the entering or approaching vehicle an immediate hazard. After referring to some authorities he states at page 365: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actual collision may be remote in time and distance, nevertheless the hazard is immediate if reasonable danger of such future collision may be apprehended, that is, at the time of the proposed entry.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also refers to the vehicle being an immediate hazard by reason of "a threatened future collision although the through traffic was then at some considerable distance from the intersection". Sheppard, J.A. also pointed out that in order for the through driver to be found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three things must be established: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servient vehicle entered the intersection in disregard of the law;</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through vehicle driver became aware, or should have become aware of the servient driver's entry into the intersection in disregard to the law;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through traffic driver had a sufficient opportunity to avoid the accident and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Applying the law contained in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xml:space="preserve"> as pointed out by Justice Hood, I have determined that I accept that Mr. Carifelle entering the highway as he did in his vehicle failed to ascertain if any vehicles were approaching from the direction that the Gill vehicle was approaching from and which might constitute an immediate hazard. I cannot fully accept Mr. Carifelle's evidence that he did look both ways and did not note any vehicles approaching from either direction. This is contrary to the evidence of Mr. Gill and to the evidence of Mr. Samra; namely Mr. Gill's evidence that a vehicle was approaching from the north which prevented him from being able to safely pass the Carifelle vehicle, and Mr. Samra's evidence that southbound vehicles passed him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no evidence upon which to conclude that Mr. Gill was not giving the required attention to vehicles entering his travelled portion of the highway. The speed of the Gill vehicle which Mr. Carifelle must have anticipated as being within the permitted speed for a vehicle on Highway 97 was not properly considered by him. The distance that would have been covered in just 3 seconds disclose very little opportunity on the part of Mr. Gill to act defensively. His first thought upon seeing the Carifelle vehicle was to attempt to pass it, but he had to reconsider that movement in light of approaching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Gill, I find, was required to take evasive action simply because, in my view, Mr. Carifelle's vehicle constituted an immediate hazard to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coming to this conclusion I have come to the conclusion that the fog bank ended much closer to the driveway entrance than calculated by Mr. Carifelle and his wife in August 2006, some 7 months after the subject collision. I am troubled by the fact that Mr. Carifelle did not use the café building as a point of reference at any time prior to his evidence given at trial. I am also troubled by the fact that his evidence at trial with respect to his southerly view was inconsistent with the distances he had provided earlier. I have had to conclude that although Mr. Carifelle was attempting to be truthful at trial, his re-enactment some 7 months after the fact must have been instrumental in his belief and evidence given at trial. I believe that the re-enactment and the measurements done by him have materially altered what in fact occurred on December 23,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that after stopping at the end of his sister's driveway there was a clear duty on Mr. Carifelle to ascertain if any vehicles were approaching which might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troubled by the fact that Mr. Carifelle did not note any vehicles approaching on the highway from either the north or the south. As indicated, this is inconsistent with the evidence of Mr. Gill and Mr. Samra.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the facts of this case it is simply for Mr. Carifelle to establish that when he entered the highway it was safe for him to do so in that Mr. Gill's vehicle was not approaching so closely that it constituted an immediate hazard. That is the plaintiff's responsibility in this action to succeed in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Mr. Carifelle has not established, on a balance of probabilities, that fact. I am satisfied that the speed at which the Gill transport truck was approaching and the distance it would cover in just a few seconds can lead me only to one conclusion - namely, that the Carifelle vehicle should have yielded the right-of-way to the Gill transport truck because, given the weather conditions, the Gill transport truck was approaching too closely. In coming to this conclusion I have accepted that there was very little opportunity for Mr. Gill to react because of the closeness of the fog bank to the driveway. I am simply not satisfied that Mr. Gill had a sufficient opportunity to avoid the accident and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end result I have no option but to dismiss the plaintiff's action,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E.G. 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Columere Park Developments Ltd. v. Enviro Custom Homes Inc., [2010] B.C.J. No. 1749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21-25, 28-30 and July 5-8,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18917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1248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C.L.R. (3d) 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1033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Columere Park Developments Ltd., Plaintiff, and Enviro Custom Homes Inc., John Groothius, Craig Bischke and Robert N. Maertens-Poole,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2"/>
      <w:bookmarkEnd w:id="194"/>
      <w:r>
        <w:rPr>
          <w:rFonts w:ascii="arial" w:eastAsia="arial" w:hAnsi="arial" w:cs="arial"/>
          <w:b/>
          <w:color w:val="000000"/>
          <w:sz w:val="20"/>
          <w:lang w:val="en-US" w:eastAsia="en-US" w:bidi="ar-SA"/>
        </w:rPr>
        <w:t xml:space="preserve">Tort law — Trespass — To goods — Conversion — What constituting — Action for conversion, breach of statutory trust, negligent misrepresentation,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duty of care, and breach of constructive trust allowed — Plaintiff awarded 2,859,815 against personal defendants and $3,191,695 against Enviro for conversion — Plaintiff developer contracted with corporate defendant for construction of condominium complex — Personal defendants, directors of corporation, diverted plaintiff's funds from Enviro to unaffiliated company — Enviro went bankrupt — Tort of conversion was made out since several wrongful acts of transfer occurred which disposed of the funds and resulted in the full denial of the plaintiff's right to have the funds used as payment in fulfillment of contractual obligations.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Fraud and misrepresentation — Negligent misrepresentation (Hedley Byrne principle) — Detrimental reliance — Action for conversion, breach of statutory trust, negligent misrepresentation,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duty of care, and breach of constructive trust allowed — Plaintiff awarded 2,859,815 against personal defendants and $3,191,695 against Enviro for conversion — Personal defendants also liable for negligent misrepresentation — Plaintiff developer contracted with corporate defendant for construction of condominium complex — Personal defendants, directors of corporation, diverted plaintiff's funds from Enviro to unaffiliated company — Enviro went bankrupt — Plaintiff relied on statements that funds were needed for deposits and on omission of information that these funds were being diverted and disposed of for other purposes.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0"/>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conversion, breach of statutory trust,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duty of care, and breach of constructive trust against the principals of the defendant Enviro Custom Homes. The plaintiff developer had contracted with Enviro to construct a condominium development for the plaintiff. Enviro was now bankrupt. The plaintiff alleged that the personal defendant caused funds to be diverted from Enviro to a then unaffiliated corporation, Enviro AB, with the consequence that the plaintiff had to advance funds in addition to its fixed price contract with Enviro to save the project and prevent an even greater financial loss. After the contract was in force, Enviro requested funds from the plaintiff for deposits and other purposes which were then siphoned off to Enviro AB. The personal defendants argued that, as directors of Enviro, they owed no duty of care to the plaintiff and that, as owner, the plaintiff was not a beneficiary under the Builders Lien Act and thus had no claim in breach of statutory trust. The defendants argued that the factors necessary for the court to impose a constructive trust did not exist. The plaintiff had not retained the 10 per cent holdback under the Builders Lien Act, mainly because the defendant Groothius had told the plaintiff that Enviro needed the full amount of all of its draws in order to undertake and continue construction. When Enviro failed to pay the trades, the plaintiff was required to secure further financing to pay the unpaid trades in order to continue with the project.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6" w:name="Holdings of Court_18"/>
            <w:bookmarkEnd w:id="19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2,859,815 against the personal defendants and against Enviro in the amount of $3,191,695 for conversion. The defendants converted the funds paid by the plaintiff for uses outside the purview of their authority. Enviro AB had no right to the plaintiff's funds nor did the directors have the right to direct the use of those funds for the benefit of a corporation that was, in law, a stranger to Enviro, other than for payment for specific work or services -- neither of which was billed. The defendants attempted to skim off essentially all of the estimated profit before ensuring that the trades and suppliers were paid as the contract required. The tort of conversion was made out since several wrongful acts of transfer occurred which disposed of the funds and resulted in the full denial of the plaintiff's right to have the funds used as payment in fulfillment of contractual obligations. All the personal defendants knew that the funds were being misused. Alternatively, the tort of negligent misrepresentation was made out for the omissions of the personal defendants to reveal the true circumstances of use of the plaintiff's funds. The plaintiff relied on the statements that funds were needed for deposits as well as the omission of information that these funds were being diverted and disposed of for other purposes. This reliance was reasonable given the formalized contractual relationship in place at that time. The measure of damages for negligent misrepresentation was the plaintiff's cost overruns until the time of bankruptcy.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Legislation Cited_14"/>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2"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Builders Lien Act, </w:t>
      </w:r>
      <w:hyperlink r:id="rId640" w:history="1">
        <w:r>
          <w:rPr>
            <w:rFonts w:ascii="arial" w:eastAsia="arial" w:hAnsi="arial" w:cs="arial"/>
            <w:i/>
            <w:color w:val="0077CC"/>
            <w:sz w:val="20"/>
            <w:u w:val="single"/>
            <w:shd w:val="clear" w:color="auto" w:fill="FFFFFF"/>
            <w:lang w:val="en-US" w:eastAsia="en-US" w:bidi="ar-SA"/>
          </w:rPr>
          <w:t>SBC 1997, CHAPTER 45, s. 10</w:t>
        </w:r>
      </w:hyperlink>
      <w:r>
        <w:rPr>
          <w:rFonts w:ascii="arial" w:eastAsia="arial" w:hAnsi="arial" w:cs="arial"/>
          <w:color w:val="000000"/>
          <w:sz w:val="20"/>
          <w:lang w:val="en-US" w:eastAsia="en-US" w:bidi="ar-SA"/>
        </w:rPr>
        <w:t>, s. 11(7), s.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Corporations Act, </w:t>
      </w:r>
      <w:hyperlink r:id="rId641" w:history="1">
        <w:r>
          <w:rPr>
            <w:rFonts w:ascii="arial" w:eastAsia="arial" w:hAnsi="arial" w:cs="arial"/>
            <w:i/>
            <w:color w:val="0077CC"/>
            <w:sz w:val="20"/>
            <w:u w:val="single"/>
            <w:shd w:val="clear" w:color="auto" w:fill="FFFFFF"/>
            <w:lang w:val="en-US" w:eastAsia="en-US" w:bidi="ar-SA"/>
          </w:rPr>
          <w:t>SBC 2002, CHAPTER 57, s. 142</w:t>
        </w:r>
      </w:hyperlink>
      <w:r>
        <w:rPr>
          <w:rFonts w:ascii="arial" w:eastAsia="arial" w:hAnsi="arial" w:cs="arial"/>
          <w:color w:val="000000"/>
          <w:sz w:val="20"/>
          <w:lang w:val="en-US" w:eastAsia="en-US" w:bidi="ar-SA"/>
        </w:rPr>
        <w:t>(1)(a), s. 142(1)(b)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8" w:name="Counsel_27"/>
      <w:bookmarkEnd w:id="1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Hall, M.A.M. Brunton.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Craig Bischke: K.P. Colborne.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Robert N. Maertens-Poole: R.W. McDiarmid,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in Person: John Groothius.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27"/>
      <w:bookmarkEnd w:id="199"/>
      <w:r>
        <w:pict>
          <v:line id="_x0000_s1154"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T.J. MELNICK J._0"/>
            <w:bookmarkEnd w:id="200"/>
            <w:r>
              <w:rPr>
                <w:rFonts w:ascii="arial" w:eastAsia="arial" w:hAnsi="arial" w:cs="arial"/>
                <w:b/>
                <w:color w:val="000000"/>
                <w:sz w:val="30"/>
                <w:lang w:val="en-US" w:eastAsia="en-US" w:bidi="ar-SA"/>
              </w:rPr>
              <w:t>T.J. 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Columere Park Developments Ltd. ("Columere"), is a developer. Columere contracted with a corporate predecessor of the defendant Enviro Custom Homes Inc. ("ECH") to construct for it a condominium development near Fairmont Hot Springs, British Columbia. ECH is now bankrupt. Columere seeks judgment against the personal defendants, the then principals of ECH and its predecessors, on the basis that these defendants caused funds to be diverted from the corporation, ECH Enviro Custom Homes Inc. ("Enviro BC"), with which Columere had contracted, to a then unaffiliated corporation, Enviro Custom Homes Inc. ("Enviro AB"), with the consequence that Columere had to advance funds in addition to its fixed price contract with Enviro BC to save the project and prevent an even greater financial loss. Thus, Columere claims against the defendants John Groothius ("Mr. Groothius"), Craig Bischke ("Mr. Bischke") and Robert N. Maertens-Poole ("Mr. Maertens-Poole") in conversion, breach of statutory trust,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of care, and breach of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Mr. Bischke and Mr. Maertens-Poole respond that Columere is simply attempting to pierce ECH's corporate veil. They say that as directors of Enviro BC they owed no duty of care to Columere; that, as owner, Columere was not a beneficiary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and thus has no claim in breach of statutory trust; that funds paid by Columere to Enviro BC or Enviro AB became the funds of Enviro BC subject to the contractual obligations of Enviro BC to Columere - but there was no further right to possession of those funds in Columere upon which to found a claim in conversion; that Columere has not established that it placed any reliance on the personal defendants (nor that those defendants were in a sufficiently proximate relationship with Columere or did or said anything to give rise to such an expectation on the part of Columere); and that in this case, the factors necessary for the court to impose a constructive trust do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any event, argue the defendants Mr. Maertens-Poole and Mr. Bischke, Columere substantially contributed to its own loss by failing to retain the 10% holdback required by the </w:t>
      </w:r>
      <w:r>
        <w:rPr>
          <w:rFonts w:ascii="arial" w:eastAsia="arial" w:hAnsi="arial" w:cs="arial"/>
          <w:i/>
          <w:color w:val="000000"/>
          <w:sz w:val="20"/>
          <w:lang w:val="en-US" w:eastAsia="en-US" w:bidi="ar-SA"/>
        </w:rPr>
        <w:t>Builders Lien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he was present throughout the trial, Mr. Groothius, other than conducting a brief cross-examination, called no evidence and made no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principals of Columere are Dave Rae ("Mr. Rae") and Donna Rae ("Ms. Rae"). They formed Columere to develop a 500 acre parcel of land adjacent to Columbia Lake in south-eastern British Columbia. By early 2005, Columere's planning had reached the stage of looking for a contractor to construct the first phase of a condominium project which came to be named "Spirits Reach". Around this time Ms. Rae became aware of Enviro AB and work the company had done. In due course, meetings were held between Mr. and Ms. Rae (on behalf of Columere) and Mr. Groothius, Mr. Bischke as well as (sometimes) Mr. Maertens-Poole (on behalf of Enviro 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Columere and Enviro AB were small, closely held companies whose principals stressed environmentally sustainable development and construction practices. Mr. and Ms. Rae felt that, in many ways, the management structure of Enviro AB was similar to Columere's. A series of meetings and negotiations led to Columere and Enviro AB entering into a contract to design 62 attached single family residences to be developed as the "Spirit of the Lake" project within Spirits Reach. Subsequently, on August 16, 2006, Columere and Enviro AB entered into a fixed price contract ("the Contract") for the construction of now 63 residential units of which 34 were to be constructed first. After its incorporation, Enviro BC was made party to the Contract in the place of Enviro AB. It was the expressed intent of the two parties to the Contract that 63 units would be built over 24 months, although things did not work out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extent of the due diligence carried out by Mr. and Ms. Rae on behalf of Columere with respect to Enviro AB appears to have been limited to viewing the show home constructed by Enviro AB; Ms. Rae spending quite a bit of time at the booth operated by Enviro AB at a trade fair in Calgary; and meetings, mostly in Calgary but one on site at Columbia Lake, as noted above. In addition, Mr. and Ms. Rae and Mr. Maertens-Poole had a common friend who conveyed to the Raes that Mr. Maertens-Poole, who himself had a cabin on Columbia Lake, was a good person. Whether any more aggressive enquiries would have revealed the precarious state of Enviro AB's finances in 2005 and 2006 is a good question. The reality was, however, that Enviro AB, in business only since mid-2002, was in difficult financial circumstances at the time Mr. and Ms. Rae made contact with its principals in early 2005. While this was for a number of reasons, two are notable here: at least three residential home customers were refusing to pay sums representing a substantial part of Enviro AB's receivables and Mr. Groothius, the principal responsible for estimating and pricing jobs, was underestimating their cost. He was further causing concern to Mr. Bischke and Mr. Maertens-Poole by sometimes forging Mr. Bischke's name on Enviro AB's cheques (signatures of two of the three principals were required on these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Groothius was the principal who had experience in residential home construction. Mr. Bischke's experience was largely in design while Mr. Maertens-Poole is a chartered accountant who had assisted Mr. Groothius with the financial aspects of setting up the corporate and business structure of Enviro AB. Mr. Maertens-Poole described himself and was held out as Enviro AB's chief financial officer. Mr. Maertens-Poole portrayed himself as a relatively hands-off financial officer leaving most of the financial affairs of Enviro AB to Mr. Groothius and a bookkeeper (when Enviro AB had one). Mr. Maertens-Poole said that he attended largely to the preparation of financial statements, raising capital and instructing Enviro AB's corporate solicitors. However, Mr. Maertens-Poole was well aware of Enviro AB's financial problems before it contracted with Columere and he also knew that he, Mr. Bischke and Enviro AB all had a problem on their hands in the person of Mr. Groothius, both with respect to his honesty and his competency at estimating and pricing. Prior to the Contract however, like Mr. Bischke, who was similarly aware of these problems, Mr. Maertens-Poole did little or nothing to address either problem, perhaps hoping that time would resolve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against this background that the possibility of the Spirits Reach project fell into the collective laps of Enviro AB and its principals. It was by far the largest and most expensive (and potentially most remunerative) contract that Enviro AB had ever entered into. However, in spite of knowing what they faced with Mr. Groothius's competency and honesty, Mr. Maertens-Poole and Mr. Bischke carried on as if these problems didn't exist - seduced, no doubt, by the prospect of cash from a contract with Columere that would help offset the deficit accumulated by the short years of operations of Enviro AB. In fact, at one meeting before so much as a spade had gone into the ground at Columbia Lake, Mr. Maertens-Poole enquired about when money would be forthcoming. As it happened it wasn't long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Columere had arranged financing for its project through Meridian Mortgage Corporation (later known as Sterling Bridge Mortgage Corporation) ("SBMC"). SBMC would only advance draws on the basis of independent proof of work completed. The Contract provided that payment would be made by Columere on the basis of progress claims supported by a statutory declaration if required by Columere. Schedule 'A' to the Contract also provided for a percentage of the value of each unit to be advanced at given stages of construction per unit. But both parties recognized the reality that SBMC called the shots on advancing mortgage funds. It was agreed verbally that funds would be advanced by Columere in the manner requested by SBMC. By this time, apparently on the instructions of Mr. Maertens-Poole, Enviro BC had been incorporated (August 28, 2006). The idea was that a separate corporate structure would be created to replace Enviro AB as the contractor in the Contract. Enviro BC's name was then substituted on the Contract. Enviro BC had the same principals as Enviro AB but they were in no way affiliated companies. Clearly, however, it was understood that Enviro AB personnel would be providing many of the services to complete the Contract. This then became a matter between Enviro AB and Enviro BC as to how Enviro AB would be compensated. However, Columere's agreement was only with Enviro BC. One other portion of the Contract was changed: the price per residential unit was reduced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Enviro AB had GST registration with the federal government. At the time of its incorporation Enviro BC did not. This was one reason Columere was asked to have advances paid to Enviro AB, notwithstanding that it had contracted with Enviro BC. Further, Enviro BC did not initially have a bank account. Columere was happy to oblige by making payments (at least at this stage) to Enviro AB. In any event, it is clear that all parties were agreed that, whether funds were advanced to Enviro AB or Enviro BC, those funds were on account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Early on, Enviro BC requested an advance even though, at that point, no work on site had yet commenced (although much work had gone into the design and planning processes). SBMC accommodated this request and, for the only time in the process, advanced just over $382,000 directly to Enviro AB based upon the instructions of Columere who relied on Enviro BC's request for an advance of a 10% deposit of the first nine units to be constructed. As far as I can tell, this was the only advance allowed by SBMC without independent proof of completion of work or an invoice for a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 $382,000 was received into the bank account of Enviro AB it was used, virtually in its entirety, to pay trade accounts and other debt obligations of Enviro AB that were totally unrelated to the Contract. Mr. Maertens-Poole later recorded a transfer of $375,000 in the general ledger of Enviro AB as a "management fee" paid to Enviro AB by Enviro BC to justify, on paper, Enviro AB's use of the funds. The amount of $375,000 was arrived at upon the recommendation of a Mr. Pat Toth ("Mr. Toth") who was then retained by Mr. Maertens-Poole on behalf of Enviro AB to prepare a proposal for raising capital. This figure was what was required to make it appear that Enviro AB was operating profitably. This management fee was never otherwise evidenced by an invoice or similar document (on a subsequent occasion, another $600,000 "management fee" was similarly dealt with). In fact, in November 2006, at a management meeting of Enviro AB and Enviro BC, the three principals - Messrs. Groothius, Bischke and Maertens-Poole - formally agreed to continue the practice of using funds paid by Columere for the Spirits Reach project to pay urgent payables of Enviro 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procedure established for the advance of funds from Columere to Enviro BC was that, at a given stage, an appraiser (Mr. Brad McInnes of Cranbrook) would inspect the project and estimate the percentage of completion of each residential unit. He would then assign a dollar value to the extent of work done between the time of inspection and that recorded in his previous report. These amounts were based on an "approved price" or eventual market value for each unit. However, notwithstanding that procedure, from time to time Enviro BC, through Mr. Groothius, indicated that it required deposits or advances to cover deposits being requested by manufacturers of components required in the project (for example: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this was not in accordance with SBMC's requirements, SBMC recognized the reality that, in such projects, deposits are sometimes required by suppliers. Thus, SBMC agreed to fund the deposits on the basis that any amount requested would be supported by an invoice from the supplier for the deposit and that any amount advanced would be eventually deducted from a draw which covered construction that incorporated the particular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problem with this was that Enviro BC's suppliers were not actually asking for deposits (although there may have been at most a couple of times where that was the case). In point of fact these deposit requests were inventions of Mr. Groothius to help Enviro AB deal with its ongoing financial problems. Mr. Groothius would tell Mr. Rae that a deposit was required and then forge an invoice from a supplier to cover the requirements of SBMC. The funds thus acquired would then be used as cash flow for Enviro AB's purposes. These funds were generally not used for any deposit but rather to prop up Enviro AB. Deposits totalling $2.1 million were paid by Columere to Enviro BC through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noted above, construction on the first 34 units commenced in October 2006. Although construction was always behind schedule, it did proceed. However, on October 20, 2007, Mr. Rae received a call from one of the tradespeople working on the project. During the phone call that person indicated that his firm had not been paid. Mr. Rae was quite taken aback by this as Columere was at that point up to date with the progress payments for which it had been invoiced, plus having paid a number of deposits. It was then that Columere became aware that Enviro BC had trade creditors relating to Spirits Reach (its only project) of $1.6 million and no ability to pay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Columere was then in a very difficult position. It had not retained the 10% holdback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in large measure because Mr. Groothius had told Mr. Rae that Enviro BC needed the full amount of all of its draws in order to undertake and continue construction. Thus, in deciding not to retain the statutory lien holdbacks, Mr. Rae had made a decision that left Columere exposed to lien claims for unpaid trades. Mr. and Ms. Rae realized that the whole Spirits Reach project could be in jeopardy if the project was liened as that would, among other complications, breach the terms of Columere's loan agreement with SBMC. Trying to get another contractor at that point was an unlikely prospect and Columere had a number of the units pre-sold on the basis of promised completion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Columere thus took the most pragmatic approach it could in the circumstances: it secured another $2.25 million from SBMC of which the net available loan proceeds were $1.6 million. Columere used most of the net proceeds to pay off the trade creditors of Enviro BC that related to the Spirits Reach project. An agreement was reached with Enviro BC for it to continue as contractor through to completion without its being paid any funds directly. A process was then set in place whereby Columere would pay the trades directly with payment being credited against the Contract. Even then, Mr. and Ms. Rae had to borrow from friends and mortgage other property to get sufficient funds to continue construction. Ultimately, Enviro BC (later ECH) brought the project to about 95% completion before abandoning it in late September 2008. As of now, all but eight units have been sold. As each purchaser takes possession, Columere completes the remaining work in that unit (about $10,000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the crisis brought about by the telephone call to Mr. Rae on October 20, 2007, was not the only crisis taking place. Mr. Bischke had discovered, as early as 2003, that Mr. Groothius had forged Mr. Bischke's signature on a cheque of Enviro AB to pay a trade account. Mr. Bischke found that Mr. Groothius did this on a number of subsequent occasions. Mr. Bischke confronted Mr. Groothius about the forgery, at first keeping it between them, and later (early 2006) making Mr. Maertens-Poole aware of this practice. However, in the spring of 2007 Mr. Groothius went even further forging Mr. Bischke's signature on three cheques, drawn on the Enviro BC bank account, all for his personal benefit. Subsequently, in June 2007, Mr. Bischke had Mr. Groothius sign an acknowledgment that he had done this. Even though both Mr. Bischke and Mr. Maertens-Poole were aware of Mr. Groothius's forgeries, before Enviro AB (later Enviro BC) entered into the Contract, they instituted no controls on his running either company. Neither one apparently considered the potential for dishonesty by Mr. Groothius a future problem for themselves, the Enviro companies or Columere. By June 2007, Mr. Bischke and Mr. Maertens-Poole restricted Mr. Groothius's signing authority, but continued to allow him to represent Enviro BC in its dealings with Columere.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June 2007, Mr. Maertens-Poole was well aware that the Enviro companies had organizational and operating difficulties. In the fall of 2006, he pushed for Enviro AB to hire Failsafe Canada Ltd.: a management consulting firm whose representative, Mr. Tom Welling ("Mr. Welling"), examined the management practices of Enviro AB and Enviro BC. In fact, Mr. Welling through his own company, Kikoman Creek Ltd. ("Kikoman") was subsequently hired in mid 2007 to assume management of the Spirits Reach project in place of Mr. Groothius. It was Mr. Welling who conveyed to Mr. Rae in October 2007, the extent of the bad news of the unpaid trade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new system of Columere paying trades and suppliers directly worked well except that, of course, to get the project even to the ultimate level of 95% complete, Columere had to pay much more than the sum stipulated in the Contract. To the time of trial, Columere claims that it has paid (including interest and fees to SBMC) about $3.1 million over the Contract price and is responsible for about another $80,000 to complete and make ready for delivery the remaining eight unsold units (the Contract price was fixed at just over $15 million with some extras).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to the above, Columere had to pay $121,500 to repair damage to a unit or units caused by flooding for which ECH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Enviro AB and Enviro BC were amalgamated into ECH effective November 30, 2007, on the instructions of Mr. Maertens-Poole. Notably, as part of that process, Mr. Maertens-Poole swore a declaration that he had examined the books and records of Enviro AB and Enviro BC and had made the necessary investigation to enable him to state that, upon amalgamation, ECH would be able to pay its liabilities as they became due, and that the realizable value of the assets of ECH would not be less than the aggregate of its liabilities and stated capital. On September 25, 2007, at the time they were declared, these statements were patently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Groothius had estimated that the Contract would pay Enviro BC a profit of $2.3 million. Notwithstanding Mr. Groothius's track record of unreliable estimating, both Mr. Bischke and Mr. Maertens-Poole expressed their faith in that estimation. At the time he disclosed to Mr. Rae the large outstanding debts to trades and suppliers in October 2007, even Mr. Welling was apparently of the view that Enviro BC could still turn a profit by completing the 34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Conversion:</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are three grounds by which a plaintiff may base its right to sue in conversion:</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ownership of goods;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immediate possession of goods;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possession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Where ownership is the basis for the action, the fact that the plaintiff was out of possession at the material time will not bar the bringing of the action: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2nd ed. (Toronto: Carswell, 2002) at 145-146.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Conversion is a tort providing protection from the intentional interference with one's chattels. It is an "expansionary and flexible concept" encompassing many situations. There are three central elements to the tort of conversion: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protection of "persons who are in possession of chattels or who have the right to immediate possession of chattels."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is restricted to situations where the interference with the chattel is intentional.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of conversion must be so serious an interference with the rights of the plaintiff that the defendant may be required to pay its whole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Conversion can occur through the unauthorized disposition of another's chattel. See: Philip H. Osbourne,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3rd ed. (Toronto: Irwin Law Inc., 2007) at 292-294.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Ast v. Mikolas</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2010 BCSC 127</w:t>
        </w:r>
      </w:hyperlink>
      <w:r>
        <w:rPr>
          <w:rFonts w:ascii="arial" w:eastAsia="arial" w:hAnsi="arial" w:cs="arial"/>
          <w:color w:val="000000"/>
          <w:sz w:val="20"/>
          <w:lang w:val="en-US" w:eastAsia="en-US" w:bidi="ar-SA"/>
        </w:rPr>
        <w:t>, Mr. Justice Cullen enunciated the legal test for conversion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 The elements that must be proven to establish the tort of conversion are: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wrongful act by the defendant involving the goods of the plaintiff;</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must consist of handling, disposing, or destroying the goods;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actions must have either the effect or intention of interfering with (or denying) the plaintiff's right or title to the goods.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 Conversion is a tort involving strict liability where even an innocent third party recipient of stolen goods may commit the tort of conversion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An important point to be made before going further is that the subject chattel of the tort of conversion can be funds. This is made explicit in recent jurisprudence: </w:t>
      </w:r>
      <w:r>
        <w:rPr>
          <w:rFonts w:ascii="arial" w:eastAsia="arial" w:hAnsi="arial" w:cs="arial"/>
          <w:i/>
          <w:color w:val="000000"/>
          <w:sz w:val="20"/>
          <w:lang w:val="en-US" w:eastAsia="en-US" w:bidi="ar-SA"/>
        </w:rPr>
        <w:t>Ast</w:t>
      </w:r>
      <w:r>
        <w:rPr>
          <w:rFonts w:ascii="arial" w:eastAsia="arial" w:hAnsi="arial" w:cs="arial"/>
          <w:color w:val="000000"/>
          <w:sz w:val="20"/>
          <w:lang w:val="en-US" w:eastAsia="en-US" w:bidi="ar-SA"/>
        </w:rPr>
        <w:t xml:space="preserve"> at para. 128; </w:t>
      </w:r>
      <w:r>
        <w:rPr>
          <w:rFonts w:ascii="arial" w:eastAsia="arial" w:hAnsi="arial" w:cs="arial"/>
          <w:i/>
          <w:color w:val="000000"/>
          <w:sz w:val="20"/>
          <w:lang w:val="en-US" w:eastAsia="en-US" w:bidi="ar-SA"/>
        </w:rPr>
        <w:t>Drucker, Inc. v. Gui</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2009 BCSC 542</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Dhothar v. Atwal</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2009 BCSC 1203</w:t>
        </w:r>
      </w:hyperlink>
      <w:r>
        <w:rPr>
          <w:rFonts w:ascii="arial" w:eastAsia="arial" w:hAnsi="arial" w:cs="arial"/>
          <w:color w:val="000000"/>
          <w:sz w:val="20"/>
          <w:lang w:val="en-US" w:eastAsia="en-US" w:bidi="ar-SA"/>
        </w:rPr>
        <w:t xml:space="preserve"> at para. 16. The apposite passage comes from </w:t>
      </w:r>
      <w:r>
        <w:rPr>
          <w:rFonts w:ascii="arial" w:eastAsia="arial" w:hAnsi="arial" w:cs="arial"/>
          <w:i/>
          <w:color w:val="000000"/>
          <w:sz w:val="20"/>
          <w:lang w:val="en-US" w:eastAsia="en-US" w:bidi="ar-SA"/>
        </w:rPr>
        <w:t>Royal Canadian Legion, Branch No. 15 v. Burkitt</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2005 BCSC 1752</w:t>
        </w:r>
      </w:hyperlink>
      <w:r>
        <w:rPr>
          <w:rFonts w:ascii="arial" w:eastAsia="arial" w:hAnsi="arial" w:cs="arial"/>
          <w:color w:val="000000"/>
          <w:sz w:val="20"/>
          <w:lang w:val="en-US" w:eastAsia="en-US" w:bidi="ar-SA"/>
        </w:rPr>
        <w:t xml:space="preserve"> at para.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conversion is made out where there is a positive wrongful act of dealing with goods, or in this case, funds, in a manner, and with an intention, inconsistent with the owner's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the bulk of jurisprudence about conversion does not deal with funds (as is the issue at bar) but rather goods or other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Conversion usually results in what can essentially be characterized as a "forced sale" of the chattel. The remedy of forced sale is an exceptional one, this confines the tort of conversion to major interferences which are serious enough to warrant the recovery of the full value of the goods. Typically, the value of the chattel is assessed at the time of conversion. This is different from the tort of "detinue": which is a continuing wrong for which the cause of action may be defeated by a return of the chattel any time before judgment. Damages for detinue are thus assessed at the time of trial. When conversion occurs, however, plaintiffs are expected to mitigate by replacing the chattel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remedial distinction between detinue and conversion is the subject of some debate and has led to the recent support for "bridging the gap by awarding in conversion any increase in the value of goods as consequential damages" which, ideally, would "lessen the evil of having remedies dependant on procedural technicalities":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at 292; see also the words of Estey J.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Asamera Oil Corp. Ltd. v. Sea Oil &amp; General Corp.</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[1979] 1 S.C.R. 633</w:t>
        </w:r>
      </w:hyperlink>
      <w:r>
        <w:rPr>
          <w:rFonts w:ascii="arial" w:eastAsia="arial" w:hAnsi="arial" w:cs="arial"/>
          <w:color w:val="000000"/>
          <w:sz w:val="20"/>
          <w:lang w:val="en-US" w:eastAsia="en-US" w:bidi="ar-SA"/>
        </w:rPr>
        <w:t xml:space="preserve"> at 652-653. With respect to acts of conversion, consequential loss typically refers to the change in value of the chattel(s) at issue, however, where funds are at issue, the valuation is simple. A somewhat broader characterization of "consequential loss" is appropriate in this case, and such an interpretation accords generally with the remedial principle of compensatory damages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approach is reflected in Leanne Berry, Linda Rainaldi &amp; Kim Kreuzer eds., Lewis Klar, Allan Linden, Earl Cherniak &amp; Peter Kryworuk,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looseleaf (Toronto: Carswell, 1987) at 4-31: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 62</w:t>
      </w:r>
      <w:r>
        <w:rPr>
          <w:rFonts w:ascii="arial" w:eastAsia="arial" w:hAnsi="arial" w:cs="arial"/>
          <w:color w:val="000000"/>
          <w:sz w:val="20"/>
          <w:lang w:val="en-US" w:eastAsia="en-US" w:bidi="ar-SA"/>
        </w:rPr>
        <w:t xml:space="preserve"> In an action for conversion, the normal measure of damages is the value of the chattel at the date of conversion, together with any consequential damage flowing from the conversion, provided it is not too remote to be recovered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And at 4-33: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 67</w:t>
      </w:r>
      <w:r>
        <w:rPr>
          <w:rFonts w:ascii="arial" w:eastAsia="arial" w:hAnsi="arial" w:cs="arial"/>
          <w:color w:val="000000"/>
          <w:sz w:val="20"/>
          <w:lang w:val="en-US" w:eastAsia="en-US" w:bidi="ar-SA"/>
        </w:rPr>
        <w:t xml:space="preserve"> In addition to the value of the chattel, the plaintiff is also entitled to compensation for any special damages which the law does not regard as too remote, such as loss of profits or loss of rental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Finally, also at 4-33 (under s. 68), interest "may be allowed by way of damages in an action for conversion as where the plaintiff has been deprived of the use of a large amount of money over a long period of time." Consequential losses should be limited by the general principles of remoteness. Damages for conversion are also subject to the plaintiff's duty to mitigate: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at 154-155.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to corporate and director's liability,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xml:space="preserve"> addresses the relevant situation at 4-40.3: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 91.1</w:t>
      </w:r>
      <w:r>
        <w:rPr>
          <w:rFonts w:ascii="arial" w:eastAsia="arial" w:hAnsi="arial" w:cs="arial"/>
          <w:color w:val="000000"/>
          <w:sz w:val="20"/>
          <w:lang w:val="en-US" w:eastAsia="en-US" w:bidi="ar-SA"/>
        </w:rPr>
        <w:t xml:space="preserve"> A director or a shareholder who commits a tort of conversion will be personally liable for the conversion. That individual is the primary tortfeasor responsible for the conversion occurring and the fact that he or she was acting on behalf of the company is no defence. Where the conduct of the sole officer, director and shareholder of the corporate defendant is intentional, wilful and deliberate, both the individual and the company are jointly liable for the torts of conversion and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Craig v. North Shore Heli Logging Ltd.</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(1997), 34 B.C.L.R. (3d) 330</w:t>
        </w:r>
      </w:hyperlink>
      <w:r>
        <w:rPr>
          <w:rFonts w:ascii="arial" w:eastAsia="arial" w:hAnsi="arial" w:cs="arial"/>
          <w:color w:val="000000"/>
          <w:sz w:val="20"/>
          <w:lang w:val="en-US" w:eastAsia="en-US" w:bidi="ar-SA"/>
        </w:rPr>
        <w:t xml:space="preserve"> (S.C.), Smith J. relied on </w:t>
      </w:r>
      <w:r>
        <w:rPr>
          <w:rFonts w:ascii="arial" w:eastAsia="arial" w:hAnsi="arial" w:cs="arial"/>
          <w:i/>
          <w:color w:val="000000"/>
          <w:sz w:val="20"/>
          <w:lang w:val="en-US" w:eastAsia="en-US" w:bidi="ar-SA"/>
        </w:rPr>
        <w:t>Shibamoto &amp; Co. Ltd. v. Western Fish Producers Inc.</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[1991] 3 F.C. 214</w:t>
        </w:r>
      </w:hyperlink>
      <w:r>
        <w:rPr>
          <w:rFonts w:ascii="arial" w:eastAsia="arial" w:hAnsi="arial" w:cs="arial"/>
          <w:color w:val="000000"/>
          <w:sz w:val="20"/>
          <w:lang w:val="en-US" w:eastAsia="en-US" w:bidi="ar-SA"/>
        </w:rPr>
        <w:t xml:space="preserve"> (T.D.) aff'd </w:t>
      </w:r>
      <w:hyperlink r:id="rId649" w:history="1">
        <w:r>
          <w:rPr>
            <w:rFonts w:ascii="arial" w:eastAsia="arial" w:hAnsi="arial" w:cs="arial"/>
            <w:i/>
            <w:color w:val="0077CC"/>
            <w:sz w:val="20"/>
            <w:u w:val="single"/>
            <w:shd w:val="clear" w:color="auto" w:fill="FFFFFF"/>
            <w:lang w:val="en-US" w:eastAsia="en-US" w:bidi="ar-SA"/>
          </w:rPr>
          <w:t>(1992) 145 N.R. 91</w:t>
        </w:r>
      </w:hyperlink>
      <w:r>
        <w:rPr>
          <w:rFonts w:ascii="arial" w:eastAsia="arial" w:hAnsi="arial" w:cs="arial"/>
          <w:color w:val="000000"/>
          <w:sz w:val="20"/>
          <w:lang w:val="en-US" w:eastAsia="en-US" w:bidi="ar-SA"/>
        </w:rPr>
        <w:t xml:space="preserve"> (F.C.A.) as well as the words of Southin J.A. in </w:t>
      </w:r>
      <w:r>
        <w:rPr>
          <w:rFonts w:ascii="arial" w:eastAsia="arial" w:hAnsi="arial" w:cs="arial"/>
          <w:i/>
          <w:color w:val="000000"/>
          <w:sz w:val="20"/>
          <w:lang w:val="en-US" w:eastAsia="en-US" w:bidi="ar-SA"/>
        </w:rPr>
        <w:t>Tucker (Public Trustee of) v. Asleson</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at 216, in finding the defendants (the director of the company, an employee, and the company itself) jointly and severally liable for concurrent acts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broad proposition from </w:t>
      </w:r>
      <w:r>
        <w:rPr>
          <w:rFonts w:ascii="arial" w:eastAsia="arial" w:hAnsi="arial" w:cs="arial"/>
          <w:i/>
          <w:color w:val="000000"/>
          <w:sz w:val="20"/>
          <w:lang w:val="en-US" w:eastAsia="en-US" w:bidi="ar-SA"/>
        </w:rPr>
        <w:t>Shimbamoto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Craig</w:t>
      </w:r>
      <w:r>
        <w:rPr>
          <w:rFonts w:ascii="arial" w:eastAsia="arial" w:hAnsi="arial" w:cs="arial"/>
          <w:color w:val="000000"/>
          <w:sz w:val="20"/>
          <w:lang w:val="en-US" w:eastAsia="en-US" w:bidi="ar-SA"/>
        </w:rPr>
        <w:t xml:space="preserve"> that "an individual chooses to convert property belonging to a third party and that property is in the possession of a company which he controls, the individual as well as the company is liable in tort" was questioned in the later case of </w:t>
      </w:r>
      <w:r>
        <w:rPr>
          <w:rFonts w:ascii="arial" w:eastAsia="arial" w:hAnsi="arial" w:cs="arial"/>
          <w:i/>
          <w:color w:val="000000"/>
          <w:sz w:val="20"/>
          <w:lang w:val="en-US" w:eastAsia="en-US" w:bidi="ar-SA"/>
        </w:rPr>
        <w:t>CIT Financial Ltd. v. 1153461 Ontario Inc.</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(2004), 47 B.L.R. (3d) 269</w:t>
        </w:r>
      </w:hyperlink>
      <w:r>
        <w:rPr>
          <w:rFonts w:ascii="arial" w:eastAsia="arial" w:hAnsi="arial" w:cs="arial"/>
          <w:color w:val="000000"/>
          <w:sz w:val="20"/>
          <w:lang w:val="en-US" w:eastAsia="en-US" w:bidi="ar-SA"/>
        </w:rPr>
        <w:t xml:space="preserve"> at para. 68 (Ont. S.C.J.). In that case, Sutherland J. stated that the facts surrounding the commission of the tort (including the fraudulent or deceitful actions of the personal defendants) will be important to a determination of personal liability for a tort involving company property. Sutherland J. agreed, however, that </w:t>
      </w:r>
      <w:r>
        <w:rPr>
          <w:rFonts w:ascii="arial" w:eastAsia="arial" w:hAnsi="arial" w:cs="arial"/>
          <w:i/>
          <w:color w:val="000000"/>
          <w:sz w:val="20"/>
          <w:lang w:val="en-US" w:eastAsia="en-US" w:bidi="ar-SA"/>
        </w:rPr>
        <w:t>Craig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Shimbamoto</w:t>
      </w:r>
      <w:r>
        <w:rPr>
          <w:rFonts w:ascii="arial" w:eastAsia="arial" w:hAnsi="arial" w:cs="arial"/>
          <w:color w:val="000000"/>
          <w:sz w:val="20"/>
          <w:lang w:val="en-US" w:eastAsia="en-US" w:bidi="ar-SA"/>
        </w:rPr>
        <w:t xml:space="preserve"> were correctly decided on their particular facts. The facts of </w:t>
      </w:r>
      <w:r>
        <w:rPr>
          <w:rFonts w:ascii="arial" w:eastAsia="arial" w:hAnsi="arial" w:cs="arial"/>
          <w:i/>
          <w:color w:val="000000"/>
          <w:sz w:val="20"/>
          <w:lang w:val="en-US" w:eastAsia="en-US" w:bidi="ar-SA"/>
        </w:rPr>
        <w:t>CIT Financial</w:t>
      </w:r>
      <w:r>
        <w:rPr>
          <w:rFonts w:ascii="arial" w:eastAsia="arial" w:hAnsi="arial" w:cs="arial"/>
          <w:color w:val="000000"/>
          <w:sz w:val="20"/>
          <w:lang w:val="en-US" w:eastAsia="en-US" w:bidi="ar-SA"/>
        </w:rPr>
        <w:t xml:space="preserve"> are distinguishable from the case at bar.</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Enviro BC had a corporate identity distinct from that of Enviro AB. Enviro AB had no right to the use of any of the money paid by Columere for the purpose of the construction of Spirits Reach except to the extent that it performed work for or provided services to Enviro BC with respect to Spirits Reach. That said, Enviro AB may have performed such work in the form of management services, the provision of office space in Calgary and the like. However, there was never any contract or agreement quantifying that work 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noted, the parties had agreed to a process for the evaluation and payment of progress claims. But Columere's payment of those progress claims to Enviro BC did not give Enviro BC unrestricted right to the use of that money. It was, first of all, obliged by s. 5.5 of the Contract to pay for work on the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Contractor shall promptly and satisfactorily settle and pay for all accounts or claims or assessments relating to the work as they generally become due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Further,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provides in s. 10:</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received by a contractor or subcontractor on account of the price of the contract or subcontract constitutes a trust fund for the benefit of persons engaged in connection with the improvement by that contractor or subcontractor and the contractor or subcontractor is the trustee of the fund.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all of the beneficiaries of the fund referred to in subsection (1) are paid, a contractor or subcontractor must not appropriate any part of the fund to that person's own use or to a use not authorized by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While it is not improper for a contractor to commingle such trust funds with its other funds (s. 11(7)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that is relevant to the manner in which the funds are kept, not as to what use they are put. They remain trust funds even if commingled. In that way, Columere retained an interest in the funds that they be applied for the purposes of the Contract and the </w:t>
      </w:r>
      <w:r>
        <w:rPr>
          <w:rFonts w:ascii="arial" w:eastAsia="arial" w:hAnsi="arial" w:cs="arial"/>
          <w:i/>
          <w:color w:val="000000"/>
          <w:sz w:val="20"/>
          <w:lang w:val="en-US" w:eastAsia="en-US" w:bidi="ar-SA"/>
        </w:rPr>
        <w:t>Builders Lien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Thus, as progress payments (or deposits) were paid, Enviro BC was able to utilize its access to those funds to pay debts and expenses (in fact, it had the express contractual right and obligation to do so). Enviro BC was entitled as well to pay appropriate management and oversight fees as they related to the Contract (the Contract stipulates how these expenses are to be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Aside from what could have been done, what the directors of Enviro BC actually did was to convert the funds for uses outside the purview of their authority. Enviro AB had no right to Columere's funds nor did Messrs. Groothius, Bischke and Maertens-Poole have the right to direct the use of those funds for the benefit of a corporation that was, in law, a stranger to Enviro BC (other than for payment for specific work or services - neither of which was billed). The funds were advanced for a specific purpose: the construction of the 34 Spirit of the Lake condominiums.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essence, Messrs. Groothius, Bischke and Maertens-Poole were taking a calculated gamble that Enviro BC, unlike Enviro AB, would be profitable. They attempted to skim off essentially all of the estimated profit before ensuring that the trades and suppliers were paid as the Contract required. And, as noted, quite apart from progress advances based on percentages of work completed, there were funds advanced against those progress advances in the form of deposits (even though the requests for those deposits were false and supported by forged documents) that were clearly earmarked for specific suppliers. Virtually all of that money was sopped up by Enviro AB on the direction of one or all of Messrs. Groothius, Bischke and Maertens-Poole. Each knew what was going on in that regard (and had acquiesced in the misappropriation).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Maertens-Poole in particular had a sufficiently in depth knowledge of Enviro AB's financial affairs that it must have been evident to him that it was unlikely Enviro AB would ever be able to repay to Enviro BC the money he, Mr. Bischke and Mr. Groothius were causing to be advanced from Enviro BC to Enviro 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Both Mr. Maertens-Poole and Mr. Bischke attempted to portray themselves as well-intentioned dupes at the mercy of a dishonest, unscrupulous and incompetent associate: Mr. Groothius. I took from their evidence however that they are not stupid or naive men, rather they are individuals attempting to deflect to Mr. Groothius the complete measure of their own culpability for their conscious acts of conversion of funds to the use of Enviro AB to lessen their financial pressures. Thus all three men caused Columere's funds to be siphoned for their own benefit at least in the form of the financial salvation of the unrelated company. This was to their personal benefit as well in as much as they owned and had invested both money and reputation in Enviro 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was not a case of money being directed from Enviro BC to Enviro AB on the basis that it was earned by Enviro AB (with the paper work to account to be prepared later). The sums taken were in part to make Enviro AB's balance sheet look good (evinced in part by the recommendation made by Mr. Toth) and to pay creditors when Enviro AB had no money to do so. The amounts taken were a function of the need Messrs. Groothius, Bischke and Maertens-Poole had to relieve themselves from the pressing financial demands of Enviro AB. They had discovered that their cash flow business could be fed from a new tap that they all knew was for another purpose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was argued on behalf of the defence that, once advances and deposits were paid to Enviro BC (or Enviro AB on behalf of Enviro BC), Columere had no property in the funds and Enviro BC was free to use them as it saw fit, subject to Enviro BC's contractual obligations to Columere. That is, Columere has a claim in breach of contract against Enviro BC, but no claim against its directors. Thus, Enviro BC would have a claim against its directors for breaching their fiduciary duty to it by using money intended for it for the purposes of Enviro AB, but those directors, Messrs. Groothius, Bischke and Maertens-Poole, owed no fiduciary duty to Columere.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problem with the position taken by the defence is that it misunderstands the nature of the funds advanced to Enviro BC. Enviro BC was not being remunerated for work done, it was simply given access to Columere's funds for the use in accomplishing a contractual purpose. The Contract itself stipulates as much (this also accords with the provisions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above). Remuneration could be withdrawn from those funds (following the explicit procedure) but to assert a proprietary right through disposition of Columere's funds (without Columere's consent or even knowledge) is essentially theft. Enviro BC did have a right to the money paid by Columere - the right to use it for the purpose it was paid and to make a profit at the end of the day if all trades, suppliers and accounts were paid. In full disregard of this, the directors grabbed Enviro BC's estimate of profit in the face of clear evidence that Mr. Groothius's estimates were unreliable. That was a principal reason Enviro AB was in such a financial mess in the first place; and those desperate times made for desperate acts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All three directors knew very well that all funds paid by Columere to Enviro AB were for one purpose only: the construction of the Spirit of the Lake condominium project at Spirits Reach. They each knowingly, wilfully and wrongfully caused much of that money to be used for a purpose other than that for which it was intended. The tort of conversion is made out: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wrongful acts of transfer occurred (some through misappropriation, some fraudulent, and some outright theft)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acts disposed of the funds;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acts resulted in the full denial of Columere's right to have the funds used as payment in fulfillment of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principals of Enviro BC and Enviro AB all participated in what could be colloquially referred to as the "fleecing of Columere". Each of Messrs. Groothius, Bischke and Maertens-Poole knew that funds were being misused (that is to say, knew of misuse on the part of the other principals as well as their own). Each of them approved (or participated) in that misuse. The defendants are therefore jointly and severally liable (with the bankrupt ECH) for the conversion of Columere's funds.</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Remedy: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To begin with, I find that the two journal entries of $375,000 and $600,000 for "management fees" were a sham. These costs were not appropriately recorded and are bear no apparent relation to any genuine services provided by Enviro AB. The evidence clearly establishes that the former was characterized as a management fee for the purpose of appearance and Enviro AB's financial records, the latter is more than likely an example of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Damages for conversion are the value of the converted property, plus consequential loss. I find that the following conversions were sufficiently proven at trial:</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$1,611,500 transferred to Enviro AB by Enviro BC;</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$1,215,411 paid to and retained by Enviro AB (for the sake of convenience, these funds were paid by Columere to Enviro AB for Enviro BC on the understanding that they were for Enviro BC);</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$50,823.48 representing the sum of three cheques drawn on the account of Enviro BC for personal purposes by Mr. Groothius (forging the signature of Mr. Bischke). This was then used by Mr. Bischke and Mr. Maertens-Poole as part of the consideration to purchase Mr. Groothius's shares in the two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amounts total $2,877,734.48.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Columere also claimed that the following sums were converted: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$975,000 "management fees";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$115,053.36 to Kikoman for management services;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$45,000 paid to Mr. Groothius as additional consideration for his shares;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$53,028.29 to Mr. Maertens-Poole to repay a loan to Birks Resources Ltd. (this was stated elsewhere in the evidence as $53,902.54);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$80,000 to repay a loan obligation of Enviro 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to these amounts, I conclude that the amount paid to Kikoman may well have been within the purview of the Contract (despite the timing of the payment) and I am not satisfied that the other amounts are not subsumed in the funds transferred to Enviro AB (or paid to and retained by Enviro AB) that I have found to be conversions. As for the $45,000 payment to Mr. Groothius, I have searched through the evidence to locate proof that it was drawn directly from funds of Enviro BC but did not find it. Assuming then that it was not, I included it within the other converted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conversion of the funds was a symptom of the poor, and indeed corrupt, management of Messrs. Groothius, Bischke and Maertens-Poole. Shortly after Enviro BC and Enviro AB amalgamated, the resulting company, ECH, failed. At this point the Spirit of the Lake project was 95% complete. As it is now, the unsold units are unfinished and (upon sale) Columere pays approximately $10,000 per unit to finish each one. This is another symptom of the collective failures of the personal defendants and their companies, but it was not caused through the conversion (it is too remote). So, too, is Columere's claim for the repairs made necessary by flood damage. This loss (like the flood damage mentioned above) is not recoverable from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Consequential loss should include the costs associated with securing financing to settle the accounts of the unpaid trade and suppliers, thus replacing some of the converted funds (but not replacement of those funds as that would constitute double recovery). I accept that the cost of the "trades arrears loan"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Commitment fee:</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$112,500</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fees: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8,362</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 on advance of</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$1,572,960.85 x 15% x 30 months: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589,860</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92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$710,722</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Securing the arrears loan likely saved the entire project from failure. I am satisfied that Columere made the best decision it could in difficult circumstances even if the cost of its borrowing from SBMC was high. Had it insisted on retaining a 10% holdback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the Contract would not have proceeded in the first place as Enviro BC would likely not have been able to undertake it. Arguably, that would have been the most effective "mitigation" of all. However,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did </w:t>
      </w:r>
      <w:r>
        <w:rPr>
          <w:rFonts w:ascii="arial" w:eastAsia="arial" w:hAnsi="arial" w:cs="arial"/>
          <w:i/>
          <w:color w:val="000000"/>
          <w:sz w:val="20"/>
          <w:lang w:val="en-US" w:eastAsia="en-US" w:bidi="ar-SA"/>
        </w:rPr>
        <w:t>require</w:t>
      </w:r>
      <w:r>
        <w:rPr>
          <w:rFonts w:ascii="arial" w:eastAsia="arial" w:hAnsi="arial" w:cs="arial"/>
          <w:color w:val="000000"/>
          <w:sz w:val="20"/>
          <w:lang w:val="en-US" w:eastAsia="en-US" w:bidi="ar-SA"/>
        </w:rPr>
        <w:t xml:space="preserve"> Columere to withhold 10% of the progress advances. Columere asserts that its failure to do so did not result in its being in a position whereby it was unable to mitigate the extra expenses it incurred once it was discovered in October 2007, that Enviro BC was not paying its trades and suppliers. Columere argues that even if it had retained the required holdbacks, the defendants would have converted just as much money to Enviro AB in any event which would have left even more unpaid Enviro BC trades and suppliers. On the other hand, it may be that the problem would have come to a head sooner with, perhaps, fewer unpaid trades or, at least, an ability of Columere to use the holdbacks for discharging some or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At the point in October 2007, when the problem came to light, Columere had paid about $10.4 million. But about $2.1 million of that was for the largely phoney deposits. Thus, arguably Columere should have held back, at a minimum, about $830,000 (10% of the difference of $8.3 million). However, I am satisfied that Columere's failure to withhold was the result of having been encouraged to do so by Enviro BC, through Mr. Groothius. I find that all of the defendants would have been aware of this and aware that Columere was not withholding the 10% required by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The defendants should not be allowed to benefit from a failure of Columere to abide by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in these circumstances as the loss of the holdback amounts and the inability to use them as mitigation were foreseeable consequences given the conduct of the defendants. I would not, therefore, make any deduction for Columere not having retained the holdbacks.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Damages Resulting from Conversion: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Notwithstanding the amounts converted, Columere describes its actual losses as follows:</w:t>
      </w:r>
      <w:r>
        <w:rPr>
          <w:rFonts w:ascii="arial" w:eastAsia="arial" w:hAnsi="arial" w:cs="arial"/>
          <w:sz w:val="20"/>
          <w:lang w:val="en-US" w:eastAsia="en-US" w:bidi="ar-SA"/>
        </w:rPr>
        <w:cr/>
      </w:r>
    </w:p>
    <w:p>
      <w:pPr>
        <w:numPr>
          <w:numId w:val="2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overpayment of the contract $2,149,093.14 amount:</w:t>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trades' arrears loan 710,722.57 from SBMC: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240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direct payment to trades</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110,308.05</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2008 to June 2010 for</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completion of units: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remediation of flood 121,572.19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estimated further completion</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at $10,000 per unit x 10</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remaining units (actually 8</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units remained at the conclusion</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 trial):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397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89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$3,191,695.95</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noted from the discussion above, of these amounts, I find that only the claims for overpayment of the Contract price and the cost of the trades' arrears loan for SBMC are recoverable. This amount totals $2,859,815.60 as the other claims are too remote to link to the conversion. Thus, although I have found the sum of $2,877,734.48 to have been converted and additional consequential loss of $710,722.57 for a total of $3,588,456.90, I assess Columere's damages that are recoverable against the personal defendants at $2,859,815 jointly and severally. To the extent that it is permitted in law, I assess damages against the bankrupt ECH at $3,191,695.95.</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Punitive Damages: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This may well be a case for an award of punitive damages: </w:t>
      </w:r>
      <w:r>
        <w:rPr>
          <w:rFonts w:ascii="arial" w:eastAsia="arial" w:hAnsi="arial" w:cs="arial"/>
          <w:i/>
          <w:color w:val="000000"/>
          <w:sz w:val="20"/>
          <w:lang w:val="en-US" w:eastAsia="en-US" w:bidi="ar-SA"/>
        </w:rPr>
        <w:t>Craig</w:t>
      </w:r>
      <w:r>
        <w:rPr>
          <w:rFonts w:ascii="arial" w:eastAsia="arial" w:hAnsi="arial" w:cs="arial"/>
          <w:color w:val="000000"/>
          <w:sz w:val="20"/>
          <w:lang w:val="en-US" w:eastAsia="en-US" w:bidi="ar-SA"/>
        </w:rPr>
        <w:t>. However, although pleaded and briefly mentioned in argument, Columere did not press for such an award. In all of these circumstances I would not award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Other Claims: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case I am in error in concluding that Columere is entitled to recover damages from the defendants on the basis of conversion, I will go on to consider in the alternative the other claims advanced by Columere:</w:t>
      </w:r>
      <w:r>
        <w:rPr>
          <w:rFonts w:ascii="arial" w:eastAsia="arial" w:hAnsi="arial" w:cs="arial"/>
          <w:sz w:val="20"/>
          <w:lang w:val="en-US" w:eastAsia="en-US" w:bidi="ar-SA"/>
        </w:rPr>
        <w:cr/>
      </w:r>
    </w:p>
    <w:p>
      <w:pPr>
        <w:numPr>
          <w:numId w:val="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Breach of Statutory Trust: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Section 10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impresses a trust on the funds that were paid by Columere to Enviro BC and Enviro AB. The important portion of that section reads as follows:</w:t>
      </w:r>
      <w:r>
        <w:rPr>
          <w:rFonts w:ascii="arial" w:eastAsia="arial" w:hAnsi="arial" w:cs="arial"/>
          <w:sz w:val="20"/>
          <w:lang w:val="en-US" w:eastAsia="en-US" w:bidi="ar-SA"/>
        </w:rPr>
        <w:cr/>
      </w:r>
    </w:p>
    <w:p>
      <w:pPr>
        <w:numPr>
          <w:numId w:val="3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Money received by a contractor or subcontractor on account of the price of the contract or subcontract constitutes a trust fund for </w:t>
      </w:r>
      <w:r>
        <w:rPr>
          <w:rFonts w:ascii="arial" w:eastAsia="arial" w:hAnsi="arial" w:cs="arial"/>
          <w:color w:val="000000"/>
          <w:sz w:val="20"/>
          <w:u w:val="single"/>
          <w:lang w:val="en-US" w:eastAsia="en-US" w:bidi="ar-SA"/>
        </w:rPr>
        <w:t>the benefit of persons engaged in connection with the improvement by that contractor or subcontractor</w:t>
      </w:r>
      <w:r>
        <w:rPr>
          <w:rFonts w:ascii="arial" w:eastAsia="arial" w:hAnsi="arial" w:cs="arial"/>
          <w:color w:val="000000"/>
          <w:sz w:val="20"/>
          <w:lang w:val="en-US" w:eastAsia="en-US" w:bidi="ar-SA"/>
        </w:rPr>
        <w:t xml:space="preserve"> and the contractor or subcontractor is the trustee of the fund.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previous version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R.S.B.C. 1979, c. 40, contained different language covering the same topic at s. 2:</w:t>
      </w:r>
      <w:r>
        <w:rPr>
          <w:rFonts w:ascii="arial" w:eastAsia="arial" w:hAnsi="arial" w:cs="arial"/>
          <w:sz w:val="20"/>
          <w:lang w:val="en-US" w:eastAsia="en-US" w:bidi="ar-SA"/>
        </w:rPr>
        <w:cr/>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sums received by a contractor or subcontractor on account of the contract price are and constitute a trust fund in the hands of the contractor or of the subcontractor, as the case may be, for </w:t>
      </w:r>
      <w:r>
        <w:rPr>
          <w:rFonts w:ascii="arial" w:eastAsia="arial" w:hAnsi="arial" w:cs="arial"/>
          <w:color w:val="000000"/>
          <w:sz w:val="20"/>
          <w:u w:val="single"/>
          <w:lang w:val="en-US" w:eastAsia="en-US" w:bidi="ar-SA"/>
        </w:rPr>
        <w:t>the benefit of the owner</w:t>
      </w:r>
      <w:r>
        <w:rPr>
          <w:rFonts w:ascii="arial" w:eastAsia="arial" w:hAnsi="arial" w:cs="arial"/>
          <w:color w:val="000000"/>
          <w:sz w:val="20"/>
          <w:lang w:val="en-US" w:eastAsia="en-US" w:bidi="ar-SA"/>
        </w:rPr>
        <w:t>, contractor, subcontractor, Workers' Compensation Board, workers and material men.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a creation of statute, all of the directors of Enviro BC were deemed to have known of the trust: </w:t>
      </w:r>
      <w:r>
        <w:rPr>
          <w:rFonts w:ascii="arial" w:eastAsia="arial" w:hAnsi="arial" w:cs="arial"/>
          <w:i/>
          <w:color w:val="000000"/>
          <w:sz w:val="20"/>
          <w:lang w:val="en-US" w:eastAsia="en-US" w:bidi="ar-SA"/>
        </w:rPr>
        <w:t>A.R.C. Stucco v. Watershop Systems</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2004 BCSC 360</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Columere argues that this knowledge, together with the three directors knowingly assisting Enviro BC to breach its statutory trust, is the basis for a claim against the directors personally for breach of trust at common law. However, as is demonstrated above (and accepted by counsel for the plaintiff) "owners" are no longer beneficiaries of a statutory trust created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Allowing the claim at common law would effectively do an end run around the express exclusion of owners as beneficiaries of the statutory trust. It would have the effect of providing a remedy to Columere, grounded in the statutory trust, from which it is excluded by the legislation which creates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Therefore, the only question that remains is whether Columere was assigned the rights of the proper beneficiaries (tradespeople) such that s. 43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lien holder may assign in writing the lien holder's lien rights and, if not assigned, lien rights may pass by operation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Of the sum of $1,572,960 paid by Columere to trades, acknowledgment of payment documents were signed and returned by tradespersons and suppliers who were paid totalling $781,500. I am satisfied that these documents are sufficient in their form to constitute the form of assignment of claim contemplated by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These documents are in writing, they acknowledge not only payment, but the assignment of "any claim [the contractor] may have against Enviro for payment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Columere also argues that an equitable assignment has occurred. That is, that intention of the parties was for Columere to assist Enviro BC to fulfill its statutory trust obligations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and deal with the debt upon completion of the project (which, of course, did not happen). This arrangement might be characterized as an equitable assignment of the rights of the beneficiaries under the statutory trust: </w:t>
      </w:r>
      <w:r>
        <w:rPr>
          <w:rFonts w:ascii="arial" w:eastAsia="arial" w:hAnsi="arial" w:cs="arial"/>
          <w:i/>
          <w:color w:val="000000"/>
          <w:sz w:val="20"/>
          <w:lang w:val="en-US" w:eastAsia="en-US" w:bidi="ar-SA"/>
        </w:rPr>
        <w:t>Lawson Graphics Pac. Ltd. v. Simpson</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(1987), 12 B.C.L.R. (2d) 126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Southin J. (as she then was); see also: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5th ed. (Toronto: Thomson Carswell, 2006) at 682-688. Directors can be held personally liable (to the assignee) where they participated in the breach of trust: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The defendants' argument of a lack of notice is without merit: they knew of and supported the payment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final question would be whether an equitable assignment could constitute an "operation of law" for the purposes of s. 43. In my view, it would be unfair to allow a defendant to escape liability for breach of trust on the basis of an overly technical approach to the language in the statute (especially where, as here, the payment and assignment was done in a good faith attempt to prevent further loss). I accept the evidence of Denise Grocutt ("Ms. Grocutt") that a total of approximately $1,573,000 was paid to trades and suppliers. However, I conclude that Columere was aware that it should secure assignments for the payments it made directly to trades and suppliers, likely could have more vigorously pursued those who failed to return them, and should not now expect to recover those payments without them. That is to say that I find, on the facts and circumstances of this case, that no equitable assignment has occurred. I would therefore permit recovery, on the basis of this claim, of the sum of $781,500 based on the assignments that were returned, even though not all were executed to the most exacting standard. I stress that this is an alternative finding, not in addition to the damages I awarded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Negligent Misrepresentation: </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Analysis: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test for negligent misrepresentation is definitively stated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Columere claims that there was an implied representation of the financial solvency of Enviro AB made by the directors at the time they were trying to secure a contract with Columere. Columere also claims that the omission to inform Columere that its payments were being diverted also makes out the tort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Returning to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at 131, Mr. Justice Iacobucci stated that there is "considerable authority for the more flexible view that </w:t>
      </w:r>
      <w:r>
        <w:rPr>
          <w:rFonts w:ascii="arial" w:eastAsia="arial" w:hAnsi="arial" w:cs="arial"/>
          <w:color w:val="000000"/>
          <w:sz w:val="20"/>
          <w:u w:val="single"/>
          <w:lang w:val="en-US" w:eastAsia="en-US" w:bidi="ar-SA"/>
        </w:rPr>
        <w:t>in appropriate circumstances</w:t>
      </w:r>
      <w:r>
        <w:rPr>
          <w:rFonts w:ascii="arial" w:eastAsia="arial" w:hAnsi="arial" w:cs="arial"/>
          <w:color w:val="000000"/>
          <w:sz w:val="20"/>
          <w:lang w:val="en-US" w:eastAsia="en-US" w:bidi="ar-SA"/>
        </w:rPr>
        <w:t xml:space="preserve">, implied misrepresentations can, and often do, give rise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a flexible approach to this issue is preferable" [Emphasis in original.] Additionally, at 125: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 with respect to representations made during pre-contractual negotiations is over and above a duty to be honest in making those representations. It requires not just that the representor be truthful and honest in his or her representations. It also requires that the representor exercise such reasonable care as the circumstances require to ensure that the representations made are accurate and not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It is accepted that, given the right circumstances, liability can be imposed for an act of "negligent non-statement": </w:t>
      </w:r>
      <w:r>
        <w:rPr>
          <w:rFonts w:ascii="arial" w:eastAsia="arial" w:hAnsi="arial" w:cs="arial"/>
          <w:i/>
          <w:color w:val="000000"/>
          <w:sz w:val="20"/>
          <w:lang w:val="en-US" w:eastAsia="en-US" w:bidi="ar-SA"/>
        </w:rPr>
        <w:t>Gallant v. Central Credit Union Ltd.</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(1994), 125 Nfld. &amp; P.E.I.R. 66</w:t>
        </w:r>
      </w:hyperlink>
      <w:r>
        <w:rPr>
          <w:rFonts w:ascii="arial" w:eastAsia="arial" w:hAnsi="arial" w:cs="arial"/>
          <w:color w:val="000000"/>
          <w:sz w:val="20"/>
          <w:lang w:val="en-US" w:eastAsia="en-US" w:bidi="ar-SA"/>
        </w:rPr>
        <w:t xml:space="preserve"> (S.C.T.D.). In </w:t>
      </w:r>
      <w:r>
        <w:rPr>
          <w:rFonts w:ascii="arial" w:eastAsia="arial" w:hAnsi="arial" w:cs="arial"/>
          <w:i/>
          <w:color w:val="000000"/>
          <w:sz w:val="20"/>
          <w:lang w:val="en-US" w:eastAsia="en-US" w:bidi="ar-SA"/>
        </w:rPr>
        <w:t>Gallant</w:t>
      </w:r>
      <w:r>
        <w:rPr>
          <w:rFonts w:ascii="arial" w:eastAsia="arial" w:hAnsi="arial" w:cs="arial"/>
          <w:color w:val="000000"/>
          <w:sz w:val="20"/>
          <w:lang w:val="en-US" w:eastAsia="en-US" w:bidi="ar-SA"/>
        </w:rPr>
        <w:t xml:space="preserve"> the court held that a duty existed to inform the plaintiff about a change in circumstances, stating that "it almost goes without saying that a failure to provide essential information can give rise to liability". See also: Allen Linden &amp;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 Nexis, 2006) at 463-465.</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case at bar the requisite relationship of foreseeable reliance exists given the nature of the dealings of the two companies and their respective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Enviro AB was indebted and struggling at the time of the pre-contractual meetings with Columere, it has not been proven that failure to go into serious financial detail at this point was intended to mislead, or was done negligently. The directors may - at this time - have believed that a contract with Columere would lead to the solvency of Enviro AB (through legitimate profits, although this was not the route the directors ultimately chose). Further, Columere did not take any steps at this point to ascertain the financial position of Enviro AB. Reliance on the impression of solvency must be reasonable, and Columere could reasonably have taken more steps at this point to protect such a substantial investment. A negligent misrepresentation has not been established on these grounds. Given that the bar is lower at the pre-contractual stage, this finding gives the defendants the benefit of the doubt (although it is largely irrelevant given the findings of liability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after the Contract was in force, Enviro BC requested funds for deposits and other purposes which were then siphoned off to Enviro AB. Nothing was said to Columere about the absence of these funds, the failure to pay trades, or the true purpose for which they were used. All three of Messrs. Groothius, Bischke and Maertens-Poole knew of the misappropriation, in spite of Enviro BC's contractual obligation to Columere and had approved the use of the funds outside contractual purposes. None of Messrs. Groothius, Bischke and Maertens-Poole relayed any information about their malfeasance to Columere.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These omissions were misleading. Messrs. Groothius, Bischke and Maertens-Poole acted negligently in their failure to disclose, knowing full well that the absence of funds was likely to result in a failure by Enviro BC to perform its contractual obligations. The erroneous report of Mr. Groothius as to projected profits is irrelevant at this point as the funds diverted were not Enviro BC's profits. Columere relied on the statements that funds were needed for deposits as well as the omission of information that these funds were being diverted and disposed of for other purposes. This reliance was reasonable given the formalized contractual relationship in place at that time. Finally, the result of Columere's reliance was extremely detrimental in the form of substantial damages incurred in replacing misappropriated funds and seeing the project to completion. The tort of negligent misrepresentation is made out for the omission(s) of Messrs. Groothius, Bischke and Maertens-Poole to reveal the true circumstances of use of Columere's funds.</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Remedy: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According to S.M.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looseleaf (Toronto: Canada Law Book, 2009) at para. 5.610, the general measure of damages for negligent misrepresentation is "out-of-pocket loss rather than the contractual measure". In certain circumstances however, this measure will be similar (if not identical) to damages that would be paid in contract, for example: </w:t>
      </w:r>
      <w:r>
        <w:rPr>
          <w:rFonts w:ascii="arial" w:eastAsia="arial" w:hAnsi="arial" w:cs="arial"/>
          <w:i/>
          <w:color w:val="000000"/>
          <w:sz w:val="20"/>
          <w:lang w:val="en-US" w:eastAsia="en-US" w:bidi="ar-SA"/>
        </w:rPr>
        <w:t>Esso Petroleum Co. Ltd. v. Mardon</w:t>
      </w:r>
      <w:r>
        <w:rPr>
          <w:rFonts w:ascii="arial" w:eastAsia="arial" w:hAnsi="arial" w:cs="arial"/>
          <w:color w:val="000000"/>
          <w:sz w:val="20"/>
          <w:lang w:val="en-US" w:eastAsia="en-US" w:bidi="ar-SA"/>
        </w:rPr>
        <w:t xml:space="preserve">, [1976] Q.B. 801 (C.A.). Lord Denning made the following analogy in </w:t>
      </w:r>
      <w:r>
        <w:rPr>
          <w:rFonts w:ascii="arial" w:eastAsia="arial" w:hAnsi="arial" w:cs="arial"/>
          <w:i/>
          <w:color w:val="000000"/>
          <w:sz w:val="20"/>
          <w:lang w:val="en-US" w:eastAsia="en-US" w:bidi="ar-SA"/>
        </w:rPr>
        <w:t>Esso Petroleum</w:t>
      </w:r>
      <w:r>
        <w:rPr>
          <w:rFonts w:ascii="arial" w:eastAsia="arial" w:hAnsi="arial" w:cs="arial"/>
          <w:color w:val="000000"/>
          <w:sz w:val="20"/>
          <w:lang w:val="en-US" w:eastAsia="en-US" w:bidi="ar-SA"/>
        </w:rPr>
        <w:t xml:space="preserve"> at 821: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loss] is to be measured in a similar way as the loss due to a personal injury. You should look into the future so as to forecast what would have been likely to happen if he had never entered into this contract: and contrast it with his position as it is now as a result of entering into it. The future is necessarily problematical and can only be a rough-and-ready estimate. But it must be done in assessing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case at bar, it is important to bear in mind that the negligent misrepresentations for which liability attaches occurred after the parties entered into the Contract. Had they not been made (albeit that the concept of an 'omission not being made' is logically difficult to fathom), it is likely that Columere would have begun the practice of paying trades directly far sooner than it actually did. It is also likely that - given the difficulties faced by Enviro AB and Enviro BC including solvency and managerial incompetence - the project would not have been completed prior to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That said, the measure of damages for negligent misrepresentation is cost overruns until the time of bankruptcy. The flood damage and finishing of the final 10 condominium units are (again) too remote. Columere claims that it actually overpaid the amount agreed to in the Contract by $2,149,093.14. I accept that that is so. That is the proper measure of damages under this claim. Again, this is a finding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Had a negligent misrepresentation been found prior to entry into the Contract, the more appropriate measure would have been akin to the contractual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It has long been established that personal liability in tort arises where there is a sufficient relationship of proximity between the parties: </w:t>
      </w:r>
      <w:r>
        <w:rPr>
          <w:rFonts w:ascii="arial" w:eastAsia="arial" w:hAnsi="arial" w:cs="arial"/>
          <w:i/>
          <w:color w:val="000000"/>
          <w:sz w:val="20"/>
          <w:lang w:val="en-US" w:eastAsia="en-US" w:bidi="ar-SA"/>
        </w:rPr>
        <w:t>London Drugs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(employees). That such a relationship exists here is unquestionable on the evidence about the parties' dealings with each other (Messrs. Groothius, Bischke and Maertens-Poole spent upwards of a year building a relationship with the principals of Columere prior to formation of the Contract to secure their trust). Messrs. Groothius, Bischke and Maertens-Poole are therefore liable jointly and severally for their acts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Breach of </w:t>
      </w:r>
      <w:r>
        <w:rPr>
          <w:rFonts w:ascii="arial" w:eastAsia="arial" w:hAnsi="arial" w:cs="arial"/>
          <w:b/>
          <w:i/>
          <w:color w:val="000000"/>
          <w:sz w:val="20"/>
          <w:lang w:val="en-US" w:eastAsia="en-US" w:bidi="ar-SA"/>
        </w:rPr>
        <w:t>Business Corporations Act</w:t>
      </w:r>
      <w:r>
        <w:rPr>
          <w:rFonts w:ascii="arial" w:eastAsia="arial" w:hAnsi="arial" w:cs="arial"/>
          <w:b/>
          <w:color w:val="000000"/>
          <w:sz w:val="20"/>
          <w:lang w:val="en-US" w:eastAsia="en-US" w:bidi="ar-SA"/>
        </w:rPr>
        <w:t xml:space="preserve">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Columere claims that Messrs. Groothius, Bischke and Maertens-Poole are personally liable for their breach of a duty of care found in the British Columbia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BCBCA</w:t>
      </w:r>
      <w:r>
        <w:rPr>
          <w:rFonts w:ascii="arial" w:eastAsia="arial" w:hAnsi="arial" w:cs="arial"/>
          <w:color w:val="000000"/>
          <w:sz w:val="20"/>
          <w:lang w:val="en-US" w:eastAsia="en-US" w:bidi="ar-SA"/>
        </w:rPr>
        <w:t xml:space="preserve">"). Columere cites the following section of the </w:t>
      </w:r>
      <w:r>
        <w:rPr>
          <w:rFonts w:ascii="arial" w:eastAsia="arial" w:hAnsi="arial" w:cs="arial"/>
          <w:i/>
          <w:color w:val="000000"/>
          <w:sz w:val="20"/>
          <w:lang w:val="en-US" w:eastAsia="en-US" w:bidi="ar-SA"/>
        </w:rPr>
        <w:t>BCBCA</w:t>
      </w:r>
      <w:r>
        <w:rPr>
          <w:rFonts w:ascii="arial" w:eastAsia="arial" w:hAnsi="arial" w:cs="arial"/>
          <w:color w:val="000000"/>
          <w:sz w:val="20"/>
          <w:lang w:val="en-US" w:eastAsia="en-US" w:bidi="ar-SA"/>
        </w:rPr>
        <w:t xml:space="preserve"> in support: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(1) A director or officer of a company, when exercising the powers and performing the functions of a director or officer of the company, as the case may be, must</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honestly and in good faith with a view to the best interests of the company,</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the care, diligence and skill that a reasonably prudent individual would exercise in comparable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While s. 142(a) states explicitly that it is a duty owed to the corporation, 142(b) does not. Two recent cases from the Supreme Court of Canada have addressed the issue at bar: </w:t>
      </w:r>
      <w:r>
        <w:rPr>
          <w:rFonts w:ascii="arial" w:eastAsia="arial" w:hAnsi="arial" w:cs="arial"/>
          <w:i/>
          <w:color w:val="000000"/>
          <w:sz w:val="20"/>
          <w:lang w:val="en-US" w:eastAsia="en-US" w:bidi="ar-SA"/>
        </w:rPr>
        <w:t>Peoples Department Stores Inc. (Trustee of) v. Wise</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2004 SCC 68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BCE Inc. v. 1976 Debentureholders</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2008 SCC 69</w:t>
        </w:r>
      </w:hyperlink>
      <w:r>
        <w:rPr>
          <w:rFonts w:ascii="arial" w:eastAsia="arial" w:hAnsi="arial" w:cs="arial"/>
          <w:color w:val="000000"/>
          <w:sz w:val="20"/>
          <w:lang w:val="en-US" w:eastAsia="en-US" w:bidi="ar-SA"/>
        </w:rPr>
        <w:t xml:space="preserve">. These cases dealt with identical language from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R.S.C. 1985, c. C-44, ss. 122</w:t>
        </w:r>
      </w:hyperlink>
      <w:r>
        <w:rPr>
          <w:rFonts w:ascii="arial" w:eastAsia="arial" w:hAnsi="arial" w:cs="arial"/>
          <w:color w:val="000000"/>
          <w:sz w:val="20"/>
          <w:lang w:val="en-US" w:eastAsia="en-US" w:bidi="ar-SA"/>
        </w:rPr>
        <w:t>(1)(a)-(b)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Supreme Court of Canada found that the specific language in s. 122(1)(a)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(identical to s. 142(a) of the </w:t>
      </w:r>
      <w:r>
        <w:rPr>
          <w:rFonts w:ascii="arial" w:eastAsia="arial" w:hAnsi="arial" w:cs="arial"/>
          <w:i/>
          <w:color w:val="000000"/>
          <w:sz w:val="20"/>
          <w:lang w:val="en-US" w:eastAsia="en-US" w:bidi="ar-SA"/>
        </w:rPr>
        <w:t>BCBCA</w:t>
      </w:r>
      <w:r>
        <w:rPr>
          <w:rFonts w:ascii="arial" w:eastAsia="arial" w:hAnsi="arial" w:cs="arial"/>
          <w:color w:val="000000"/>
          <w:sz w:val="20"/>
          <w:lang w:val="en-US" w:eastAsia="en-US" w:bidi="ar-SA"/>
        </w:rPr>
        <w:t xml:space="preserve">) imposed a "fiduciary duty" which was owed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to the company. However, the Court found that the "duty of care" created under s. 122(1)(b)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(identical to s. 142(b) of the </w:t>
      </w:r>
      <w:r>
        <w:rPr>
          <w:rFonts w:ascii="arial" w:eastAsia="arial" w:hAnsi="arial" w:cs="arial"/>
          <w:i/>
          <w:color w:val="000000"/>
          <w:sz w:val="20"/>
          <w:lang w:val="en-US" w:eastAsia="en-US" w:bidi="ar-SA"/>
        </w:rPr>
        <w:t>BCBCA</w:t>
      </w:r>
      <w:r>
        <w:rPr>
          <w:rFonts w:ascii="arial" w:eastAsia="arial" w:hAnsi="arial" w:cs="arial"/>
          <w:color w:val="000000"/>
          <w:sz w:val="20"/>
          <w:lang w:val="en-US" w:eastAsia="en-US" w:bidi="ar-SA"/>
        </w:rPr>
        <w:t xml:space="preserve">) may extend to stakeholders and creditors as well, given certain facts and circumstances. The specific facts and circumstances that will lead to a finding of entitlement to the latter duty have not been explored in much case law. Columere has not provided any cases which have applied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to impose such a duty, nor have I been able to find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Columere's argument in the case at bar is also somewhat unclear: Columere is seemingly arguing entitlement to the duty of care created by s. 142(b) as a stakeholder or a creditor of Enviro BC (and/or ECH). Any "stake" that Columere held in Enviro BC or ECH was limited to the fulfillment of the Contract. Failure to fulfill that contract founds an action in breach, one that is properly brought against the (now defunct) ECH. The circumstances in which a stakeholder or creditor will become entitled to the benefit of the duty of care created by the statute(s) will remain unclear as, at least in this case, entitlement to such a benefit has not been made out. Egregious conduct on the part of directors cannot by itself entitle Columere to the benefit of this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Breach of Constructive Trust: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An example of a concise statement on the nature of constructive trusts can be found in A.H. Oosterhoff, Robert Chambers, Mitchell McInnes &amp; Lionel Smith, </w:t>
      </w:r>
      <w:r>
        <w:rPr>
          <w:rFonts w:ascii="arial" w:eastAsia="arial" w:hAnsi="arial" w:cs="arial"/>
          <w:i/>
          <w:color w:val="000000"/>
          <w:sz w:val="20"/>
          <w:lang w:val="en-US" w:eastAsia="en-US" w:bidi="ar-SA"/>
        </w:rPr>
        <w:t>Oosterhoff on Trusts: Text Commentary and Materials</w:t>
      </w:r>
      <w:r>
        <w:rPr>
          <w:rFonts w:ascii="arial" w:eastAsia="arial" w:hAnsi="arial" w:cs="arial"/>
          <w:color w:val="000000"/>
          <w:sz w:val="20"/>
          <w:lang w:val="en-US" w:eastAsia="en-US" w:bidi="ar-SA"/>
        </w:rPr>
        <w:t>, 7th ed. (Toronto: Thomson Reuters, 2009) at 753: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a person has an obligation, relating to specific property, to hold the property for the benefit of another person, there will be a trust. If that obligation was voluntarily undertaken, the trust is express; otherwise it is resulting or constructive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test for a constructive trust comes from the reasoning in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At para. 45 of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McLachlin J. (as she then was) identified "four conditions which must generally be satisfied" as requisites for a constructive trust based on wrongful conduct:</w:t>
      </w:r>
      <w:r>
        <w:rPr>
          <w:rFonts w:ascii="arial" w:eastAsia="arial" w:hAnsi="arial" w:cs="arial"/>
          <w:sz w:val="20"/>
          <w:lang w:val="en-US" w:eastAsia="en-US" w:bidi="ar-SA"/>
        </w:rPr>
        <w:cr/>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been under an equitable obligation, that is, an obligation of the type that courts of equity have enforced, in relation to the activities giving rise to the assets in his hands;</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hands of the defendant must be shown to have resulted from deemed or actual agency activities of the defendant in breach of his equitable obligation to the plaintiff;</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show a legitimate reason for seeking a proprietary remedy, either personal or related to the need to ensure that others like the defendant remain faithful to their duties and;</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factors which would render imposition of a constructive trust unjust in all the circumstances of the case; e.g., the interests of intervening creditors must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Worth mentioning here is the recent judgment of our Court of Appeal in </w:t>
      </w:r>
      <w:r>
        <w:rPr>
          <w:rFonts w:ascii="arial" w:eastAsia="arial" w:hAnsi="arial" w:cs="arial"/>
          <w:i/>
          <w:color w:val="000000"/>
          <w:sz w:val="20"/>
          <w:lang w:val="en-US" w:eastAsia="en-US" w:bidi="ar-SA"/>
        </w:rPr>
        <w:t>Tracy v. Instaloans Financial Solutions</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2010 BCCA 357</w:t>
        </w:r>
      </w:hyperlink>
      <w:r>
        <w:rPr>
          <w:rFonts w:ascii="arial" w:eastAsia="arial" w:hAnsi="arial" w:cs="arial"/>
          <w:color w:val="000000"/>
          <w:sz w:val="20"/>
          <w:lang w:val="en-US" w:eastAsia="en-US" w:bidi="ar-SA"/>
        </w:rPr>
        <w:t>, which contains an excellent break down and analysis of the principles of trusts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essentially agree with the submission of counsel for Columere and find that:</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 BC was under a contractual obligation and its directors were under an equitable obligation to use the funds advanced by Columere for the Spirits Reach project and not for any other purpose;</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other purpose for the payment of funds by Columere to Enviro BC (or Enviro AB) than for the Spirits Reach project and for any other use to have been made of them was a breach of the above obligation;</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 am in error in my conclusion respecting conversion, I would then find it to be necessary to impose such a constructive trust as being required to remedy the deprivation of Columere; and,</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is no factor that would make the imposition of such a constructive trust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a matter of equity, therefore, and in the alternative, I would have imposed a constructive trust with the measure of damages being the amount I found as damages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Accounting: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Columere seeks an order for an accounting by the defendants pursuant to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While in the circumstances such an order seems somewhat pointless to me, I grant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Conclusions: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Columere is entitled to judgment against the defendants Messrs. Groothius, Bischke and Maertens-Poole in the amount of $2,859,815 jointly and severally, for the conversion of funds paid by Columere to Enviro BC (or Enviro AB) for the purpose of the Contract. I assess damages against ECH in the amount of $3,191,695.95 (subject to any provisions in law relating to its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make no order with respect to punitive damages but do order that the defendants Groothius, Bischke and Maertens-Poole provide an accounting pursuant to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of funds paid to Enviro BC and Enviro AB by Columere.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Columere is entitled to its costs on Scale B jointly and severally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T.J. 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Cropley v. Daishinpan (Canada) Inc. (c.o.b. Cannery Seafood Restaurant), [2002] B.C.J. No. 2398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and 20,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S011437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506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Jean Cropley, plaintiff, and Daishinpan (Canada) Inc., doing business as the Cannery Seafood Restaurant,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23"/>
      <w:bookmarkEnd w:id="201"/>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Stairs or steps — Causation — Invitees, liability of particular occupiers (incl. duty and standard of care) — Retail business.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2" w:name="Case Summary_21"/>
            <w:bookmarkEnd w:id="2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 restaurant to dismiss Cropley's action for damages for an injury suffered by slipping on the restaurant's steps. Cropley testified on examination for discovery that she fell because the surface of the steps was slick. All other witnesses testified that the steps were not slick. Cropley presented evidence from an expert that the edges of some of the steps had rounded off, the paint was patchy, and it was possible that the combination of these factors and dim lighting might have caused Cropley to place her foot incorrectly. Both parties agreed that a summary trial was 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3" w:name="Holdings of Court_19"/>
            <w:bookmarkEnd w:id="20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theory that Cropley fell because she placed her foot incorrectly was inconsistent with her evidence. There was no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solely because of the injury. She did not establish that any act or failure to act on the part of the restaurant caused her fall. The action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Legislation Cited_15"/>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5" w:name="Counsel_28"/>
      <w:bookmarkEnd w:id="2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 Sean Taylor, for the defendant. Donald J. Renaud, for the plaintiff.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28"/>
      <w:bookmarkEnd w:id="206"/>
      <w:r>
        <w:pict>
          <v:line id="_x0000_s1159"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ROSS J."/>
            <w:bookmarkEnd w:id="207"/>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the evening of September 21, 2000, the plaintiff, Linda Jean Cropley, fell on the front stairs as she was leaving the Cannery Seafood Restaurant (the "Restaurant") located at 2205 Commissioner Street, in Vancouver. She injured her leg and now brings an action against the defendant Daishinpan (Canada) Inc. as owner and operator of the Restaurant, pursuant to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applies pursuant to Rule 18A, for an order dismissing Ms. Cropley's action. The plaintiff seeks judgment on her claim pursuant to Rule 18A. Both parties took the position that the matter is appropriate for disposition in a summary trial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is no issue that the defendant is an occupier and the Restaurant is a premise within the meaning of the Act. The relevant law was summarized by Madam Justice Sinclair-Prowse in Thuveson v. Robert Ash &amp; Associates, </w:t>
      </w:r>
      <w:hyperlink r:id="rId668" w:history="1">
        <w:r>
          <w:rPr>
            <w:rFonts w:ascii="arial" w:eastAsia="arial" w:hAnsi="arial" w:cs="arial"/>
            <w:i/>
            <w:color w:val="0077CC"/>
            <w:sz w:val="20"/>
            <w:u w:val="single"/>
            <w:shd w:val="clear" w:color="auto" w:fill="FFFFFF"/>
            <w:lang w:val="en-US" w:eastAsia="en-US" w:bidi="ar-SA"/>
          </w:rPr>
          <w:t>[1997] B.C.J. No. 1177</w:t>
        </w:r>
      </w:hyperlink>
      <w:r>
        <w:rPr>
          <w:rFonts w:ascii="arial" w:eastAsia="arial" w:hAnsi="arial" w:cs="arial"/>
          <w:color w:val="000000"/>
          <w:sz w:val="20"/>
          <w:lang w:val="en-US" w:eastAsia="en-US" w:bidi="ar-SA"/>
        </w:rPr>
        <w:t xml:space="preserve"> (S.C.) at paras.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3(1) and s. 6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(formerly R.S.B.C. 1979, c. 303), the defendant owed a duty to the plaintiff to take whatever steps were reasonable in the circumstances to ensure that she was reasonably safe when using the premises. This duty of care extends to the condition of the premises, the activities for which the premises were used, and the conduct of third parties on the premises (see s. 3(2)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dispute that the onus is on the plaintiff to prove on the balance of probabilities that the defendant breached this duty of care (Kayser v. Park Royal Shopping Centre, </w:t>
      </w:r>
      <w:hyperlink r:id="rId669" w:history="1">
        <w:r>
          <w:rPr>
            <w:rFonts w:ascii="arial" w:eastAsia="arial" w:hAnsi="arial" w:cs="arial"/>
            <w:i/>
            <w:color w:val="0077CC"/>
            <w:sz w:val="20"/>
            <w:u w:val="single"/>
            <w:shd w:val="clear" w:color="auto" w:fill="FFFFFF"/>
            <w:lang w:val="en-US" w:eastAsia="en-US" w:bidi="ar-SA"/>
          </w:rPr>
          <w:t>[1995] B.C.J. No. 2718</w:t>
        </w:r>
      </w:hyperlink>
      <w:r>
        <w:rPr>
          <w:rFonts w:ascii="arial" w:eastAsia="arial" w:hAnsi="arial" w:cs="arial"/>
          <w:color w:val="000000"/>
          <w:sz w:val="20"/>
          <w:lang w:val="en-US" w:eastAsia="en-US" w:bidi="ar-SA"/>
        </w:rPr>
        <w:t xml:space="preserve"> (C.A.)). As the fact that she was injured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be able to point to some act or failure to act on the part of the defendant which resulted in her injury (Bauman v. Stein </w:t>
      </w:r>
      <w:hyperlink r:id="rId670"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 this act or failure to act being a breach of the defendant's positive duty to take reasonable care to ensure that the plaintiff was reasonably safe while she was using the premises (Malcolm v. Waldick,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Bains v. Hill </w:t>
      </w:r>
      <w:hyperlink r:id="rId671" w:history="1">
        <w:r>
          <w:rPr>
            <w:rFonts w:ascii="arial" w:eastAsia="arial" w:hAnsi="arial" w:cs="arial"/>
            <w:i/>
            <w:color w:val="0077CC"/>
            <w:sz w:val="20"/>
            <w:u w:val="single"/>
            <w:shd w:val="clear" w:color="auto" w:fill="FFFFFF"/>
            <w:lang w:val="en-US" w:eastAsia="en-US" w:bidi="ar-SA"/>
          </w:rPr>
          <w:t>(1989), 93 D.L.R. (4th) 117</w:t>
        </w:r>
      </w:hyperlink>
      <w:r>
        <w:rPr>
          <w:rFonts w:ascii="arial" w:eastAsia="arial" w:hAnsi="arial" w:cs="arial"/>
          <w:color w:val="000000"/>
          <w:sz w:val="20"/>
          <w:lang w:val="en-US" w:eastAsia="en-US" w:bidi="ar-SA"/>
        </w:rPr>
        <w:t xml:space="preserve"> (B.C.C.A.); and Weiss v. The Young Men's Christian Association of Greater Vancouver </w:t>
      </w:r>
      <w:hyperlink r:id="rId672"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there is no dispute that this duty of care does not extend so far as to require the defendant to remove every possibility of danger (Gerak v. R. in Right of B.C. </w:t>
      </w:r>
      <w:hyperlink r:id="rId673" w:history="1">
        <w:r>
          <w:rPr>
            <w:rFonts w:ascii="arial" w:eastAsia="arial" w:hAnsi="arial" w:cs="arial"/>
            <w:i/>
            <w:color w:val="0077CC"/>
            <w:sz w:val="20"/>
            <w:u w:val="single"/>
            <w:shd w:val="clear" w:color="auto" w:fill="FFFFFF"/>
            <w:lang w:val="en-US" w:eastAsia="en-US" w:bidi="ar-SA"/>
          </w:rPr>
          <w:t>(1984), 59 B.C.L.R. 273</w:t>
        </w:r>
      </w:hyperlink>
      <w:r>
        <w:rPr>
          <w:rFonts w:ascii="arial" w:eastAsia="arial" w:hAnsi="arial" w:cs="arial"/>
          <w:color w:val="000000"/>
          <w:sz w:val="20"/>
          <w:lang w:val="en-US" w:eastAsia="en-US" w:bidi="ar-SA"/>
        </w:rPr>
        <w:t xml:space="preserve"> (C.A.) (leave to appeal to S.C.C. refused)). The test is one of reasonableness, not perfection (Carlson v. Canadian Safeway </w:t>
      </w:r>
      <w:hyperlink r:id="rId674"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Cropley attended the Restaurant with a friend, Mr. Gordon Ewing, on the evening of September 21,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Cropley had finished work that day at approximately 4:30 pm. She then drove to Mr. Ewing's residence in West Vancouver where she consumed one martini. They left Mr. Ewing's residence and arrived at the Restaurant at approximately 7:00 p.m. It had been a dry and sunny day. There was no rain or other type of precipitation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Cropley and Mr. Ewing entered the Restaurant by the front steps. Ms. Cropley did not notice anything wrong with the steps at that time. In particular, she did not notice the stairs to be slippery or slick. Both she and Mr. Ewing ascended the steps with no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Cropley had attended the Restaurant on approximately ten occasions prior to September 21, 2000. She had not noticed anything wrong with the front steps on any of those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Cropley and Mr. Ewing shared a bottle of wine with dinner. They left the Restaurant between 8:30 and 9:00 pm. It had not rained while they were inside the Restaurant and it was not raining when they left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Ms. Cropley was leaving the Restaurant, she slipped and fell on the front steps. She did not know specifically where she slipped, but believed that it was on the top landing or the first step beneath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examination for discovery she gave the following evidence with respect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299</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as you were leaving I understand that you fell down the steps. What I'd like you to do is tell me exactly how that happened. In as much detail as you can.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 came through the door. And Gordy was behind me. So I was in front of him. I walked out and I slipped, because it was very slick. The surface seemed very slick. And I ended up slipping.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tell me where you slipped, with reference to these photographs which are in front of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am not exactly sure if it was here or on the next stair, but that is where I slipped.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are pointing at photograph number nine,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sorry, can you point that out to me again?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Here or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this brown piece of wood here at the top of the photo, is that the top landing as you come out the door of the restaurant?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so you are not sure if you slipped on the top landing or the first step below it.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somewhere in that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340</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it wasn't like the heel of your shoe caught on anything. It was a slip. Is that what you are saying?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aware of anyone, either yourself or Mr. Ewing, or anyone else, knowing of any slippery substance which may have been in the area where you slipped?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539</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excuse me if I have already asked you this, Ms. Cropley, but when you exited the restaurant on September 21st, these steps which are in Exhibit 3, they weren't wet, were they?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if they were wet. They were slippery and very slick. Like slick. So they could have been damp.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evidence is consistent with a theory that her fall was caused by the fact that the stairs were in a slippery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Ewing provided an affidavit. He did not see Ms. Cropley fall and deposed that he made no note of the stairs or lighting in the area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Jean Turcotte, who is the general manager of the Restaurant, deposed that:</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habit to inspect the front staircase of the Restaurant on a daily basis when I arrive at work. I inspect the general condition of the steps and keep an eye out for hazardous conditions. The Restaurant Staff will generally advise me of any hazardous conditions which may exist on the Restaurant premises. If I am so advised I will take steps to warn customers and staff and remedy the situation.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working at the Restaurant during the evening of September 21, 2000. The steps of the staircase were not slippery when I arrived at the Restaurant that day nor was there anything out of the ordinary with respect to the condition of the staircase.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inspected the staircase on September 21, 2000 after Ms. Cropley left to determine if her fall had anything to do with the condition of the staircase. The steps were dry. The steps were not slippery. I did not see anything on the steps which may have caused Ms. Cropley to slip. I did not have any difficulty with my footing while I went up and down the staircase during the time that I was attending to Ms. Cropley on September 21, 2000. All of the outside lights described in paragraph 10 were 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my staff informed me of any hazardous or abnormal conditions on the staircase on September 21, 2000.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patrons informed me about any slippery or abnormal conditions on the Staircase on September 21, 2000.</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Aside from Ms. Cropley's fall, I am not aware of any other incidents where persons have fallen on the front steps of the Restaurant as an alleged result of the condition of the staircase.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Renee Graham was employed as a hostess/cocktail waitress at the Restaurant at the time of the accident. She deposed that: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went in and out of the Restaurant on a number of occasions as I was attending to the woman. The front steps of the Restaurant were not slippery. I had no difficulty with my footing as I went up and down the front steps that evening. I did not see anything on the steps which would have caused the woman to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added that she had never noticed the stairs to be in a slippery condition during the time she had worked at the Restaurant, some five years, nor during that time had customers ever told her that the front steps were slippery. Gillian MacArthur, the hostess at the Restaurant, gave evidence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that the front stairs of the Restaurant were not in a slippery condition on the evening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alternate theory of "faulty foot placement" was developed in counsel's submission based upon the evidence of Jim Westman, a private investigator and an expert opinion provided by Granville Airton. Mr. Westman attended at the Restaurant on November 28, 2000 to examine the stairs leading to the entrance. He took photographs and a video. He observed that the stairs were weathered. At one time a coating had been applied to the surface. The coating had now worn away in many places. He observed some planks were rotting and the edges at some spots had rounded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Airton reviewed the photographs that Mr. Westman had taken. He also attended at the premises but by the time he did so, the stairs had been replaced and so he did not see the stairs upon which Ms. Cropley had fallen.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...Reportedly, Ms. Cropley fell on one of the top three treads and from Mr. Westman's photographs it is apparent, in my opinion, that the corner of the treads on stairs with paint in this condition would have been concealed by the "camouflaging" effects of the "patchy" paint especially at night under low light level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Thus, counsel submits, Ms. Cropley fell as a result of the combination of dim lights, worn edges and the camouflage effect of the mottled paint, so that she could not locate the edge of the stair treads, and thus placed her foot incorrectly, causing it to slip forward until she caught her heel on the edge of the tread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this alternate theory, Mr. Turcotte deposed: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3 years ago, the steps of the staircase were painted with a grey anti-slip paint. This was done as an extra winter precaution, not because the steps were inherently slippery. Some of this paint subsequently wore off on portions of some of the steps. The underlying wood surface in these areas was not slippery.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summer of 2000, some of the wooden planks in the staircase were replaced. These new steps were not painted. These new steps were not slippery.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February 2002, the entire staircase was reconstructed. The new staircase also consists of wooden planks and has the same general design as the previous one. The old staircase was not replaced because the steps were slippery or because of Ms. Cropley's allegations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deposed that at no time in his inspections of the stairs, did he observe the wooden plank at the top landing of the stairs or the plank beneath, to be rotting.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plaintiff submitted that Ms. Cropley did not know how she fell and that I am entitled to infer the mechanism of the fall from the evidence with respect to the condition of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there are two difficulties with such an approach. First, it is inconsistent with the evidence given by Ms. Cropley on her examination for discovery. It was not her testimony that she did not know what caused her fall. The testimony she gave with respect to the mechanics of the fall were, in my view, inconsistent with the "faulty foot placement" theory. She testified that she slipped because the stairs were slippery or slick. She made no reference in her testimony to difficulties caused by dim lighting or finding the edge of the stairs. She denied that the heel of her shoe caught on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second and related problem is that the Act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whenever a person is injured. The plaintiff must establish some act or failure to act on the part of the occupier that caused the injury complained of before liability can be established, see Bauman v. Stein </w:t>
      </w:r>
      <w:hyperlink r:id="rId670"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my view, this court would have to resort to speculation in order to find that Ms. Cropley's fall was caused by the condition of the stairs. The plaintiff has at best advanced a theory of how this may have been so. I am not, however, entitled to speculate in that fashion, see Lansdowne v. United Church of Canada, </w:t>
      </w:r>
      <w:hyperlink r:id="rId675"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[2000] B.C.J. No. 2188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result, I have concluded that Ms. Cropley has not established that her fall was caused by any act or failure to act, on the part of the defendant. Accordingly, the application of the defendant is granted and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D'Oliveira v. Kal Tire Ltd., [2008] B.C.J. No. 2329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19-21,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S072002, S083946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2329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2008 BCSC 1638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173 A.C.W.S. (3d) 648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Lilly D'Oliveira, Plaintiff, and Kal Tire Ltd., Defendant And between Insurance Corporation of British Columbia, Plaintiff, and Kal Tire Distributors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1"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8" w:name="Keywords_24"/>
      <w:bookmarkEnd w:id="208"/>
      <w:r>
        <w:rPr>
          <w:rFonts w:ascii="arial" w:eastAsia="arial" w:hAnsi="arial" w:cs="arial"/>
          <w:b/>
          <w:color w:val="000000"/>
          <w:sz w:val="20"/>
          <w:lang w:val="en-US" w:eastAsia="en-US" w:bidi="ar-SA"/>
        </w:rPr>
        <w:t>Damages — Physical and psychological injuries — Physical injuries — Body injuries — Neck — Leg injuries — Foot — Action by D'Oliveira for damages against Kal Tire arising from a single-vehicle accident allowed — Kal negligently serviced D'Oliveira's vehicle 11 days prior to the accident — As a result, the brakes failed, causing the accident — D'Oliveira suffered significant orthopaedic injuries to her neck, ribs and right heel and was hospitalized for 52 days — The parties agreed D'Oliveira was entitled to $995 in special damages — D'Oliveira also sought $125,000 in non-pecuniary damages while Kal submitted $40,000 to $50,000 was appropriate — D'Oliveira awarded $995 in special damages and $40,000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Non-pecuniary loss — Action by D'Oliveira for damages against Kal Tire arising from a single-vehicle accident allowed — Kal negligently serviced D'Oliveira's vehicle 11 days prior to the accident — As a result, the brakes failed, causing the accident — D'Oliveira suffered significant orthopaedic injuries to her neck, ribs and right heel and was hospitalized for 52 days — The parties agreed D'Oliveira was entitled to $995 in special damages — D'Oliveira also sought $125,000 in non-pecuniary damages while Kal submitted $40,000 to $50,000 was appropriate — D'Oliveira awarded $995 in special damages and $40,000 in non-pecuniary damages.</w:t>
      </w:r>
    </w:p>
    <w:p>
      <w:pPr>
        <w:jc w:val="both"/>
        <w:rPr>
          <w:rFonts w:ascii="arial" w:eastAsia="arial" w:hAnsi="arial" w:cs="arial"/>
          <w:sz w:val="20"/>
          <w:lang w:val="en-US" w:eastAsia="en-US" w:bidi="ar-SA"/>
        </w:rPr>
      </w:pPr>
      <w:bookmarkStart w:id="209" w:name="Legislation Cited_16"/>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2"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40A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0" w:name="Counsel_29"/>
      <w:bookmarkEnd w:id="2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B.C. Poston.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Lewthwaite.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ICBC: D.T. Griffin.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1" w:name="Judgment_29"/>
      <w:bookmarkEnd w:id="211"/>
      <w:r>
        <w:pict>
          <v:line id="_x0000_s1164"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2" w:name="GRAY J."/>
            <w:bookmarkEnd w:id="212"/>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trials in these two lawsuits were heard together and proceeded to a three-day hearing. Both actions relate to a single-vehicle accident on June 5, 2006. Although named differently in the two lawsuits, both defendants were represented by Mr. Lewthwaite and I will refer to them simply as "Kal."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lawsuit she commenced ("D'Oliveira Action"), Ms. D'Oliveira alleges that Kal negligently serviced her brakes on May 25, 2006, eleven days prior to the accident. She alleges that the accident occurred as a result of the condition of the brakes and that the defendant is wholly responsible for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action it commenced ("ICBC Action"), ICBC alleges that Ms. D'Oliveira's accident was caused by Kal's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repairing Ms. D'Oliveira's brakes, and that as a result of the accident, it paid benefits to Ms. D'Oliveira and also paid a certain amount in damages. The parties to the ICBC Action agreed that if Kal was found liable to Ms. D'Oliveira for her damages arising from the accident, Kal would also be liable to ICBC, and ICBC would be entitled to an order for damages in the amount of $35,000. The parties to the ICBC Action also agreed that no costs would be awarded to either party in that lawsuit regardless of which party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to the D'Oliveira Action agreed that if Ms. D'Oliveira was entitled to damages, special damages should be calculated at $995.24. The balance of Ms. D'Oliveira's claim is for non-pecuniary damages, which she argued should be assessed at $125,000. Kal argued that Ms. D'Oliveira's non-pecuniary damages should be assessed at $40,000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June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D'Oliveira was born in Canada in August 1927, and was educated in China. She commenced her working life in China and Hong Kong, but returned to Canada around 1950. She raised three sons and now has six grandchildren.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D'Oliveira's husband passed away in 1977. After that, she spent some of her working life in Alberta in oil pipeline field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Around 1997, at the age of 70, Ms. D'Oliveira decided to retire. She wanted to spend more time with and care for her elderly mother, who had recently suffered a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the June 5, 2006 accident, Ms. D'Oliveira was active. She lived on the bottom floor of a home that she owns with her son Ralph. She regularly attended church, bridge clubs and stay-fit classes, and she did volunteer accounting work. She did her own shopping and lived entirely independently. Ms. D'Oliveira regularly walked or drove her granddaughter to kindergarten or school in Ms. D'Oliveira's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D'Oliveira owned a 1991 Nissan Stanza ("Nissan") with an automatic transmission. She kept it in a garage at the home she shared with her son. Ms. D'Oliveira had her Nissan serviced at Kal regularly in the year or two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fall of 2005, Ms. D'Oliveira was advised to have her brakes checked when she had her car serviced the following spring. She did not observe any brake fluid leaks on the floor of her garage. She took her Nissan to Kal for servicing on May 25, 2006. The invoice relating to the work refers to installing two wheel cylinders, "brake fluid flush", and "wynns two litre dot 4 brake fluid". The mileage recorded on the servicing invoice was 94,008 kms.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Kal's records did not enable it to confirm which of its employees actually performed the work on the Nissan's brakes. Its records suggest that Mr. Chiu initially commenced the work. He had no recollection of the work and could not confirm that he completed the work. He may have asked another employee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Chiu testified that in 2006 Kal used a hand pump system for bleeding brake lines, which was not as consistent as the wynns system that the defendant began using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was no brake maintenance performed on the Nissan between May 25, 2006 and the time of accident. The only change in the Nissan's performance which Ms. D'Oliveira noticed between the servicing and the accident was that the hand brake was very tight. She did not see the brake fluid indicator illuminate.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June 5,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D'Oliveira drove her Nissan to a hair salon near the intersection of Kingsway and Aberdeen in Vancouver, B.C. on June 5, 2006. She estimated that she slowed or braked about 13 times along the way. The brake functioning seemed normal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about 2:00 p.m., Ms. D'Oliveira began her journey home. She travelled north on Boundary Road in Vancouver on a downhill grade. As she approached Moscrop Street, she tried to stop. She found that the brakes did not respond when she depressed the brake pedal. She tried pumping the brakes. The pedal went to the floor but the brakes still did not respond. She considered that the brakes went from 100 percent to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Fortunately, the light turned green and she continued through the intersection. She steered her car to the right because she wanted to stop the vehicle without injuring anyone. She remembers steering the Nissan to the right curb, and her memory fails at that point. She did not try using the hand brake because she was afraid of being hit by a vehicle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D'Oliveira's Nissan came to rest when it smashed into a lamp standard at the intersection of Boundary Road and 29th Avenue. The force of the collision caused extensive damage to the Nissan.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D'Oliveira has no recollection of hitting the lamp standard. Her first memory following the accident is of having difficulty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D'Oliveira was taken to Vancouver General Hospital and was admitted to the trauma unit. She was diagnosed as having a fracture to her C-7 vertebra, ten fractured ribs and a crushed right heel. She had surgery on her heel, involving the insertion of pins, and the application of a plaster cast almost to her knee. Her neck was put in a neck collar.</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Following June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D'Oliveira remained at Vancouver General Hospital for 14 days, after which she was transferred to Bradden Private Hospital for transitional care. She stayed there for 38 days. She spent a total of 52 days in a hospital setting before she was discharged home in around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pins and the plaster cast were removed from Ms. D'Oliveira's heel after seven weeks. She was fitted with an air boot which was removed on her discharge from Bradden Hospital. Ms. D'Oliveira's ribs had healed by that time. The neck collar was removed. She was discharged using a wheel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the time she was discharged home, Ms. D'Oliveira was essentially pain-free, although she was reluctant to move her neck quickly for fear of pain or injury. Her home was modified with bathroom grab bars and a tub chair for her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Shortly after she left Bradden Hospital, Ms. D'Oliveira was able to walk with the aid of a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D'Oliveira's family assisted her to live on her own, particularly in the summer when her sister stayed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about February 2007, Ms. D'Oliveira resumed her activities of attending bridge club and church and walking her granddaughter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D'Oliveira continued to use the walker or a cane until the spring of 2007, when she was able to walk un-aided.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D'Oliveira's rib injuries have healed. She does not have any pain associated with her neck, although she is cautious about turning it. Her right ankle remains swollen and she continues to wear wide shoes to accommodate the swelling. She is less confident of her balance than she was prior to the accident. She has occasional heel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D'Oliveira no longer attends stay-fit classes owing to her insecurity in using her right foot. She requires assistance with her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Golin, Treating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D'Oliveira's attending family physician, Dr. Golin, provided a report dated June 19, 2008. He wrote that her present condition and prognosis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Present Condition</w:t>
      </w:r>
      <w:r>
        <w:rPr>
          <w:rFonts w:ascii="arial" w:eastAsia="arial" w:hAnsi="arial" w:cs="arial"/>
          <w:color w:val="000000"/>
          <w:sz w:val="20"/>
          <w:lang w:val="en-US" w:eastAsia="en-US" w:bidi="ar-SA"/>
        </w:rPr>
        <w:t xml:space="preserve"> - the patient has fully recovered from all of her injuries without any remaining partial or total disability. She has no pain in her ribs or neck, and no pain in her right foot and heel. She has no remaining leg swelling and is able to walk without any difficulty. There is no limp. The patient is emotionally and mentally well without any anxiety or depression. She is not taking any medication, does not require any special shoes or compression hose, and is not seeing any physical therapist such as physiotherapy or occupational therapy.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Prognosis</w:t>
      </w:r>
      <w:r>
        <w:rPr>
          <w:rFonts w:ascii="arial" w:eastAsia="arial" w:hAnsi="arial" w:cs="arial"/>
          <w:color w:val="000000"/>
          <w:sz w:val="20"/>
          <w:lang w:val="en-US" w:eastAsia="en-US" w:bidi="ar-SA"/>
        </w:rPr>
        <w:t xml:space="preserve"> - Lily's prognosis is excellent. As mentioned, she has fully recovered from all of her injuries. I do not expect any future problems in her ribs or neck due to her fractures in those areas. Lily's fractured heel has fully recovered. Prognosis for this fracture is also excellent. The fracture itself should remain healed without any future problems. However, there is a small possibility that over the next 5 to 10 years she may develop some degenerating arthritis in her ankle and foot. Because her injury has occurred at her present age, it is likely that the amount of arthritis that she would develop would be small and would not significantly affect her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will not require any further follow-up with any surgeon or any other physicians. She will not require future medications or physiotherapy. She will not require any compression hose or water pills and will not require any special shoes or footwear.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has been instructed to remain active without any restrictions, and will follow-up with myself only if she develops problems.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Engineering and Automotive Expert Evidence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Robin Brown, P.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Brown testified on behalf of Ms. D'Oliveira. He is a licenced professional engineer and was qualified as an expert in the operation of automotive brake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Brown conducted a physical inspection of the Nissan on October 17, 2006 and provided a written report dated November 7, 2006. He examined the hydraulically actuated braking system and the master cylinder. He did not observe any damage, although on his inspection both front and rear fluid reservoirs were empty with only some contaminates in the bottom of the reservoirs.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Brown also inspected the wheel end of the braking system, including the brake calipers, rotors, pads, drums, wheel cylinders, shoes and brake lines. He did not find any indications of leakage of fluid in the front wheels or at the brake line connections. He observed that the bleed screws on each front caliper did not exhibit wrench marks and were covered with a significant amount of road grime similar to that of surrounding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Brown also inspected the rear wheels and saw the new wheel cylinders on both rear wheels. He observed that the bleed nuts on the rear wheels appeared to be new, and looked significantly different from the bleed screws on the front wheels. Those on the rear had virtually no grime covering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Mr. Brown's written report, 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fluid levels in the master cylinder would suggest that the master cylinder reservoirs had not been topped up after the rear wheel cylinders had been replaced. The depleted and reduced fluid levels would allow air to be drawn into the hydraulic system with each application of the brakes. Over a short period of time, sufficient air would be drawn into the system such that insufficient brake pedal travel would be available to the driver to produce any braking force. This would be consistent with the driver's perception of complete brake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Brown confirmed at trial that this was his opinion. However, the focus of his testimony at trial was the fact that the front bleed screws not only did not exhibit wrench marks, but also exhibited significant road grime, suggesting that they could not have been opened 11 days before the accident when Kal performed the brake servicing.</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Ted Semeniuk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Semeniuk was qualified to give evidence on the repair, servicing and mechanical inspection of automobile brake systems, and in failure analysis of vehicle mechanical systems, including brake systems. He signed a report dated March 27, 2008 ("Samac Report") on the letterhead of Samac Engineering Ltd., which was also signed by Mr. MacInnis, P. Eng. The Samac Report was tendered into evidence by Kal.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objected to the admissibility of the Samac Report on the basis that it was a joint report and not in compliance with Rule 40A. Mr. Poston, counsel for Ms. D'Oliveira, referred to several cases, including </w:t>
      </w:r>
      <w:r>
        <w:rPr>
          <w:rFonts w:ascii="arial" w:eastAsia="arial" w:hAnsi="arial" w:cs="arial"/>
          <w:b/>
          <w:i/>
          <w:color w:val="000000"/>
          <w:sz w:val="20"/>
          <w:lang w:val="en-US" w:eastAsia="en-US" w:bidi="ar-SA"/>
        </w:rPr>
        <w:t>Emil Anderson Construction Co. Ltd. v. British Columbia Railway Company</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(1987), 15 B.C.L.R. (2d) 28</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[1987] 5 W.W.R. 523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Heidebrecht v. Fraser-Burrard Hospital Society</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[1995] B.C.J. No. 2996</w:t>
        </w:r>
      </w:hyperlink>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15 B.C.L.R. (3d) 189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Dhaliwal v. Bassi</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2007 BCSC 548</w:t>
        </w:r>
      </w:hyperlink>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73 B.C.L.R. (4th) 170</w:t>
        </w:r>
      </w:hyperlink>
      <w:r>
        <w:rPr>
          <w:rFonts w:ascii="arial" w:eastAsia="arial" w:hAnsi="arial" w:cs="arial"/>
          <w:color w:val="000000"/>
          <w:sz w:val="20"/>
          <w:lang w:val="en-US" w:eastAsia="en-US" w:bidi="ar-SA"/>
        </w:rPr>
        <w:t>. Following an adjournment, the Samac Report was annotated with highlighting demonstrating which parts were primarily based on Mr. Semeniuk's work and which were based on Mr. MacInnis's work. The Samac Report was admitted into evidence in that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Semeniuk was not given the opportunity to examine the Nissan. Among the materials he reviewed was Mr. Brown's report. Mr. Semeniuk noted that for the servicing described in the invoice, the only areas of the brake system which would necessarily have been touched were the brake system components at the two rear wheels, the front brake bleed screws, and the reservoir of the brake master cylinder. Mr. Semeniuk noted that to perform the invoiced work, the service people would not have been required to touch the master cylinder/vacuum cylinder/brake pedal components, the front brake components, or the brake line between the master cylinder and the four wheels. Mr. Semeniuk also provided information about how certain failures would have occurred.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Steve MacInnis, P.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MacInnis was qualified as an expert in the area of design, operation and analysis of automobile brake systems. He wrote parts of the Samac Report, including portions that depended on Mr. Semeniuk's expertise. Mr. MacInnis was not able to identify, on the basis of his assumptions, anything that would have caused the brake system to suddenly fail completely. He considered a number of possible failures, but was of the opinion that there should have been some warning about any of those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Mr. MacInnis's opinion, if the brake fluid was low enough in the rear reservoir, braking the vehicle would have tended to suck air into the brake lines of the circuit. This would have resulted in a spongy feel to the brake pedal. In Mr. MacInnis' opinion, if there was air left in the brake system, the driver should have felt a problem with the brake pedal immediately after it was serviced.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D'Oliveira was an impressive witness. She was frank, articulate, and did not exaggerate. I have no hesitation in accepting her evidence that the brakes suddenly failed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fact that there was a sudden brake failure is unusual, and the experts struggled to explain what could have caused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Messrs. Brown, Semeniuk and MacInnis all had impressive credentials. Mr. Brown had the additional opportunity to physically inspect the Nissan. The photographs of his inspection confirm his observation that the front bleed screws were covered with road grime and appeared not to have been disrupted for some time, while the rear ones had been replaced and were covered with virtually no grime. This strongly suggests that the front bleed screws had not been unscrewed, and that Kal therefore did not complete the bleeding of the brake lines on May 25,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simplest terms, the Nissan's hydraulic braking system functioned in this way. It was designed so that non-compressible brake fluid could be placed in the master cylinder reservoirs so that it would flow along the brake lines. The brake system was designed to be activated by depressing the brake pedal. Doing so was designed to push a rod in the vacuum booster, which in turn, was designed to push another rod connected to a piston in the master cylinder. So long as there was sufficient fluid in the master cylinder reservoirs, pushing this piston should have had the effect of compressing the fluid in the brake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effect of the compression of the fluid in the brake lines differed for the front and rear brakes. The front brakes were designed so that a piston would press against disk callipers, thus slowing the vehicle. The rear drum brakes involve the use of a wheel cylinder, which also had pistons. These were designed to press to the brake shoes which themselves would create friction with the wheel and slow the rear wheels.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both the front and rear brakes, there is a component called a bleed screw. The term "bleeding" or "flushing" the brake lines refers to pushing what is in the brake lines out the hole which is covered by the bleed screw.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fluid in the brake system is susceptible to contamination by air, water, or particles. Contamination by air and water reduces braking function, because air and water are compressible. Contamination by particles presents a risk that the particles will block a seal at some point in the brake line, permitting the entry of air or water or other contaminants through the seal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process of flushing a brake line is intended to replace what is in the brake line with fresh brake fluid. In general terms, the process consists of introducing fresh brake fluid to the master reservoir, and by applying pressure to the master cylinder connection, forcing the new brake fluid to replace whatever is present in the brake line. This should force old brake fluid, which might be contaminated by air or water or particles, out the bleed screw 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brake system on the Nissan was a "diagonal" system. That is a system in which one reservoir of the master cylinder feeds the left front and right rear brake line, while the other reservoir feeds the other brake line. The purpose of the diagonal design is so that if there is a failure in one brake line from one reservoir, only two brakes will be affected and they will be on different sides of the vehicle. This is a safety measure designed to assist in avoiding brake failure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rear wheel bleed screws are on the wheel cylinders. Replacing wheel cylinders properly requires bleeding of the brake lines. Performed properly, a brake fluid flush will replace the fluid in the brake lines. If fresh brake fluid was introduced into the master reservoir and not bled through the bleed screws on the two front wheels, the fluid in both diagonal brake lines would not be completely replaced. As a result, any existing contamination, such as air or moisture or particles, might not be removed from either diagonal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evidence demonstrated on the balance of probabilities that Kal's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servicing the Nissan's brake system caused the brakes to fail. Mr. Brown's physical observations of undisturbed front bleed screws is consistent with a failure to properly perform the brake fluid flush. This would have left existing contaminated brake fluid in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D'Oliveira did not notice a change in the brake system functioning after the servicing. The brakes may have been performing poorly before the servicing, which led to the replacement of the rear wheel cylinders. If the brake fluid flush was done incorrectly, brake function would not improve despite the servicing. Alternatively, Ms. D'Oliveira may not have been particularly sensitive to the sponginess of the brakes. While it appeared sudden to Ms. D'Oliveira, the brake system was likely performing poorly even prior to servicing, and there simply continued to be a slow deterioration leading to complete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a result, Kal is liable for Ms. D'Oliveira's injuries arising from the accident, and for the sum agreed between the parties in the ICBC Action.</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D'Oliveira suffered significant orthopaedic injuries of ten broken ribs, a crushed right heel, and a fracture to the C-7 vertebra. She had surgery on her heel to insert pins, had a cast on her leg for seven weeks, and was placed in a neck collar. She spent 52 days in a hospital setting. She was discharged using a wheelchair, but shortly afterwards was able to walk with a walker and then a cane. During this time she was assisted in household activities by her son and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D'Oliveira was able to walk unaided about nine months after the accident. By that time she was mostly pain-free, and able to resume most of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D'Oliveira's on-going problems are that she is unsteady on her feet. She has given up her regular stay-fit classes. She is more cautious in turning her head. She has to wear wide shoes to accommodate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Ms. D'Oliveira's position is that an appropriate award of non-pecuniary damages in this case is $125,000. She relied on these cases: </w:t>
      </w:r>
      <w:r>
        <w:rPr>
          <w:rFonts w:ascii="arial" w:eastAsia="arial" w:hAnsi="arial" w:cs="arial"/>
          <w:b/>
          <w:i/>
          <w:color w:val="000000"/>
          <w:sz w:val="20"/>
          <w:lang w:val="en-US" w:eastAsia="en-US" w:bidi="ar-SA"/>
        </w:rPr>
        <w:t>Easton v. Chrunka</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2006 BCSC 1396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Cole v. Smith</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2002 BCSC 1235</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[2002] B.C.J. No. 1913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Chu v. Jacobs</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[1996] B.C.J. No.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Kal argued that the appropriate range of damages for Ms. D'Oliveira, bearing in mind the significant orthopaedic injuries, was $40,000 to $50,000. Kal relied on these two cases: </w:t>
      </w:r>
      <w:r>
        <w:rPr>
          <w:rFonts w:ascii="arial" w:eastAsia="arial" w:hAnsi="arial" w:cs="arial"/>
          <w:b/>
          <w:i/>
          <w:color w:val="000000"/>
          <w:sz w:val="20"/>
          <w:lang w:val="en-US" w:eastAsia="en-US" w:bidi="ar-SA"/>
        </w:rPr>
        <w:t>McFadyen v. Dean</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2006 BCSC 779</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[2006] B.C.J. No. 1164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Harvey v. Swyer</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2007 NLTD 129</w:t>
        </w:r>
      </w:hyperlink>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[2007] N.J. No. 249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also considered the following cases: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Turlock v. Easy</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[1992] B.C.J. No. 2657</w:t>
        </w:r>
      </w:hyperlink>
      <w:r>
        <w:rPr>
          <w:rFonts w:ascii="arial" w:eastAsia="arial" w:hAnsi="arial" w:cs="arial"/>
          <w:color w:val="000000"/>
          <w:sz w:val="20"/>
          <w:lang w:val="en-US" w:eastAsia="en-US" w:bidi="ar-SA"/>
        </w:rPr>
        <w:t xml:space="preserve"> (S.C.);</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Zeeb v. Purser</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[1988] B.C.J. No. 2246</w:t>
        </w:r>
      </w:hyperlink>
      <w:r>
        <w:rPr>
          <w:rFonts w:ascii="arial" w:eastAsia="arial" w:hAnsi="arial" w:cs="arial"/>
          <w:color w:val="000000"/>
          <w:sz w:val="20"/>
          <w:lang w:val="en-US" w:eastAsia="en-US" w:bidi="ar-SA"/>
        </w:rPr>
        <w:t xml:space="preserve"> (S.C.);</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Ralph v. Britt</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[1986] B.C.J. No. 2337</w:t>
        </w:r>
      </w:hyperlink>
      <w:r>
        <w:rPr>
          <w:rFonts w:ascii="arial" w:eastAsia="arial" w:hAnsi="arial" w:cs="arial"/>
          <w:color w:val="000000"/>
          <w:sz w:val="20"/>
          <w:lang w:val="en-US" w:eastAsia="en-US" w:bidi="ar-SA"/>
        </w:rPr>
        <w:t xml:space="preserve"> (S.C.)</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Regan v. Howe Holdings</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[1990] B.C.J. No. 299</w:t>
        </w:r>
      </w:hyperlink>
      <w:r>
        <w:rPr>
          <w:rFonts w:ascii="arial" w:eastAsia="arial" w:hAnsi="arial" w:cs="arial"/>
          <w:color w:val="000000"/>
          <w:sz w:val="20"/>
          <w:lang w:val="en-US" w:eastAsia="en-US" w:bidi="ar-SA"/>
        </w:rPr>
        <w:t xml:space="preserve"> (S.C.);</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Lepp Estate v. Lepp</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[1989] O.J. No. 1744</w:t>
        </w:r>
      </w:hyperlink>
      <w:r>
        <w:rPr>
          <w:rFonts w:ascii="arial" w:eastAsia="arial" w:hAnsi="arial" w:cs="arial"/>
          <w:color w:val="000000"/>
          <w:sz w:val="20"/>
          <w:lang w:val="en-US" w:eastAsia="en-US" w:bidi="ar-SA"/>
        </w:rPr>
        <w:t xml:space="preserve"> (Dist. Ct.);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Usher v. Sam</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[1982] B.C.J. No. 465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 two cases are identical and each will depend on its particular facts. The appropriate award for Ms. D'Oliveira's non-pecuniary damages is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D'Oliveira is entitled to judgment against Kal for $40,995.24 consisting of non-pecuniary damages of $40,000 and special damages of $995.24.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ICBC is entitled to damages against Kal in the amount of $35,000. As agreed, there will be no order as to costs in the ICBC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Unless the parties need to bring an offer to settle to the court's attention, Ms. D'Oliveira is entitled to her costs of the D'Oliveira Action at Scale B, and interest as applicable. If counsel wish to address costs, they should schedule a further hearing through the registry.</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Dunn Estate v. TD Canada Trust, [2014] B.C.J. No. 321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S096983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E.T.R. (3d) 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237 A.C.W.S. (3d) 1032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465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Catherine Dunn, Catherine Jean Crowe (née Catherine Dunn, Jr.), Kenneth Terry Bullman, Margaret Elizabeth Beresford, Sandra Elizabeth, Dunn, Christopher Robert Dunn, Carolyn Suzanne Stuart, Gregory Lewis, Dunn and Gregory Lewis Dunn as executors for the Estate of Robert Lewis Dunn, Kenneth Terry Bullman and Margaret Elizabeth, Beresford as executors for the Estate of Mary Bullman, Plaintiffs, and TD Canada Trust, The Canada Trust Company, TD Waterhouse, TD Waterhouse Private Client Services,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6"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3" w:name="Keywords_25"/>
      <w:bookmarkEnd w:id="213"/>
      <w:r>
        <w:rPr>
          <w:rFonts w:ascii="arial" w:eastAsia="arial" w:hAnsi="arial" w:cs="arial"/>
          <w:b/>
          <w:color w:val="000000"/>
          <w:sz w:val="20"/>
          <w:lang w:val="en-US" w:eastAsia="en-US" w:bidi="ar-SA"/>
        </w:rPr>
        <w:t>Civil litigation — Limitation of actions — Time — Application by the defendants for dismissal of all claims occurring before September 23, 1979 dismissed — The defendant Canada Trust Company was the Trustee of the Fairfoull estate — The plaintiffs were Fairfoull's children, grandchildren and great-grandchildren — They claimed that the Trustee was negligent, in breach of contract and in breach of trust — The defendants submitted that the claims were statute barred — However, it could not be determined exactly when the beneficiaries sustained damage and it could therefore not be said with certainty that any claim was barred by a limitation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and trusts law — Proceedings — Practice and procedure — Limitation periods — Application by the defendants for dismissal of all claims occurring before September 23, 1979 dismissed — The defendant Canada Trust Company was the Trustee of the Fairfoull estate — The plaintiffs were Fairfoull's children, grandchildren and great-grandchildren — They claimed that the Trustee was negligent, in breach of contract and in breach of trust — The defendants submitted that the claims were statute barred — However, it could not be determined exactly when the beneficiaries sustained damage and it could therefore not be said with certainty that any claim was barred by a limitation period.</w:t>
      </w:r>
    </w:p>
    <w:p>
      <w:pPr>
        <w:jc w:val="both"/>
        <w:rPr>
          <w:rFonts w:ascii="arial" w:eastAsia="arial" w:hAnsi="arial" w:cs="arial"/>
          <w:sz w:val="20"/>
          <w:lang w:val="en-US" w:eastAsia="en-US" w:bidi="ar-SA"/>
        </w:rPr>
      </w:pPr>
      <w:bookmarkStart w:id="214" w:name="Legislation Cited_17"/>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7"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8(1)(c)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9-6,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5" w:name="Counsel_30"/>
      <w:bookmarkEnd w:id="2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 Jarvis.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Hwang.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0"/>
      <w:bookmarkEnd w:id="216"/>
      <w:r>
        <w:pict>
          <v:line id="_x0000_s1169"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J.R. DILLON J."/>
            <w:bookmarkEnd w:id="217"/>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applied pursuant to the Supreme Court Civil Rules 9-6 and 9-7 for dismissal of all claims against the defendants occurring before September 23, 1979 because all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breach of trust or fiduciary duty are statute barred pursuant to the ultimate 30-year limitation period provided for in s. 8(1)(c)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plaintiffs replied that their claims are not statute barred and that this matter is not suitable for disposition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matter involves Canada Trust Company's (the "trustee"), administration of the will and codicil of Robert Fairfoull Sr. (the "testator") who died on August 14, 1957. The plaintiffs commenced this action on September 23, 2009 claiming breach of trust,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regarding failure to retain the original investments of the estate, fiscal management of estate assets, trustee fees, and improper capitalization of Robert Fairfoull Sr.'s 1/3 portion of the income of the estate. The plaintiffs may be described within three groups: the children of the testator, the grandchildren of the testator, and the great grandchildren of the testator.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testator left a will dated October 23, 1951 and modified by codicil on December 30, 1954 wherein the Canada Permanent Trust Company, now Canada Trust Company, was appointed sole executor and trustee. Probate was granted on November 14, 1957.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testator's death, he was survived by three children: Mary Bullman ("Mary"), Catherine Dunn ("Catherine"), and Robert Fairfoull Jr. ("Robert Jn"). He was also survived by four grandchildren: Kenneth Bullman and Margaret Beresford (children of Mary), and Robert Dunn and Catherine Crowe (children of Catherine). Robert Dunn died on October 19, 1999, leaving three children, the great grandchildren, Chris Dunn ("Chris"), Carolyn Stuart ("Carolyn"), and Gregory Dunn ("Gregory"). Robert Jn. died on April 2, 1972, leaving his wife, Florence Fairfoull ("Florence") who died in 1988, and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will provided, among other things, that:</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should retain, in the form in which they were at his death, all investments in bonds and stocks and to sell all the rest and remainder of the estate not consisting of money and investments at the discretion of the trustee;</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child was to receive 1/3 of the annual income of the estate for life, except that Robert Jn. was not to receive the amount if he was married at the time of payment to Florence;</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the death of either daughter, the trustee was to divide the estate into three equal parts and pay one of such part to such person as the deceased daughter shall have directed in her will, or to her children in equal shares if no will directed;</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the death of the second daughter, the trustee was to pay one of the equal parts to whomever the deceased daughter had directed in her will, or to her children in equal shares if no such direction in her will;</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Robert Jn. was to receive a third of the estate (he could not do so if married to Florence) and if he had died leaving no issue before such sum was to be paid, his share was to be paid to Mary and Catherine or to their families </w:t>
      </w:r>
      <w:r>
        <w:rPr>
          <w:rFonts w:ascii="arial" w:eastAsia="arial" w:hAnsi="arial" w:cs="arial"/>
          <w:i/>
          <w:color w:val="000000"/>
          <w:sz w:val="20"/>
          <w:lang w:val="en-US" w:eastAsia="en-US" w:bidi="ar-SA"/>
        </w:rPr>
        <w:t>per stirpes</w:t>
      </w:r>
      <w:r>
        <w:rPr>
          <w:rFonts w:ascii="arial" w:eastAsia="arial" w:hAnsi="arial" w:cs="arial"/>
          <w:color w:val="000000"/>
          <w:sz w:val="20"/>
          <w:lang w:val="en-US" w:eastAsia="en-US" w:bidi="ar-SA"/>
        </w:rPr>
        <w: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could encroach on the capital of the estate as necessary for the testator's children or grandchildren by reason of ill health or for education needs, with any portion advanced to form a charge upon the portion of the estate over which the child had a power of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provision that Robert Jn. was not to receive a share of the estate if married to Florence was found to be contrary to public policy in a decision of this court in November 1973, following Robert Jn.'s death. In response to questions to the court, the court found that, upon the death of the first of the testator's daughters, the estate was to be divided into three equal parts and the deceased daughter's share was to be paid to her heirs as directed in her will or to her issue if she failed to direct. Robert Jn.'s share was to vest in the surviving daughter and in the deceased daughter's heirs or issue as the case may be. This meant that Robert Jn.'s share could not vest until one of the daughters died. The surviving daughter's share of capital was payable only after the surviving daughter's death and then as she directed or to her issue as the case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interests of the plaintiffs were both vested and contingent. Mary and Catherine had vested interests in their respective 1/3 interest in the income of the estate. Both held contingent interests in 1/3 of the capital of the estate should it be needed for their health. In fact, both Mary in 2006 and Catherine in 2009 requested to encroach upon the capital for health reasons and were given 1/3 of the value of the capital of the estate at that time by the trustee. The plaintiffs maintain that if the estate had been managed according to the terms of the will, there would have been capital remaining after the amount needed for medical purposes for the great grandchildren of the testator (the children of Mary and Catherine).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1/3 share of the capital remaining to Robert Jn. was determined, according to the terms of the will as interpreted by the court in 1973, when Mary, the first daughter to die, died in 2010. Robert Jn.'s share went equally to Catherine, the surviving daughter, and to the children of Mary (Kenneth Bullman and Margaret Beresford) because Mary did not leave directions in her will. Catherine is still alive and her 50% interest in Robert Jn.'s share of the capital of the estate vested when Mary died in 2010. So, the grandchildren's interest in the 50% share of the 1/3 share of the capital of the estate payable to Robert Jn. only became vested in 2010. The 1/3 share of Robert Jn. remains undistributed and amounts now to $60,247.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trustee did not provide any information to the grandchildren about the accounts of the estate prior to Mary's death in 2010. The trustee's understanding of the powers and directions given to the trustee were outlined in a record of trust which included a statement of the express instruction to retain bonds and stocks held at death. By 1971, the trustee had sold the majority of the investments, although some were sold between 1979 and 1983. All but 500 Canadian Imperial Bank of Commerce shares were sold prior to August 14, 1979, and the remainder prior to August 1983. The trustee's treatment of the 500 shares and any other investments not sold prior to 1979 would not be caught within the ultimate limitation period as determined by the defendant and would still be subject to litigation and trial. The proceeds from the sale of the original shares and investments were re-invested but there is no evidence before the court as to establish a date when the value of those new investments was less than the value of the original investments, if at all. Nor is there any evidence as to what the value of the original shares would have been at any time that the capital was encroached upon or 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commenced this action on September 23, 2009. They maintain that the trustee was negligent, in breach of contract, and in breach of trust when it sold the original investments contrary to the express instructions in the will. They allege that those investments would be worth many millions of dollars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position of the defendants/applicants is that any claims made that concern acts or omissions made by the defendants prior to September 23, 1979, which is 30 years prior to when this action was commenced, are barred by the ultimate limitation period. With respect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stated that the date of disposition of property is when a deprivation or loss occurred so as to trigger the limitation period. When asked exactly when this is alleged to have occurred, defendants' counsel stated that this was 30 years before the writ was issued. Upon further questions from the court, the defendants stated that the process to determine the limitation period was to look at when the writ was issued and to go back 30 years to determine whether investments were sold before or after that date. This process applied to all of the causes of action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plaintiffs/respondents say that this matter is not appropriate for disposition under Rule 9-7 because not all of the claim would be decided in any event. A trial is required to interpret the will's instruction with respect to maintaining investments, the amount involved warrants a trial, and there are insufficient facts before the court to determine when all of the elements of the cause of action crystallized. In substantive response to the defendants' argument, the plaintiffs say that the limitation period could not have commenced to run against the great grandchildren until 1988 and 1991 and that the factual circumstances as established upon this application are not sufficient to establish when all of the elements of the causes of action crystallized. In any event, the contingent capital interests held by each plaintiff meant that none of the capital beneficiaries had a vested interest until 2006 at the earliest and the cause of action could not have commenced until those interests were 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With respect to Rule 9-6, the court must be satisfied that there is no genuine issue for trial or, to put it in the traditional way,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It must be manifestly clear that there is no matter to be tried (</w:t>
      </w:r>
      <w:r>
        <w:rPr>
          <w:rFonts w:ascii="arial" w:eastAsia="arial" w:hAnsi="arial" w:cs="arial"/>
          <w:i/>
          <w:color w:val="000000"/>
          <w:sz w:val="20"/>
          <w:lang w:val="en-US" w:eastAsia="en-US" w:bidi="ar-SA"/>
        </w:rPr>
        <w:t>Haghdust v. British Columbia Lottery Corporation</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209 A.C.W.S. (3d) 288</w:t>
        </w:r>
      </w:hyperlink>
      <w:r>
        <w:rPr>
          <w:rFonts w:ascii="arial" w:eastAsia="arial" w:hAnsi="arial" w:cs="arial"/>
          <w:color w:val="000000"/>
          <w:sz w:val="20"/>
          <w:lang w:val="en-US" w:eastAsia="en-US" w:bidi="ar-SA"/>
        </w:rPr>
        <w:t xml:space="preserve"> at para. 15). This is not the case here and the defendant did not push for summary judgment under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With respect to the limitation defence, in </w:t>
      </w:r>
      <w:r>
        <w:rPr>
          <w:rFonts w:ascii="arial" w:eastAsia="arial" w:hAnsi="arial" w:cs="arial"/>
          <w:i/>
          <w:color w:val="000000"/>
          <w:sz w:val="20"/>
          <w:lang w:val="en-US" w:eastAsia="en-US" w:bidi="ar-SA"/>
        </w:rPr>
        <w:t>410727 B.C. Ltd. v. Dayhu Investments Ltd.</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2004 BCCA 379</w:t>
        </w:r>
      </w:hyperlink>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30 B.C.L.R. (4th) 157</w:t>
        </w:r>
      </w:hyperlink>
      <w:r>
        <w:rPr>
          <w:rFonts w:ascii="arial" w:eastAsia="arial" w:hAnsi="arial" w:cs="arial"/>
          <w:color w:val="000000"/>
          <w:sz w:val="20"/>
          <w:lang w:val="en-US" w:eastAsia="en-US" w:bidi="ar-SA"/>
        </w:rPr>
        <w:t xml:space="preserve">, Newbury J.A. said at para. 22 that the 30-year limitation rule applies despite the non-discoverability rule and that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accrues when the three elements of that action come into existence - a legal duty owed by the defendant to the plaintiff, a breach of that duty, and resulting damage. In the case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action starts running from the date of the client's deprivation, whether or not the quantum of the loss can be determined at that time. In </w:t>
      </w:r>
      <w:r>
        <w:rPr>
          <w:rFonts w:ascii="arial" w:eastAsia="arial" w:hAnsi="arial" w:cs="arial"/>
          <w:i/>
          <w:color w:val="000000"/>
          <w:sz w:val="20"/>
          <w:lang w:val="en-US" w:eastAsia="en-US" w:bidi="ar-SA"/>
        </w:rPr>
        <w:t>410727 B.C. Ltd.</w:t>
      </w:r>
      <w:r>
        <w:rPr>
          <w:rFonts w:ascii="arial" w:eastAsia="arial" w:hAnsi="arial" w:cs="arial"/>
          <w:color w:val="000000"/>
          <w:sz w:val="20"/>
          <w:lang w:val="en-US" w:eastAsia="en-US" w:bidi="ar-SA"/>
        </w:rPr>
        <w:t>, the ultimate limitation period applied in a defective construction case even though the defects could not have been discovered when the building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Kruk v. Ho</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2008 BCCA 201</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81 B.C.L.R. (4th) 88</w:t>
        </w:r>
      </w:hyperlink>
      <w:r>
        <w:rPr>
          <w:rFonts w:ascii="arial" w:eastAsia="arial" w:hAnsi="arial" w:cs="arial"/>
          <w:color w:val="000000"/>
          <w:sz w:val="20"/>
          <w:lang w:val="en-US" w:eastAsia="en-US" w:bidi="ar-SA"/>
        </w:rPr>
        <w:t xml:space="preserve">, the trial judge misconceived the principle to be applied in determination of when the limitation period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began and erred in failing to address when the appellant had suffered damage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Levine J.A., for the Court, said at para. 14 that the ultimate limitation period begins when the right to bring an action arises, that is, when all the elements of the cause of action come into existence.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means that both the negligent conduct and the consequent damage must have occurred. Therefore, a question that must be considered is: when did the damage occur? It may not be possible to determine that question on an application under Rule 9-7 if the pleadings and evidence on significant events are insufficient or in conflict (at para. 35). In that event, when the ultimate limitation period began may only be determined in the context of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Kennedy v. Beckmann</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2008 BCSC 323</w:t>
        </w:r>
      </w:hyperlink>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166 A.C.W.S. (3d) 377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 Estate</w:t>
      </w:r>
      <w:r>
        <w:rPr>
          <w:rFonts w:ascii="arial" w:eastAsia="arial" w:hAnsi="arial" w:cs="arial"/>
          <w:color w:val="000000"/>
          <w:sz w:val="20"/>
          <w:lang w:val="en-US" w:eastAsia="en-US" w:bidi="ar-SA"/>
        </w:rPr>
        <w:t xml:space="preserve">], the court considered when a right of action arose in respect of an alleged negligent administration of an estate by the trustee in selling more of the land than the trustee was entitled to do at the time, so depriving the estate of the future value of the lands. In that case, the sale of the disputed lands occurred in 1974 and 1975 and the action was commenced on February 7, 2006. Bauman J. (as he then was) stated the consistent interpretation of when a cause of action arises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 at paras. 25-26: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phrase the "date on which the right to do so arose" has been consistently interpreted to mean in the case of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date when the damage occurs; that is, generally when all the elements of a cause of action exist irrespective of the plaintiff's state of knowledge: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the words of Brett J. in </w:t>
      </w:r>
      <w:r>
        <w:rPr>
          <w:rFonts w:ascii="arial" w:eastAsia="arial" w:hAnsi="arial" w:cs="arial"/>
          <w:i/>
          <w:color w:val="000000"/>
          <w:sz w:val="20"/>
          <w:lang w:val="en-US" w:eastAsia="en-US" w:bidi="ar-SA"/>
        </w:rPr>
        <w:t>Cooke v. Gill</w:t>
      </w:r>
      <w:r>
        <w:rPr>
          <w:rFonts w:ascii="arial" w:eastAsia="arial" w:hAnsi="arial" w:cs="arial"/>
          <w:color w:val="000000"/>
          <w:sz w:val="20"/>
          <w:lang w:val="en-US" w:eastAsia="en-US" w:bidi="ar-SA"/>
        </w:rPr>
        <w:t xml:space="preserve"> (1873), L.R. 8 C.P. 107, quoted with approval by Justice Newbury in </w:t>
      </w:r>
      <w:r>
        <w:rPr>
          <w:rFonts w:ascii="arial" w:eastAsia="arial" w:hAnsi="arial" w:cs="arial"/>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2004 BCCA 299</w:t>
        </w:r>
      </w:hyperlink>
      <w:r>
        <w:rPr>
          <w:rFonts w:ascii="arial" w:eastAsia="arial" w:hAnsi="arial" w:cs="arial"/>
          <w:color w:val="000000"/>
          <w:sz w:val="20"/>
          <w:lang w:val="en-US" w:eastAsia="en-US" w:bidi="ar-SA"/>
        </w:rPr>
        <w:t>, the "date on which the right to do so arose" means the date on which "every fact [exists] which is material to be proved to entitle the plaintiff to succeed - every fact which the defendant would have a right to traverse"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to a case of breach of trust, the cause of action arises when the breach occurs under the terms of the trust (at para. 27). The court then concluded on the facts of that case before it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Accordingly, I conclude that the causes of action giving rise to the impugned claims occurred, if at all, prior to 7 February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do not read Bauman J. as stating a rule there that the limitation period is to be calculated backwards 30 years from the date of the filing of the writ as the defendant argued here. Rather, on the facts of that case, the cause of action arose in 1974 and 1975, so greater than 30 years since the filing of the writ. There was nothing in the </w:t>
      </w:r>
      <w:r>
        <w:rPr>
          <w:rFonts w:ascii="arial" w:eastAsia="arial" w:hAnsi="arial" w:cs="arial"/>
          <w:i/>
          <w:color w:val="000000"/>
          <w:sz w:val="20"/>
          <w:lang w:val="en-US" w:eastAsia="en-US" w:bidi="ar-SA"/>
        </w:rPr>
        <w:t>Edwards Estates</w:t>
      </w:r>
      <w:r>
        <w:rPr>
          <w:rFonts w:ascii="arial" w:eastAsia="arial" w:hAnsi="arial" w:cs="arial"/>
          <w:color w:val="000000"/>
          <w:sz w:val="20"/>
          <w:lang w:val="en-US" w:eastAsia="en-US" w:bidi="ar-SA"/>
        </w:rPr>
        <w:t xml:space="preserve"> analysis that changed or simplified the ordinary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context of delayed-demand promissory notes, the court in </w:t>
      </w:r>
      <w:r>
        <w:rPr>
          <w:rFonts w:ascii="arial" w:eastAsia="arial" w:hAnsi="arial" w:cs="arial"/>
          <w:i/>
          <w:color w:val="000000"/>
          <w:sz w:val="20"/>
          <w:lang w:val="en-US" w:eastAsia="en-US" w:bidi="ar-SA"/>
        </w:rPr>
        <w:t>Ewachniuk Estate v. Ewachniuk</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2011 BCCA 510</w:t>
        </w:r>
      </w:hyperlink>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211 A.C.W.S. (3d) 978</w:t>
        </w:r>
      </w:hyperlink>
      <w:r>
        <w:rPr>
          <w:rFonts w:ascii="arial" w:eastAsia="arial" w:hAnsi="arial" w:cs="arial"/>
          <w:color w:val="000000"/>
          <w:sz w:val="20"/>
          <w:lang w:val="en-US" w:eastAsia="en-US" w:bidi="ar-SA"/>
        </w:rPr>
        <w:t xml:space="preserve"> held that a cause of action arose upon the happening of the contingency - a delayed demand - so to trigger the ultimate limitation period, notwithstanding that the contingent event might never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Heath v. Darcus</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(1991), 60 B.C.L.R. (2d) 145</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84 D.L.R. (4th) 694</w:t>
        </w:r>
      </w:hyperlink>
      <w:r>
        <w:rPr>
          <w:rFonts w:ascii="arial" w:eastAsia="arial" w:hAnsi="arial" w:cs="arial"/>
          <w:color w:val="000000"/>
          <w:sz w:val="20"/>
          <w:lang w:val="en-US" w:eastAsia="en-US" w:bidi="ar-SA"/>
        </w:rPr>
        <w:t xml:space="preserve"> (C.A.), the court addressed the issue of when a contingent beneficiary's right to bring a cause of action arose. In that case, the testator had left a right to live in a house to her daughter with the right to the proceeds of sale of the house to be left to the other children upon the daughter ceasing to live in the house. The right of action for the contingent beneficiaries, the other children, arose only when the daughter ceased to live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Re: The Estate of Lorne A. Campbell</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2005 BCSC 1561</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49 B.C.L.R. (4th) 148</w:t>
        </w:r>
      </w:hyperlink>
      <w:r>
        <w:rPr>
          <w:rFonts w:ascii="arial" w:eastAsia="arial" w:hAnsi="arial" w:cs="arial"/>
          <w:color w:val="000000"/>
          <w:sz w:val="20"/>
          <w:lang w:val="en-US" w:eastAsia="en-US" w:bidi="ar-SA"/>
        </w:rPr>
        <w:t xml:space="preserve"> is also helpful for consideration of contingent interests and whether they have 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application under Rule 9-6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matter is not suitable for disposition under Rule 9-7. In my view, the damages arising here must be assessed in a single proceeding. There is still an outstanding part of the claim regardless of application of a limitation period. Also, the defendants' approach to the limitation period, by calculating backwards from the date of issuance of the writ and stating that everything occurred before that date, failed to tackle the difficult question of when the cause of action actually arose and the damages actually incurred. It appears that the cause of action for contingent beneficiaries has not yet arisen. The defendant failed to sufficiently address the difficult factual issue of when an interest sufficiently vests so as to start the limitation period in the case of contingent beneficiaries. If the loss occurred only when an interest vested, the evidence of value of an original investment at that date is not before me. The value involved is potentially large and warrants a trial. Also, it appears that the earliest date when a contingent interest was received was in 2006. The matter of interpretation of the direction not to sell any of the original investments also remains and there is insufficient evidence before me to decide this issue. In all of the circumstances here, I find that I cannot determine exactly when the beneficiaries sustained damage, and therefore cannot say with certainty any claim is barred by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application under Rule 9-7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Costs of this application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Economical Mutual Insurance Co. v. Lloyd's Underwriters, [2014] B.C.J. No. 1094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S140555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1094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2014 BCSC 979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[2014] I.L.R. I-5619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241 A.C.W.S. (3d) 444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36 C.C.L.I. (5th) 236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2014 CarswellBC 1555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Economical Mutual Insurance Company, Petitioner, and Lloyd's Underwriters and Brendan Perry,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26"/>
      <w:bookmarkEnd w:id="218"/>
      <w:r>
        <w:rPr>
          <w:rFonts w:ascii="arial" w:eastAsia="arial" w:hAnsi="arial" w:cs="arial"/>
          <w:b/>
          <w:color w:val="000000"/>
          <w:sz w:val="20"/>
          <w:lang w:val="en-US" w:eastAsia="en-US" w:bidi="ar-SA"/>
        </w:rPr>
        <w:t>Insurance law — Insurers — Duties — Duty to defend — Application by Economical Mutual Insurance for a declaration that the respondent Lloyd's Underwriters was obligated to defend the action against Perry allowed — Perry was covered by liability insurance under an Economical policy — RG owned a skating arena and was a named insured on a Lloyd's policy — Brisebois commenced an action seeking damages for injuries allegedly caused by Perry during a recreational hockey game — Lloyd's submitted that Perry fell outside the scope of the Lloyd's policy — However, Perry qualified as an insured under the policy and was entitled to have Lloyd's defend the action against him.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The insurance contract — Interpretation — Coverage provisions and exclusion clauses — Application by Economical Mutual Insurance for a declaration that the respondent Lloyd's Underwriters was obligated to defend the action against Perry allowed — Perry was covered by liability insurance under an Economical policy — RG owned a skating arena and was a named insured on a Lloyd's policy — Brisebois commenced an action seeking damages for injuries allegedly caused by Perry during a recreational hockey game — Lloyd's submitted that Perry fell outside the scope of the Lloyd's policy — However, Perry qualified as an insured under the policy and was entitled to have Lloyd's defend the action against him.</w:t>
      </w:r>
    </w:p>
    <w:p>
      <w:pPr>
        <w:jc w:val="both"/>
        <w:rPr>
          <w:rFonts w:ascii="arial" w:eastAsia="arial" w:hAnsi="arial" w:cs="arial"/>
          <w:sz w:val="20"/>
          <w:lang w:val="en-US" w:eastAsia="en-US" w:bidi="ar-SA"/>
        </w:rPr>
      </w:pPr>
      <w:bookmarkStart w:id="219" w:name="Counsel_31"/>
      <w:bookmarkEnd w:id="2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2"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C.A. Rhone.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B.D. Rhodes, S.M.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31"/>
      <w:bookmarkEnd w:id="220"/>
      <w:r>
        <w:pict>
          <v:line id="_x0000_s1173" style="position:absolute;z-index:2517934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W. EHRCKE J."/>
            <w:bookmarkEnd w:id="221"/>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in this petition is whether Brendan Perry ("Perry") is an insured under General Commercial Liability Policy number B0309BA072700b (the "Lloyd's Policy") issued by the respondent Lloyd's Underwriters ("Lloyd's") to RG Properties Ltd. ("RG") such that Lloyd's has a duty to defend Perry in an action for damages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Perry is covered by liability insurance up to $2,000,000 under a different policy (the "Economical Policy") issued by the petitioner, Economical Mutual Insurance Company ("Economical").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its petition, Economical seeks a declaration that Lloyd's is obligated to afford a defence to Perry in an action brought against him and RG by Ryan David Brisebois ("Brisebois") in the Supreme Court of British Columbia, New Westminster Registry number 148060 (the "Action"), without any contributions from Economical, and a declaration that Lloyd's is obligated to indemnify Economical for all past defence costs incurred by Economical in defending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Action was commenced by Brisebois on January 8, 2013. In his notice of civil claim, Brisebois seeks damages against Perry and RG for injuries allegedly caused by the conduct of Perry during a recreational hockey game on December 10, 2012 between two teams in the Office Pools Premier Hockey League (the "Office Pools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notice of civil claim alleges that RG owned the skating arena known as "Planet Ice" at 2300 Rocket Way, Coquitlam, British Columbia, and that RG operated and managed the Office Pools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the statement of facts in the notice of civil claim, on December 10, 2012 Perry was playing for the "Trailer Park Boys" hockey team in the Office Pools League, in a game against the "Spartans", another team in the Office Pools League. Brisebois was playing for the Spartans. Allegedly, Perry charged at Brisebois and cross-checked him in the face with his stick, causing him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Perry was insured by Economical, Economical accepted its contractual duty to defend Perry in the Action commenced by Brisebois, and appointed a lawyer, Mr. Sobolewski, who filed a defence on Perry's behalf. Lloyd's, however, has denied an obligation to provide any coverage to Mr.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Economical, the Lloyd's Policy applies to Perry and provides primary coverage, with the result that the coverage by Economical would be excess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Economical Policy includes the following "other insurance"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Under More Than One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other insurance which applied to a loss or claim, or would have applied if this policy did not exist, our policy will be considered excess insurance and we will not pay any loss or claim until the amount of such other insurance is used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LLOYD'S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Lloyd's Policy has a period of October 31, 2012 to October 31, 2013, which includes the date of the alleged incident. It provides general liability coverage, including coverage for bodily injury and property damage on an occurrence basis. An "occurrence" is defined on page 67 as "an accident, including continuous or repeated exposure to substantially the same general harmful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1 of the Lloyd's Policy is described as "Commercial General Liability." Section 2 is labelled "User Program." Section 3 is "Umbrella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Lloyd's Policy specifies who is a Named Insured on page 3,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RG Properties Ltd -- the parent company for all related companies, other than family holding companies on behalf of Users, being individuals or groups not otherwise insured, renting the facilities, reported by the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Item V on page 5, describes RG's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DESCRIPTION OF INSURED'S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Activities with respect to the ownership and operation of Hockey Arenas and Real Estate Holdings.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Individual and Group Users of Municipal Facilities Limited to the Classification of Events as described in the General Endorsement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page 6 of the Lloyd's Policy there is a provision that Section 2 -- User Program, includes the "Additional Insureds Endorsement." That endorsement is found at page 41, and it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APPLICABLE TO SECTION 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ADDITIONAL INSUREDS ENDORSEMENT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to and forming part of the commercial general liability coverage as per wordings, it is understood and agreed that the following are included as insured's: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insured's affiliated leagues, clubs, and or teams, their members, officers, directors, coaches, managers, officials, players, auxiliary workers, employees and volunteers.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this endorsement all the conditions, limitations, and other terms of this policy shall have full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Lloyd's Policy includes at pages 48 and 65 the following provisions respecting other insurance:</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afforded by this policy is primary insurance, except when stated to apply in excess of or contingent upon the absence of other insurance. When this insurance is primary and the Insured has other insurance which is stated to be applicable to the loss on an excess or contingent basis the amount of the Insurer's liability under this policy shall not be reduced by the existence of such other insurance. When both this insurance and other insurance apply to the loss on the same basis, whether primary, excess or contingent, the Insurer shall not be liable under this policy for a greater proportion of the loss than that stated in the applicable contribution provision below: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Insurance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other valid and collectible insurance is available to the Insured for a loss we cover under Coverages A, B or D of this form, our obligations are limited as follows: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Primary Insurance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insurance is primary except when b. below applies. If this insurance is primary, our obligations are not affected unless any of the other insurance is also primary. Then, we will share with all that other insurance by the method described in c. below.</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 Insurance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insurance is excess over any of the other insurance, whether primary, excess, contingent or on any other basis:</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Property Insurance such as, but not limited to, Fire, Extended Coverage, Builder's Risk, Installation Risk or similar coverage for "your work" or for premises rented to you; or</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loss arises out of the maintenance or use of watercraft to the extent not subject to Exclusion f. of Coverage A (Section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light of the Other Insurance clauses in the Lloyd's Policy, it is my understanding that Lloyd's does not contest the fact that it would be the primary insurer of Perry if Perry is covered under its policy. The issue in dispute is whether Perry is covered by the Lloyd's Policy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Economical submits that Perry is an insured under the Lloyd's Policy because he comes within the scope of the Additional Insureds Endorsement as a player on a hockey club of an affiliated league of 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submission of Lloyd's is that Mr. Perry falls outside the scope of Section 2 of the Lloyd's Policy because that section only extends to those who are in the Users Program which, it submits, only extends coverage to individuals or groups renting RG's facilities, who are not otherwise insured. It says that when such individuals or groups wish to rent ice time at the facility, they must either prove that they have their own insurance in place, or purchase the Lloyd's "User Program" insurance. The position of Lloyd's (as set out in their response to petition) is that neither Perry nor his team were part of the User Program because: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Game was part of the Office Pools Premier Hockey League.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teams nor players involved in the Office Pools Premier Hockey League are afforded the opportunity to become enrolled in the User Program in relation to their league activities.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teams involved in the Office Pools Premier Hockey League have the opportunity to purchase First Party Accident insurance (on behalf of all team members) through Artel Insurance Services Inc. ("AIS") when they register for the Office Pools Premier Hockey League.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Spartans (i.e. Mr. Brisebois' team) declined to purchase the insurance through AIS for the 2012 season.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Trailer Park Boys (i.e. Mr. Perry's team) opted to purchase the insurance through Artel for the 2012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Lloyd's relies on the affidavit of Christine Gowe, insurance adjuster appointed to act on behalf of Lloyd's in relation to the Action, who deposed that:</w:t>
      </w:r>
      <w:r>
        <w:rPr>
          <w:rFonts w:ascii="arial" w:eastAsia="arial" w:hAnsi="arial" w:cs="arial"/>
          <w:sz w:val="20"/>
          <w:lang w:val="en-US" w:eastAsia="en-US" w:bidi="ar-SA"/>
        </w:rPr>
        <w:cr/>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those individuals and teams who rent ice time at Planet Ice in Coquitlam, BC (the "Facility") </w:t>
      </w:r>
      <w:r>
        <w:rPr>
          <w:rFonts w:ascii="arial" w:eastAsia="arial" w:hAnsi="arial" w:cs="arial"/>
          <w:color w:val="000000"/>
          <w:sz w:val="20"/>
          <w:u w:val="single"/>
          <w:lang w:val="en-US" w:eastAsia="en-US" w:bidi="ar-SA"/>
        </w:rPr>
        <w:t>outside of league play organized by RG</w:t>
      </w:r>
      <w:r>
        <w:rPr>
          <w:rFonts w:ascii="arial" w:eastAsia="arial" w:hAnsi="arial" w:cs="arial"/>
          <w:color w:val="000000"/>
          <w:sz w:val="20"/>
          <w:lang w:val="en-US" w:eastAsia="en-US" w:bidi="ar-SA"/>
        </w:rPr>
        <w:t xml:space="preserve"> have an opportunity to become part of the User Program (and thus benefit from the insurance coverage it affords).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Players and teams enrolled in leagues organized by RG -- such as the Office Pools League -- do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have an opportunity to become enrolled in the User Program in relation to their league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Gowe went on in her affidavit to describe her understanding, on the basis of what she had been told by others, of what the process was for becoming part of the User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then deposed at paragraphs 16-17:</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Mr. Perry, nor his team, opted into the User Program in respect of their league play, nor could they have. As stated above, the User Program is not available to individuals or teams participating in league play organized by RG (in relation to those league activities). The individuals and groups who opted into the User Program between November 1, 2012 and January 31, 2013 are identified in the list attached to this Affidavit as Exhibit "J".</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Perry is not a named insured and is not a part of the User Program, Lloyd's has no obligation to defend or indemnify him in respect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APPLICABLE TO INTERPRETATION OF INSURANCE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the Supreme Court of Canada explained that where an issue arises as to an insurer's duty to defend, the Court must look to the facts alleged in the pleadings of the underlying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t>
      </w:r>
      <w:r>
        <w:rPr>
          <w:rFonts w:ascii="arial" w:eastAsia="arial" w:hAnsi="arial" w:cs="arial"/>
          <w:color w:val="000000"/>
          <w:sz w:val="20"/>
          <w:u w:val="single"/>
          <w:lang w:val="en-US" w:eastAsia="en-US" w:bidi="ar-SA"/>
        </w:rPr>
        <w:t>An insurer is required to defend a claim where the facts alleged in the pleadings, if proven to be true, would require the insurer to indemnify the insured for the claim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at pp.810-11;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Jesuit Fathers of Upper Canada v. Guardian Insurance Co. of Canada</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paras. 54-55). It is irrelevant whether the allegations in the pleadings can be proven in evidence. </w:t>
      </w:r>
      <w:r>
        <w:rPr>
          <w:rFonts w:ascii="arial" w:eastAsia="arial" w:hAnsi="arial" w:cs="arial"/>
          <w:color w:val="000000"/>
          <w:sz w:val="20"/>
          <w:u w:val="single"/>
          <w:lang w:val="en-US" w:eastAsia="en-US" w:bidi="ar-SA"/>
        </w:rPr>
        <w:t>That is to say, the duty to defend is not dependent on the insured actually being liable and the insurer actually being required to indemnify. What is required is the mere possibility that a claim falls within the insurance policy.</w:t>
      </w:r>
      <w:r>
        <w:rPr>
          <w:rFonts w:ascii="arial" w:eastAsia="arial" w:hAnsi="arial" w:cs="arial"/>
          <w:color w:val="000000"/>
          <w:sz w:val="20"/>
          <w:lang w:val="en-US" w:eastAsia="en-US" w:bidi="ar-SA"/>
        </w:rPr>
        <w:t xml:space="preserve"> Where it is clear that the claim falls outside the policy, either because it does not come within the initial grant of coverage or is excluded by an exclusion clause, there will be no duty to defend (see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at p. 810;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examining the pleadings to determine whether the claims fall within the scope of coverage, the parties to the insurance contract are not bound by the labels selected by the plaintiff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at paras. 79 and 81). The use or absence of a particular term will not determine whether the duty to defend arises. What is determinative is the true nature or the substance of the claim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79;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at p. 810).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paras. 21-24 the Supreme Court then went on to summarize the general principles of interpretation of contracts of insurance: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Principles of insurance policy interpretation have been canvassed by this Court many times and I do not intend to give a comprehensive review here (see, e.g., </w:t>
      </w:r>
      <w:r>
        <w:rPr>
          <w:rFonts w:ascii="arial" w:eastAsia="arial" w:hAnsi="arial" w:cs="arial"/>
          <w:i/>
          <w:color w:val="000000"/>
          <w:sz w:val="20"/>
          <w:lang w:val="en-US" w:eastAsia="en-US" w:bidi="ar-SA"/>
        </w:rPr>
        <w:t>Co-operators Life Insurance Co. v. Gibbens</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2009 SCC 59</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[2009] 3 S.C.R. 605</w:t>
        </w:r>
      </w:hyperlink>
      <w:r>
        <w:rPr>
          <w:rFonts w:ascii="arial" w:eastAsia="arial" w:hAnsi="arial" w:cs="arial"/>
          <w:color w:val="000000"/>
          <w:sz w:val="20"/>
          <w:lang w:val="en-US" w:eastAsia="en-US" w:bidi="ar-SA"/>
        </w:rPr>
        <w:t xml:space="preserve">, at paras. 20-28;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xml:space="preserve">, at paras. 27-30;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paras. 67-71; </w:t>
      </w:r>
      <w:r>
        <w:rPr>
          <w:rFonts w:ascii="arial" w:eastAsia="arial" w:hAnsi="arial" w:cs="arial"/>
          <w:i/>
          <w:color w:val="000000"/>
          <w:sz w:val="20"/>
          <w:lang w:val="en-US" w:eastAsia="en-US" w:bidi="ar-SA"/>
        </w:rPr>
        <w:t>Brissette Estate v. Westbury Life Insurance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87</w:t>
      </w:r>
      <w:r>
        <w:rPr>
          <w:rFonts w:ascii="arial" w:eastAsia="arial" w:hAnsi="arial" w:cs="arial"/>
          <w:color w:val="000000"/>
          <w:sz w:val="20"/>
          <w:lang w:val="en-US" w:eastAsia="en-US" w:bidi="ar-SA"/>
        </w:rPr>
        <w:t xml:space="preserve">, at pp. 92-93; </w:t>
      </w:r>
      <w:r>
        <w:rPr>
          <w:rFonts w:ascii="arial" w:eastAsia="arial" w:hAnsi="arial" w:cs="arial"/>
          <w:i/>
          <w:color w:val="000000"/>
          <w:sz w:val="20"/>
          <w:lang w:val="en-US" w:eastAsia="en-US" w:bidi="ar-SA"/>
        </w:rPr>
        <w:t>Consolidated-Bathurst Export Ltd. v. Mutual Boiler and Machinery Insurance Co.</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at pp. 899-902). However, a brief review of the relevant principles may be a useful introduction to the interpretation of the CGL policies that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primary interpretive principle is that when the language of the policy is unambiguous, the court should give effect to clear language, reading the contract as a whole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Where the language of the insurance policy is ambiguous, the courts rely on general rules of contract construction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pp. 900-902). For example, courts should prefer interpretations that are consistent with the reasonable expectations of the parties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so long as such an interpretation can be supported by the text of the policy. Courts should avoid interpretations that would give rise to an unrealistic result or that would not have been in the contemplation of the parties at the time the policy was concluded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Courts should also strive to ensure that similar insurance policies are construed consistently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When these rules of construction fail to resolve the ambiguity, courts will construe the policy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 against the insurer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at pp. 899-901). One corollary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that coverage provisions are interpreted broadly, and exclusion clauses narrowly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Accordingly, in the present case, I must examine the pleadings in the Action commenced by Brisebois to determine whether, if the facts pleaded were true, Lloyd's would, on a proper interpretation of the Lloyd's policy, be required to indemnify Perry for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construing the Lloyd's Policy, I must give effect to the clear language of the policy, reading it as a whole. An interpretation that is consistent with the reasonable expectations of the parties is to be preferred, so long as such an interpretation can be supported by the text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only if the language of the policy is ambiguous that I would need to consider other rules of insurance contract construction, such as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principle that coverage provisions should be interpreted broadly and exclusion provisions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PERRY AN ADDITIONAL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Reading the Lloyd's Policy as a whole, and considering the notice of claim of Brisebois in the Action against Perry, I conclude that for the purpose of determining whether Lloyd's has a duty to defend, Perry is covered by the Lloyd's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agree with the submission of Economical that Perry comes within the definition of "Additional Insured" as set out in the Additional Insureds Endorsement on page 41 of the contract of insurance. That endorsement specifies that all of the following are included as additional insureds: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insured's affiliated leagues, clubs, and or teams, their members, officers, directors, coaches, managers, officials, players, auxiliary workers, employees and volunteers.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RG is a named insured on the Lloyd's Policy. Pursuant to the Additional Insureds Endorsement, therefore, all of RG's affiliated leagues, clubs, and/or teams, their members, officers, directors, coaches, managers, officials, players, auxiliary workers, employees and volunteers are additional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facts as alleged in the notice of civil claim in the Action commenced by Brisebois are that RG owned the Planet Ice skating arena, and that RG operated and managed the Office Pools League. According to notice of civil claim, Perry was playing for the Trailer Park Boys hockey team in the Office Pools League, while Brisebois was playing on the opposing Spartans team, which was also in the Office Pools League. It is alleged that during that game on December 10, 2012, Perry cross-checked Brisebois and caused him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those facts were proven, then, in my view, Perry would be included in the definition of Additional Insureds because he was a player on one of RG's affiliated leagues or teams. Although the word "affiliated" is not specifically defined in the Lloyd's Policy, it is an ordinary English word, and I do not find that the absence of a definition in the contract renders the Additional Insured Endorsement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Canadian Oxford Dictionary</w:t>
      </w:r>
      <w:r>
        <w:rPr>
          <w:rFonts w:ascii="arial" w:eastAsia="arial" w:hAnsi="arial" w:cs="arial"/>
          <w:color w:val="000000"/>
          <w:sz w:val="20"/>
          <w:lang w:val="en-US" w:eastAsia="en-US" w:bidi="ar-SA"/>
        </w:rPr>
        <w:t xml:space="preserve"> (Oxford University Press, Toronto: 1998) defines the verb "affiliate"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 or connect (to a larger organization); adopt as a member, branch, etc.</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 oneself with a society or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past participle "affiliated" therefore means "associated with" or "connected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Assuming that the facts pleaded in the notice of civil claim are proven to be true, RG operated and managed the Office Pools League, and Perry was a player on a team in that league, namely, the Trailer Park Boys. Both the Trailer Park Boys and the Office Pools League were therefore affiliated with RG, in the sense that they were associated with or connected to RG. As Perry was a player on that team and in that league, he clearly comes within the definition of Additional Insureds in the endorsement, as he was a player on a team and in a league affiliated with RG, who is a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there is no ambiguity in the Lloyd's Policy on this point, there is no need to resort to extrinsic evidence to determine whether Perry was an Additional Insured. The evidence given in Ms. Gowe's affidavit cannot be used to contradict or supplement the clear words of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support of its position denying coverage to Perry, Lloyd's points to the clause on page 3 specifying who is a Named Insured,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RG Properties Ltd -- the parent company for all related companies, other than family holding companies on behalf of Users, being individuals or groups not otherwise insured, renting the facilities, reported by the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Lloyd's argues that this somehow modifies or qualifies the definition of Additional Insureds in the Additional Insureds Endorsement, by adding a requirement that the individual or group not be otherwise insured. I do not agree. There is nothing in the wording of the contract of insurance to suggest that the description of RG as a Named Insured on page 3 was intended to modify or qualify the definition of Additional Insureds in the Additional Insureds Endorsement on page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Moreover, there is nothing in the wording of Lloyd's Policy to restrict Additional Insureds to those persons who "rent ice time at Planet Ice (the "Facility") outside of league play organized by RG" as alleged in paragraph 9 of Ms. Gowe's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short, I am satisfied that Perry unambiguously comes within the definition of "Additional Insured" as set out in the Additional Insureds Endorsement of the Lloyd's Policy if the allegations of fact in Brisebois' notice of civil claim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DOES AN EXCLUSION APPLY TO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alternative, Lloyd's argues that even if Perry is an insured, he is not entitled to coverage because the Lloyd's policy excludes coverage for intentional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page 56 of the Lloyd's Policy there is the following exclusion: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does not apply to:</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"property damage" expected or intended from the standpoint of the Insured. This exclusion does not apply to "bodily injury" resulting from the use of reasonable force to protect persons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Lloyd's submits that this exclusion applies to Perry because the notice of civil claim alleges in paragraph 9 that Perry "deliberately, recklessly and/or illegally cross-checked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Reading the notice of civil claim in its entirety, it is clear that the thrust of the claim against Perry is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Paragraphs 2 and 3 setting out the Legal Basis for the claim detail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paragraph 7 states: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Plaintiff has suffered injury, loss, and damage as particularized in Part 1 of this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notice of civil claim does allege in paragraph 6, in the alternative, that Perry "battered and assaulted the Plaintiff." If that allegation is proved in the Action, then Perry might be denied coverage by Lloyd's pursuant to the exclusion set out above. However, for the purpose of determining whether Lloyds has a duty to defend the Action, the question is whether there is a possibility that the claim may fall within the coverage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this case, it is clearly possible that Perry may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Brisebois' injuries, and not liable for an intentional tort. In that case, the claim would not be excluded by Lloyd's Policy, and it is this possibility that grounds Lloyd's duty to defend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Based on the clear wording of the Lloyd's Policy and the allegations in the notice of civil claim in the Action commenced by Brisebois, I am satisfied that Perry qualifies as an insured under the Lloyd's Policy and is entitled to have Lloyd's defend the Action against him, which includes a claim for damages for personal injury arising out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petitioner is entitled to the two declarations sought in the petition, namely, that Lloyd's is obligated to defend the Action, and that Lloyd's is obligated to indemnify Economical for all past defence costs incurred by Economical in defending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Economical is entitled to its costs of this petition against Lloyd's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Englehart v. Holt, [2014] B.C.J. No. 2600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18-20, 23-27, 2013; February 3 and 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48055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1969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R.P.R. (5th) 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246 A.C.W.S. (3d) 711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3118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Jeffrey Mark Louis Englehart, Plaintiff, and Mark Gene Holt, Tara Lynn Holt and Advanced Backhoe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2" w:name="Keywords_27"/>
      <w:bookmarkEnd w:id="222"/>
      <w:r>
        <w:rPr>
          <w:rFonts w:ascii="arial" w:eastAsia="arial" w:hAnsi="arial" w:cs="arial"/>
          <w:b/>
          <w:color w:val="000000"/>
          <w:sz w:val="20"/>
          <w:lang w:val="en-US" w:eastAsia="en-US" w:bidi="ar-SA"/>
        </w:rPr>
        <w:t>Real property law — Interests in land — Easements — Disturbance of an easement — Remedies — Interpretation — Particular easements — Positive easements — Scope of easements — Description in grant — Action by plaintiff for relief based on property rights allowed — Defendants started to construct elevated road on plaintiff's property — Possible future development was contemplated when easement was created — Radically elevating subject land could make it harder to access residences that might be built on areas that were at lower elevation — Construction significantly altered plaintiff's property — Defendants were to remediate plaintiff's property.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3" w:name="Case Summary_22"/>
            <w:bookmarkEnd w:id="2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relief based on property rights. The parties owned adjacent residential properties which were formerly one property. The previous owners registered an easement with the intent of subdividing and developing the property. There was no residence on it then. The easement allowed the dominant tenement to excavate the surface for the construction of a roadway, but required the surface to be restored after. The defendants placed a large quantity of fill on the plaintiff's property and started to construct an elevated road. The effect of the construction was to isolate part of the plaintiff's property and place it at the base of a steep dirt embankment.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4" w:name="Holdings of Court_20"/>
            <w:bookmarkEnd w:id="22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Since there might be some ambiguity in the scope of the grant, the circumstances that existed when the easement was created were considered. It was apparent that possible future development was contemplated then. It seemed logical to infer that radically elevating the subject land could make it harder to access residences that might be built on areas that were at a lower elevation. There was no evidence that the elevation was necessary to the construction. The construction significantly altered the plaintiff's property. The defendants were to remediate the plaintiff's property.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5" w:name="Legislation Cited_18"/>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Property Law Act, </w:t>
      </w:r>
      <w:hyperlink r:id="rId735" w:history="1">
        <w:r>
          <w:rPr>
            <w:rFonts w:ascii="arial" w:eastAsia="arial" w:hAnsi="arial" w:cs="arial"/>
            <w:i/>
            <w:color w:val="0077CC"/>
            <w:sz w:val="20"/>
            <w:u w:val="single"/>
            <w:shd w:val="clear" w:color="auto" w:fill="FFFFFF"/>
            <w:lang w:val="en-US" w:eastAsia="en-US" w:bidi="ar-SA"/>
          </w:rPr>
          <w:t>RSBC 1996, CHAPTER 377, s. 35</w:t>
        </w:r>
      </w:hyperlink>
      <w:r>
        <w:rPr>
          <w:rFonts w:ascii="arial" w:eastAsia="arial" w:hAnsi="arial" w:cs="arial"/>
          <w:color w:val="000000"/>
          <w:sz w:val="20"/>
          <w:lang w:val="en-US" w:eastAsia="en-US" w:bidi="ar-SA"/>
        </w:rPr>
        <w:t>, s. 35(2), s. 35(2)(c), s. 35(2)(e)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6" w:name="Counsel_32"/>
      <w:bookmarkEnd w:id="2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R.M. Moffat.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Burke.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32"/>
      <w:bookmarkEnd w:id="227"/>
      <w:r>
        <w:pict>
          <v:line id="_x0000_s1178"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D.A. BETTON J."/>
            <w:bookmarkEnd w:id="228"/>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Jeffrey Mark Louis Englehart and the defendants Mark Gene Holt and Tara Lynn Holt are owners of adjacent properties in Vernon, B.C. Advanced Backhoe Ltd. is a private company controlled by the Holts. Prior to any of these parties becoming owners, easements were registered on the properties and these easements affect and attach to the areas known as Parcel "A", "B", "C"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case arises out of a dispute between the parties regarding the defendants' use of an area of land on the plaintiff's property which includes Parcel D. For the purpose of constructing an elevated road, the defendants arranged for a large quantity of fill to be placed on the plaintiff's land, both inside and outside the boundaries of Parcel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case focusses on the proper interpretation of the easements and whether there was a separate contract between the parties relating to the construction. If the construction was not permitted under the easements or a contract, then the plaintiff claims compensation on the basis of trespass, nuisance, and his property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would partially allow the plaintiff's claim. I conclude that no easement, contract, licence or other authorization granted the defendants the right to construct the road to its current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Relevant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properties in question are located in Vernon off Sutton and Spalding Roads. These two properties were formerly one property owned by previous owners, the Dase family. The Dase family subdivided that property to create the two properties owned by these parties, Lots 1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clear mental image of the properties is very important to understanding the issues in this case. Lot 4 is directly north of Lot 1, so that the southern border of Lot 4 is the northern border of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Dase family initially subdivided the land the first step was to create Lot 1 and leave a larger parcel, Lot 23, to the north. On or about May 2, 2005, as part of that subdivision, the Dase family registered the easements that are the focus of this litigation. Then Lot 4 was created from Lot 23, the larger parcel of land to the north of Lot 1. Sutton Road is a short north-south public road. Its northern terminus point connects with a narrow panhandle at the western boundary of Lot 4. The southern terminus of Sutton Road is an intersection with Spalding Road, which is the closest public road to these properties. Both Lot 1 and Lot 4 use Sutton Road as the most common point of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To the west of Lot 1 and to the southwest of Lot 4, there are four other residential lots. Sutton Road is immediately west of these residential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Most of the western boundary of Lot 1 is directly east of these four residential properties. However, Lot 1 has a narrow panhandle at its southwest corner adjacent to the southern border of the Bohn residence, the southernmost property of the four residential properties. This panhandle connects to Spalding Road at the eastern terminus of Spalding Road which is also the southern terminus of Sutton Road. This junction serves as the entry point to Parcel D and to Lot 1 generally. It is where the driveway for Lot 1 begins. In short, it is the only point of access to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Lot 4 directly connects to the terminus of Sutton Road, there is no evidence indicating there is or has been a private road or driveway connecting the defendants' residence to Sutton Road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Lot 1 is sloped with its high ground to the east and low ground to the west. There is a level area in the upper eastern part of the property where the plaintiff's residence is located. From that area the grade is generally consistent, meaning that as a person moves from east to west he or she goes more or less steadily downhill. Eventually the land evens out and the western portion of Lot 1 is again generally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Lot 4 also has what has been referred to as an "elevated bench" on the eastern part of the property. The natural slope from east to west described above begins to the west of this elevated bench.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residence is located on the elevated bench on Lot 1 and was already constructed when the plaintiff purchased it in or about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Lot 4 was purchased by the Holts in or about March 2007. There was no residence in existence on Lot 4 at the time of purchase and no residence was subsequently constructed. There was, however, a driveway on Parcel D which provided access to the lower portion of Lot 4 with a branch beginning on Parcel D to the elevated bench on Lot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Easements over Lots 1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Two easements were registered in 2005 on the titles of the subject properties as part of the development by the Dase family. The easements affect four portions of Lots 1 and 4 identified as Parcels A, B, C and D. The easements are registered with the Land Title Officer under numbers KX053148 ("Easement 148"), which affects Parcel A on Lot 4, and KX053149 ("Easement 149"), which affects Parcels B, C and D on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Parcel A is an irregular shape on the southeast section of Lot 4 that connects to the boundary of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Parcel D is an L-shaped area on Lot 1 and includes the panhandle portion of Lot 1 at its southwest corner connecting to Spalding Road. It then runs north-south across Lot 1 from its southern boundary to its northern boundary with Lot 4. Its north-south section is on the sloped portion of Lot 1; that is to say, the level portion of Lot 1 is to the west of Parcel D. Parcel D is twenty meters wide on its north/south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Parcels B and C are not of importance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Easement 149 grants the owners of Lot 4 the use of Parcel D for the following permitted purposes: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PERMITTED USES -- Parcel "B" and "D".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Transferee is permitted to use Parcel "B" and Parcel "D", with or without animals and expressly including motor vehicles, for the following:</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construct and maintain a roadway;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pass and repass be day or night for all purposes over and upon, for ingress and egress to the Dominant Tenement;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construct, install, maintain, alter, repair and replace from time to time on, under and within" Parcel "B" and Parcel "D", a water pipeline and Works necessary, useful or incidental to this use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convey water through the above pipeline, Works and services;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underground service ducts for electricity, water, gas, sewage and drainage;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above ground electrical power lines, power poles, and electrical power works, cable television lines, telephone lines and their respective Works and services generally;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convey and transport through the Works or any part thereof sewage effluent, water, waste water and other matter ordinarily transported and conveyed through such Works;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enter onto Parcel "B" and Parcel "D" together with machinery, material, vehicles and equipment as may be necessary from time to time for the full enjoyment by the Transferee of the rights hereby granted;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break open the surface of Parcel "B" and Parcel "D" and excavate Parcel "B" and Parcel "D" for the purposes referred to this paragraph, provided however, that the Transferee must, within a reasonable time after making these excavations, fill in all these excavations and restore the surface of the Parcel "B" and Parcel "D" as nearly as may be practicable under the circumstances, to the condition in which it was found before the start of these excavations;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t>
      </w:r>
      <w:r>
        <w:rPr>
          <w:rFonts w:ascii="arial" w:eastAsia="arial" w:hAnsi="arial" w:cs="arial"/>
          <w:i/>
          <w:color w:val="000000"/>
          <w:sz w:val="20"/>
          <w:lang w:val="en-US" w:eastAsia="en-US" w:bidi="ar-SA"/>
        </w:rPr>
        <w:t>Public road dedication</w:t>
      </w:r>
      <w:r>
        <w:rPr>
          <w:rFonts w:ascii="arial" w:eastAsia="arial" w:hAnsi="arial" w:cs="arial"/>
          <w:color w:val="000000"/>
          <w:sz w:val="20"/>
          <w:lang w:val="en-US" w:eastAsia="en-US" w:bidi="ar-SA"/>
        </w:rPr>
        <w:t>. If, at any time, the Transferee requires dedication of Parcel "B" and Parcel "D" as a public roadway for purposes of the subdivision of the Dominant Tenement and the dedication of the Parcel "B" and Parcel "D" as a public roadway by the Transferor, then the Transferor must, at the request of the Transferee, execute such plans and consents as may be required by any applicable regulatory authority to dedicate the Parcel "B" and Parcel "D" as a public roadway and upon such dedication this Easement must be released from the Servient Tenement.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the heading "Interpretation", clause 9.3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The exercise of the rights and use granted and permitted herein specifically include the following uses: alter, construct, dig, enter, improve, inspect, install (including install underground), maintain, operate, place, reconstruct, regulate, remove, repair, survey; together with all other works necessary, useful or incident to the above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These rights are granted to the owner of Lot 4 (the "dominant tenement") to be used "in common" with the owner of Lot 1 (the "servient tenement"). In the registered easements, the Dase family explicitly reserved the servient tenement's rights to use the easement area: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The Transferor does hereby grant, convey and confirm unto the Transferee, forever in common with the Transferor, the full and free right and liberty for the Transferee to use each Parcel Easement for the particular uses defined below. Provided, however, that the Transferee will not in any way obstruct the passage of the Transferor over the Easement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i/>
          <w:color w:val="000000"/>
          <w:sz w:val="20"/>
          <w:lang w:val="en-US" w:eastAsia="en-US" w:bidi="ar-SA"/>
        </w:rPr>
        <w:t>Sharing.</w:t>
      </w:r>
      <w:r>
        <w:rPr>
          <w:rFonts w:ascii="arial" w:eastAsia="arial" w:hAnsi="arial" w:cs="arial"/>
          <w:color w:val="000000"/>
          <w:sz w:val="20"/>
          <w:lang w:val="en-US" w:eastAsia="en-US" w:bidi="ar-SA"/>
        </w:rPr>
        <w:t xml:space="preserve"> The Transferor reserves unto himself the rights expressed herein in common with the Transferee but not so as in any way to obstruct the passage of the Transferee over the Easement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considerable similarity in the terms, language and structure of the two easements. Since Easement 149 concerns the multiple easement areas of Parcel B, C and Parcel D, and Easement 148 concerns only one easement area, there are some minor differences. However, the only substantive difference between them that is relevant to road construction is that Easement 148 does not have an equivalent to clause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Roads and Driveways on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residence on Lot 1 is located at the northeast corner on the elevated bench near the eastern boundary of Lot 1. At the time of the plaintiff's purchase the driveway to the home began at Spalding Road and travelled east over a portion of Parcel D, then angled across the slope on the property in an east-of-north direction, and then turned back approximately 160 degrees near the top of the slope, and drove straight towards the residence. The 160-degree turn extends onto Parcel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driveway on Lot 1 had an uphill grade as it left Spalding Road but particularly as it turned north and approached the 160-degree turn on Parcel A. It was sufficiently steep that without proper clearing equipment, the plaintiff was unable to use the driveway in the winter months. The surface material on the plaintiff's driveway was usable but not ideal.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Also in existence on Lot 1 at the time of the plaintiff's purchase were other relatively undeveloped roads or pathways. The purpose of these is not entirely clear on the evidence, but at least two of them extended across Lot 1 onto Lot 4. Aerial photographs taken in June 2000 suggest that, prior to the development, these pathways provided access to various parts of the then-larger Lot 23 with some landing areas on the eastern edges, including what became the building site for the residence on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One of the two pathways crossing from Lot 1 to Lot 4 primarily followed the shape of Parcel D. The other followed a similar path to the driveway leading to the Lot 1 residence; that is, outside of Parcel D to its east but lower than the driveway leading to the residence on Lot 1. Photographs show that this pathway crossed Parcel D at an uphill grade as it moved northward from the southern boundary of Lot 1 and that it was closer to level towards the northern boundary of Lot 1. In other words it gained most of its elevation on the southern portion of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defendants purchased Lot 4 in 2007, Mr. Holt brought in fill and placed it on Lot 4 in the general area near Parcel A. Parcel D was used by the defendants as the driveway and point of access to Lot 4. There was an elevation gain from the northern boundary of Parcel D (the boundary where Parcel D meets Lot 4) to where that fill was placed. However, this elevation gain was not quantified in any of the evidence nor is there any evidence that measures or estimates the grades before and after the road construction at issue in these proceedings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adjoining property to the south of Lot 1 was purchased by Mr. McCreight in 2007. He began construction of his residence in the spring of 2009. His driveway was constructed along the southern boundary of Lot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Road Construction by the Defendant Mr. 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September 2009, the plaintiff and the defendant Mr. Holt discussed the placement of additional fill on Parcel D. At that time the availability of the fill had not been confirmed. The content and legal significance of those discussions is one of the principal disputes in this litigation. I will address the conflicts in respect of this discussion later in the analysis section of this decision but it is clear that the discussion touched on the subject of Mr. Holt placing fill on Parcel D to alter the elevation of its surface. The conversation also touched on the subject of modifications to the plaintiff's driveway and the area in between the eastern boundary of Parcel D and west of the plaintiff's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Because of the general slope of the properties, elevation gain is necessary to access the elevated bench areas on the eastern parts of Lots 1 and 4 when approaching from the west. Raising the surface on Parcel D reduces the amount of elevation gain that is needed between the northern boundary of Lot 1 and the elevated bench area on Lot 4; that is to say, it would reduce the grade of the driveway on Lot 4 by spreading the necessary elevation gain over a longer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 evidence was presented as to the viability of accessing that elevated bench area on Lot 4 from the panhandle of Lot 4 that connects to Sutton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Holt did in fact secure a source of a large volume of fill material and arranged for its placement onto Lot 1. Some material was placed on Parcel D in the fall of 2009. Beginning in or about April 2010 and concluding in May 2010, a substantial volume of fill material was brought onto Parcel D and also to the east of Parcel D below and to the west of the plaintiff's driveway. Some portion of the fill was also placed to the west of Parcel D at the toe of the slope that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scope of the work carried out has been described by lay witnesses, including the parties, and experts, including surveyors and engineers. There is conflict in some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effect of the work, however, was to significantly raise the surface of the ground in Parcel D. A surveyor, Scott McPherson, estimated the volume of fill material at 4,100 cubic meters, although he acknowledged that estimate is not precise at all. The elevation change that resulted from the work is not uniform throughout Parcel D and is the most significant at the northern end of Parcel D, but it is as much as six meters. From east to west the road surface is generally level. The result is to create a large step in the natural slope of Lot 1 and a slope that is steeper than natural on the west side of Parcel D (the "fill slope") before the natural slope again appears. This significant alteration of the natural slope is the key element of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fill slope resulting from the disputed construction is described in the defendants' report prepared by Mr. Williams from Onsite Engineering Ltd.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3 of Exhibit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driveway has side slopes of 65 to 75 percent approximately 12 to 16 metres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 report for the plaintiff from EBA Engineering (Exhibit 6), the slopes are described as having a ratio of 1.6 to 1.5 parts horizontal to 1 part vertical.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McPherson surveyed the land and that survey indicates the height of the fill slope at the northern boundary of Lot 1 as being 20 meters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Parcel D is 20 meters wide in its north-south leg. The expert evidence indicates that with appropriate compaction and materials, the maximum stable gradient of the fill slope would be a ratio of no more than one vertical measure to two horizontal. If measured in meters, that would be two meters horizontal to every one meter vertical.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and defendant had communication during the construction. There is significant disagreement about the content of that communication but the height of the road surface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present at points in time when fill was being delivered. At those times, he did give the arriving trucks some direction with respect to the placement of their loads. Again, the parties give differing versions about the frequency and timing of these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approximately May 16, 2010 the plaintiff objected to Mr. Holt that the road on Parcel D was too high. By approximately May 25, 2010 the placing of fill on Lot 1 had stopped. On approximately September 24, 2010 the plaintiff demanded that Mr. Holt stop any further work on the roadway. Since then no further work has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has been some deterioration on the land that was affected by the road construction work in the form of settling, erosion and sloughing. This has included material escaping the boundaries of Parcel D to the west onto the lower portions of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claims relief on the basis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his property law rights. The plaintiff has also claimed damages for trespass although trespass was not specifically claimed in his filed pleadings. This issue is discussed in greater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Issue: Amendment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a preliminary matter, I will first deal with the plaintiff's application to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plaintiff's filed pleadings, relief is claimed on the basis of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plaintiff's property law rights under the easement. These pleadings made reference to trespass but did not seek any specific relief based on the allegations of trespass. Despite the absence of a claim, however, plaintiff's counsel expressly requests damages for trespass in his written submissions filed in advance of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objected to the plaintiff's request for damages for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response to the defendants' objection, the plaintiff brought an application to amend the pleadings to include a claim in trespass as an alternative cause of action. The parties agreed to proceed on the basis that there would not be a written notice of application and they would incorporate their submissions on the issue of the amendment into their final written submissions. Those submissions have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asserts that an amendment is required to have the pleadings conform to the evidence. They also say that having referenced trespass in the pleadings and taking into account all the circumstances it would be appropriate to include a prayer for relief for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respond that if the pleadings had included a claim for trespass, additional evidence would have been adduced to address the extent to which the defendants are responsible for any trespass to the west of Parcel D. They also argue that if such trespass occurred, there is a question of whether the plaintiff or the defendant caused the alleged trespass, and evidence could have been brought to answer this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Substantive Issues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various remedies are claimed relying on a range of causes of action, the central issue in this litigation is the determination of the limits (particularly limits on the right to raise the terrain) and construction standards on the road work the defendants are able to carry out both outside of and within Parcel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argues those limits are defined by two separate agreements that bind the parties. The first agreement alleged by the plaintiff is an oral contract. He argues that the dialogue with Mr. Holt in September 2009 resulted in a contract that specifically addressed elevation of the proposed road. He says that contract incorporated the terms of Easement 149 in respect of quality and standards of construction. This requires a determination of whether a binding contract was indeed entered into and, if so, what its terms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second relevant agreement is Easement 149. Obviously it is necessary to interpret Easement 149 to determine what limitations and obligations it creates in respect of elevation and construction standards.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argues that a contract was created in the September 2009 discussion between the plaintiff and Mr. Holt. He says that contract contained various express and implied terms. Three of those terms 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Holt would construct the roadway on Parcel D to an agreed height based on specific reference points (approximately 10 feet above natural or existing elevation);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Holt would construct a level bench to the east of Parcel D for the plaintiff's benefit;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Holt would improve the plaintiff's driveway for all-season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also says the contract incorporated the terms of Easement 149 including its description of permitted uses, and that the contract therefore incorporated a requirement that the defendants' road construction comply with public road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Mr. Holt, says that there was no oral contract because there was no consideration and the parties did not have an intention to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alternative he says that if there was a contract, there were no implied terms that incorporated the easement terms and there was no limit on the height to which the defendant could construct the road. Accordingly, if there was a contract it was not breached.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Easement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asserts that the correct interpretation of Easement 149 must take into account the "factual matrix" in existence at the time the contracting parties created the easement. The plaintiff argues that Easements 148 and 149 created identical "in common" rights benefitting both Lot 1 and Lot 4, meaning that the rights conveyed by the easements were to be held in common by both the servient tenement and the dominant tenement and their transferees and assigns. The plaintiff argues that these easements were made to facilitate possible future subdivision and development of either or both Lots 1 and 4. The plaintiff says that clause 3.2 of Easement 149 was created in contemplation of such subdivision and that clause necessarily constrains the height to which any road surface could be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also says that clause 3.2 requires that any road construction be completed according to public road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argue that the terms of Easement 149 are clear and unambiguous and that there is no need to look beyond the language of the easement itself for its interpretation. They say that reading clause 9.3 in conjunction with clause 3.1 makes it clear that there is no constraint on the plaintiff as to the height of the road surface within Parcel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They also argue there is no requirement that the road be built to public road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Further, the defendants say that the plaintiff's reliance on the "in common" language is flawed. Specifically, the defendants argue that even if the rights and obligations under the easement could be interpreted in the fashion argued by the plaintiff, that interpretation would have only bound the original parties to the easements, not any subsequent parties, including the parties to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Separate from the issue of the standard to which the road was to be built is the question of whether the actual construction was negligently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construction of the road by failing to use suitable material and adequate compaction to provide sufficient stability in the slopes and in the road surface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defendants acknowledge that there are deficiencies in the current state of the road surface but say they can be corrected and would have been corrected by Mr. Holt had the plaintiff not prohibited his re-entry onto Parcel D to complete the work. In effect the defendants say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construction but rather it is an unfinished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further assert that since they were not required to build the road surface to public road standards only modest remediation is required to bring the driveway to the standards appropriate for a private driveway.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also alleges nuisance on an ongoing basis given issues with the erosion and instability of the fill slope created by the works carried out by the defendants. He also says that excessive fill placed outside of the western boundary of Parcel D is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defendants make similar arguments to those advanced in respect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They say that when remediation work is completed the problems the plaintiff refers to here will be addressed. They say that the complaints would have been addressed long ago if the plaintiff had not prevented them from carrying on to complete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Pleadings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not intend to fully address this issue as it is not necessary given my findings below. If it was necessary to do so I would allow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issue of trespass was certainly raised in the evidence. Indeed in this case it is almost inextricably woven into the circumstances. The dispute about how and why fill came to be placed outside of Parcel D was dealt with by the parties at length in the evidence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assertion that they may have presented their case differently was not supported by any specific explanation of how that would have been so. One witness who may have had evidence on the point was Mr. Knight, the contractor who hauled the fill to the site. The plaintiff was highly critical of the defendants not calling Mr. Knight and asked that an adverse inference be drawn. The defendants responded to that request by indicating they had hoped to call Mr. Knight but could not produce him as a witness. They attempted to rely on hearsay evidence of what Mr. Knight had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Work Outside of Parcel 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case is unique because the work at issue was not confined to the easement area. The work could not have been at its scale and design if so confined.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noted in para. 37 above, Parcel D is 20 meters wide in its north-south leg. The current slope on the west exceeds the 2:1 ratio and is supported on the east by the natural slope of Lot 1 because the fill extends outside of the easement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 specific calculation or measure was presented in the evidence, but it is obvious that the road surface must have a certain width to be usable as a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If the work was confined to the boundaries of Parcel D and constrained by the 2:1 fill slope ratio set out in the evidence of Mr. McPherson then the result would look much different. Unfortunately the engineering evidence does not set out just how high the road surface could be if so constrained. The limitations would be easy to identify if Parcel D was flat and level. For every meter the road surface is raised it must narrow by 4 meters, meaning 2 meters on each side. Given the 20 meter width of Parcel D the surface would narrow to a knife edge width at an elevation of 5 meters. If for example a useable road surface needs to be 4 meters wide it could be raised by no more than 4 meters or else it would not comply with the 2:1 fill slope ratio. Simply put, the work could not be done to its present elevation without having gone outside of the easement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indicated above, the work was not constrained to Parcel D and fill was placed on the western slope of Parcel D. The parties offer very different explanations for why the work went outside the boundaries of Parcel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asserts that there was an oral contract between the parties. The defendants assert that there was no such contract but that the plaintiff authorized or directed the fill to be placed on Lot 1. I will discuss each argument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There an Oral Contract between the Plaintiff and Mr. 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first question is whether or not an oral contract was entered into between these parties. If there was an oral contract the next question is whether it effectively modified the nature and extent of work the defendants could carry out on Lot 1 separate from the work that is authorized by Easement 149.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says that he and Mr. Holt met and discussed the prospect of Mr. Holt bringing fill onto Parcel D and elevating the road. The plaintiff had an interest in improving his driveway and creating a level area to the east of Parcel D or a bench that would benefit him. As mentioned above, due to the natural slope of Lot 1, the plaintiff had difficulty using his driveway during winter and I am satisfied that a level bench and an improved driveway would be of considerable benefit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also says that he agreed to facilitate Mr. Holt's desire to elevate the road but only to a limited degree. He says that they discussed the height by reference to some survey stakes in place at the north end of Parcel D, and the height of the concrete slab of the garage in Mr. McCreight's construction to the south of Lot 1. The defendants acknowledge that there was a meeting and some discussion about the proposed construction but denies entering into any agreement. There was considerable disagreement between the plaintiff and the defendants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Englehart in my view tried to be accurate with his evidence and he was generally credible. In addition, his evidence conveyed a logical course of conduct based on the discussion and his observations of the work as it progressed. He testified that in September 2009 he spoke with Mr. Holt about his desire to raise the surface of the road located on Parcel D. He stated that they discussed the parameters for the work and elevation was a concern for the plaintiff from the outset. He says that periodically during the work he spoke to Mr. Holt and that Mr. Holt repeatedly assured the plaintiff that the elevation would accord with the September 2009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Mr. Englehart to be a credible witness and I believe that his testimony accurately reflects the general timeline of discussions between him and Mr. Holt, and that he has fairly represented the contents of their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McCreight, the property owner of the land adjacent to Lot 1, gave evidence supporting the plaintiff's position. Mr. McCreight testified that in April 2010 he and Mr. Holt had a conversation and that during this conversation Mr. Holt pointed to the northwest stake on Parcel D and identified that as the new height to which the road would be built. Counsel for the defence agrees that Mr. McCreight was generally honest but argues that he was mistaken. I agree that he was honest but I do not conclude he was mistaken. The substance of Mr. McCreight's evidence generally supports the plaintiff's depiction of events, and I prefer the evidence of Mr. McCreight to that of Mr. Holt where they are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contrast, I did not find Mr. Holt to be a credible witness. In his general presentation he was frequently argumentative. He often was not very responsive to the questions put to him and instead chose to say what he thought the Court should hear. When challenged on particular statements attributed to or made by him that were contradictory to his trial evidence he would tend to avoid providing any meaningful response by asking questions himself, trying to divert to other subjects or offering weak explanations to try to reconcile the inconsistencies. Overall, he seemed willing to say what he thought would help him regardless of its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to the existence of a contract, Mr. Holt adamantly denied that any agreement existed between him and the plaintiff. In his trial testimony he said he had been very careful in the discussions with the plaintiff in September 2009 to avoid entering any agreements. Specifically, he stated that "I knew I had to approach Englehart in a way that I wouldn't corner myself into any sort of contract or agreement...I knew my property had rights. I was very skeptical about saying the wrong words... I was in the conversation just to offer Mr. Englehart dirt to improve his lands...There was no other speculations at that point in time". He was emphatic in saying that his conversation with the plaintiff did not generate any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This testimony at trial was in direct conflict with Mr. Holt's evidence at examination for discovery, in which he quite clearly described having entered into an agreement with the plaintiff regarding the construction of the road. He set out its terms at discovery. It is impossible to reconcile the evidence at trial with the discovery evidence. His response at trial when confronted with the inconsistency was to become angry and frustrated and suggest that there could not be an agreement unless he and Mr. Englehart shook hands. He testified that his discovery evidence was not true and then said he should have used the word "discussion" not "agreement". However, since Mr. Holt's testimony at trial was that he was extremely conscious of not entering any agreement in September 2009, it makes no sense that he would choose the wrong word at his discovery in March 2013 to describe what had occurred. Instead, I conclude that at his discovery he wanted to give evidence that he thought would advance his case, but as the trial unfolded he recognized that such evidence could be problematic to his case and so he tried to recast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noted above I prefer the plaintiff's evidence as to the discussion on the limits of the construction and about the scope of the proposed work. The question is whether a contract was formed by the discussions between the plaintiff and Mr. 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contract is not validly formed unless the parties have a shared intent to create a contract and be bound by legal obligations. The intention to form a contract and assume binding obligations was summarized as follows by Hall J. in </w:t>
      </w:r>
      <w:r>
        <w:rPr>
          <w:rFonts w:ascii="arial" w:eastAsia="arial" w:hAnsi="arial" w:cs="arial"/>
          <w:i/>
          <w:color w:val="000000"/>
          <w:sz w:val="20"/>
          <w:lang w:val="en-US" w:eastAsia="en-US" w:bidi="ar-SA"/>
        </w:rPr>
        <w:t>British Columbia (Minister of Transportation and Highways) v. Reon Management Services Inc.,</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2001 BCCA 679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the formation of a contract has about it a quality of the objective. The question to be asked is whether the reasonable observer, examining the interchanges between the parties, would conclude that a contract had been entered into. More particularly, in the instant case, would the reasonable observer conclude there was a settlement achieved?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this Court observed in the case of Fieguth v. Acklands Ltd. </w:t>
      </w:r>
      <w:hyperlink r:id="rId737" w:history="1">
        <w:r>
          <w:rPr>
            <w:rFonts w:ascii="arial" w:eastAsia="arial" w:hAnsi="arial" w:cs="arial"/>
            <w:i/>
            <w:color w:val="0077CC"/>
            <w:sz w:val="20"/>
            <w:u w:val="single"/>
            <w:shd w:val="clear" w:color="auto" w:fill="FFFFFF"/>
            <w:lang w:val="en-US" w:eastAsia="en-US" w:bidi="ar-SA"/>
          </w:rPr>
          <w:t>(1989), 37 B.C.L.R. (2d) 62</w:t>
        </w:r>
      </w:hyperlink>
      <w:r>
        <w:rPr>
          <w:rFonts w:ascii="arial" w:eastAsia="arial" w:hAnsi="arial" w:cs="arial"/>
          <w:color w:val="000000"/>
          <w:sz w:val="20"/>
          <w:lang w:val="en-US" w:eastAsia="en-US" w:bidi="ar-SA"/>
        </w:rPr>
        <w:t xml:space="preserve">, the issue of whether a contract has come into existence must be kept separate from the question as to what action may be required to implement the contract. It is trite law that a contract involves an offer by one party and acceptance of the offer by the other party. The parties must, on the evidence, evince their intention to be legally bound in a contractual relationship. I believe the matter is well put by Sigurdson J. in the case of Witzke (Guardian ad litem of) v. Dalgliesh, </w:t>
      </w:r>
      <w:hyperlink r:id="rId738" w:history="1">
        <w:r>
          <w:rPr>
            <w:rFonts w:ascii="arial" w:eastAsia="arial" w:hAnsi="arial" w:cs="arial"/>
            <w:i/>
            <w:color w:val="0077CC"/>
            <w:sz w:val="20"/>
            <w:u w:val="single"/>
            <w:shd w:val="clear" w:color="auto" w:fill="FFFFFF"/>
            <w:lang w:val="en-US" w:eastAsia="en-US" w:bidi="ar-SA"/>
          </w:rPr>
          <w:t>[1995] B.C.J. No. 403</w:t>
        </w:r>
      </w:hyperlink>
      <w:r>
        <w:rPr>
          <w:rFonts w:ascii="arial" w:eastAsia="arial" w:hAnsi="arial" w:cs="arial"/>
          <w:color w:val="000000"/>
          <w:sz w:val="20"/>
          <w:lang w:val="en-US" w:eastAsia="en-US" w:bidi="ar-SA"/>
        </w:rPr>
        <w:t xml:space="preserve"> at paras. 58-60 of his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assessing the enforceability of an agreement, the court must balance a variety of opposing concerns. For example, the sanctity of contract must be weighed against the fairness of holding a party to a bargain made in consequence of a mistake. The resulting approach is described in S.M. Waddams, The Law of Contracts, 3d ed. (Toronto: Canada Law Book Inc., 1993) c. 3 at 97, as the "objective theory of contract formation." The author explains: "The principal purpose of the law of contracts is to protect reasonable expectations engendered by promises."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it would appear to the reasonable person that the parties were in agreement as to a contract and its terms, then a contract would exists at common law. As stated in Smith v. Hughes (1871), L.R. 6 Q.B. 597 at 607: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whatever a man's real intention may be, he so conducts himself that a reasonable man would believe that he was assenting to the terms proposed by the other party, and that the other party upon that belief enters into a contract with him, the man thus conducting himself would be equally bound as if he had intended to agree to the other party's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M.P. Furmston, ed., Cheshire, Fifoot and Furmston's Law of Contract, 12th ed. (London: Butterworths, 1991) c. 8 at 248, the authors refer to the task of assessing the reasonable expectations as a determination of "the sense of the promise", in that the court "decides whether a sensible third party would take the agreement to mean what A understood it to mean or what B understood it to mean, or whether indeed any meaning can be attributed to it at all." In the latter situation, the ambiguity of the circumstances are such that the "sense of the promise" cannot be determined.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Sigurdson J. went on to observe as follows at para. 76 of his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parties are at cross-purposes and the apparent agreement is capable of either interpretation, there is no agreement. In Raffles v. Wichelhaus (1864), 159 E.R. 375, the defendant purchased cotton from the plaintiff "to arrive ex "Peerless" from Bombay"; the defendant pleaded that he meant a ship called the "Peerless" which sailed from Bombay in October, whereas the plaintiff was not ready to deliver any cotton which arrived by that ship, but only cotton which arrived by another ship called the "Peerless" which sailed from Bombay in December. Although the question being determined was procedural in nature, the court held: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nothing on the face of the contract to show that any particular ship called the "Peerless" was meant; but the moment it appears that two ships called the "Peerless" were about to sail from Bombay </w:t>
      </w:r>
      <w:r>
        <w:rPr>
          <w:rFonts w:ascii="arial" w:eastAsia="arial" w:hAnsi="arial" w:cs="arial"/>
          <w:color w:val="000000"/>
          <w:sz w:val="20"/>
          <w:u w:val="single"/>
          <w:lang w:val="en-US" w:eastAsia="en-US" w:bidi="ar-SA"/>
        </w:rPr>
        <w:t>there is a latent ambiguity and parol evidence may be given for the purpose of shewing that the defendant mean one "Peerless," and the plaintiff another. That being so, there was no consensus ad idem, and therefore no binding contract.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this case, I find that the parties did not validly form a binding oral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First, I am not satisfied that the parties had a shared intention to create legal obligations. The discussions between Mr. Holt and Mr. Englehart in September 2009 were premised on the pre-existing rights under the easements. They discussed the parameters of the work to be done and the plaintiff saw an opportunity to benefit from the availability of fill material and equipment. The defendant recognized that his construction of a road would be simplified if he had the ability to place fill outside the eastern boundary of Parcel D. Both parties had erroneous and unexpressed understandings of their rights and obligations under Easement 149 that influenced their conduct and made any actual consensus from the discussion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As indicated in </w:t>
      </w:r>
      <w:r>
        <w:rPr>
          <w:rFonts w:ascii="arial" w:eastAsia="arial" w:hAnsi="arial" w:cs="arial"/>
          <w:i/>
          <w:color w:val="000000"/>
          <w:sz w:val="20"/>
          <w:lang w:val="en-US" w:eastAsia="en-US" w:bidi="ar-SA"/>
        </w:rPr>
        <w:t>Reon Management Services,</w:t>
      </w:r>
      <w:r>
        <w:rPr>
          <w:rFonts w:ascii="arial" w:eastAsia="arial" w:hAnsi="arial" w:cs="arial"/>
          <w:color w:val="000000"/>
          <w:sz w:val="20"/>
          <w:lang w:val="en-US" w:eastAsia="en-US" w:bidi="ar-SA"/>
        </w:rPr>
        <w:t xml:space="preserve"> the proper question is whether or not a reasonable observer would understand their actions as objectively creating a contract. Mr. Holt's characterization of the discussion is unreliable but Mr. Englehart's evidence does not satisfy me that a separate contract was created. He said in cross-examination that at the time of the discussions he did not consider that he and Mr. Holt were setting out mutual legal obligations. I am satisfied based on the testimony of both Mr. Englehart and Mr. Holt that neither party believed they were making a binding agreement. Their discussions were just that: discussions that cannot be construed as making a binding legal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Second, I am not satisfied that a valid offer occurred. A valid offer must contain the complete terms of the parties' agreement. However, at no point were the full terms ever communicated to Mr. Englehart. For example, the amount of fill, or whether or not fill would be available at all, was not confirmed during their discussion in September 2009. Though the parties may have shared a general understanding, they never had a shared intention concerning fundamental terms. The extent to which the plaintiff argues terms should be implied is demonstrative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Third, I am simply not satisfied with the evidence. Mr. Englehart has failed to prove on the balance of probabilities that he had formed an oral contract with the defendant. The plaintiff could not recall sufficient details of the discussion. The argument that their discussion generated a binding contract is, in my view, attempting in hindsight to attach a level of formality to it that is not justified. I accept that the plaintiff and Mr. Holt did discuss road height, the construction of a level bench to the east of Parcel D and improvements to the plaintiff's driveway. However, these discussions alone do not indicate an intention to form a contract. In fact, no evidence indicates that the parties took any steps beyond mere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result, I am not satisfied on the balance of probabilities that the parties formed a binding oral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Plaintiff Authorize or Direct the Fill to be Placed on Parcel D and the Adjacent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argues that there was no oral contract that allowed him to place material outside the easement area but instead says the plaintiff initiated that placement on his own. The plaintiff is very clear in his evidence that he agreed to some elevation increase and the placement of some fill to the east of Parcel D but nowhere near what the defendant actually did. As noted I accept the plaintiff's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defendants have argued that Mr. Englehart authorized or directed the fill to be placed on Lot 1 outside of the easement area of Parcel D. The plaintiff did want a level bench area to be created to the east of Parcel D but at a specific elevation. Whatever acquiescence or direction the plaintiff gave regarding placement of the fill was given in the context of repeated assurances from Mr. Holt that the finished height would accord with the height benchmarks referenced in their discussion in September 2009. I do not accept the defendants' evidence or argument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Holt testified that some fill material that encroached over the west boundary of Parcel D was placed on the plaintiff's property based on the plaintiff's directions to the fill hauler, Mr. Knight. However, the plaintiff denies this and the defendant did not call Mr. Knight as a witness. Separate from my conclusions as to Mr. Holt's credibility, Mr. Holt was not present for any of the communications between the plaintiff and Mr. Knight. His evidence relating to what Mr. Knight and the plaintiff discussed is inadmissible as hearsay. Even if I am wrong and the evidence could be admitted under the principled approach to hearsay I would give it minimal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Holt also testified that some encroaching fill material was placed at the direction of the plaintiff given to the drivers hauling the material. One of those drivers was called by the defendant as a witness, Mr. Wale. Mr. Wale said that material was dumped on the last day of hauling. On that date, the plaintiff was away from the area and could not have given that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did acknowledge being present when some fill was deposited but says he simply followed Mr. Holt's directions on where to direct the drivers and that he relied on Mr. Holt's assurances that the finished project would accord with their discussions. I accept the plaintiff's evidence that as more fill was placed on Lot 1 he repeatedly expressed his concerns about the amount and placement of fill to Mr. 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Given the lack of credible evidence that the plaintiff directed the fill to be placed on his property outside of Parcel D, I am satisfied on the balance of probabilities that the encroaching fill was placed on Lot 1 at the direction of the defendant Mr. 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defendants have also argued that the plaintiff authorized them to place this encroaching fill on Lot 1 outside of Parcel D. They did not expressly rely on the concept of licence. Even if raised by inference, however, I would not conclude that the plaintiff granted Mr. Holt a licence to place fill outside of the easement area in the manner that he did. If there was a licence to place some fill then Mr. Holt exceeded the grant of that licence by building a road beyond the height benchmarks identified by the plaintiff and by dumping excessive amounts of fill: see </w:t>
      </w:r>
      <w:r>
        <w:rPr>
          <w:rFonts w:ascii="arial" w:eastAsia="arial" w:hAnsi="arial" w:cs="arial"/>
          <w:i/>
          <w:color w:val="000000"/>
          <w:sz w:val="20"/>
          <w:lang w:val="en-US" w:eastAsia="en-US" w:bidi="ar-SA"/>
        </w:rPr>
        <w:t>Baird v. Salle,</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2008 BCSC 1232</w:t>
        </w:r>
      </w:hyperlink>
      <w:r>
        <w:rPr>
          <w:rFonts w:ascii="arial" w:eastAsia="arial" w:hAnsi="arial" w:cs="arial"/>
          <w:color w:val="000000"/>
          <w:sz w:val="20"/>
          <w:lang w:val="en-US" w:eastAsia="en-US" w:bidi="ar-SA"/>
        </w:rPr>
        <w:t xml:space="preserve"> at para. 52. As discussed above, I accept the plaintiff's testimony that he only agreed that Mr. Holt could elevate the terrain to the height of the slab on the McCreight property and the survey stakes and use a reasonable amount of fill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Plaintiff Authorize the Road Construction to be Completed to its Final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For the same reasons discussed above, I find that the plaintiff did not authorize the defendants to construct the road on Parcel D to the finished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Holt testified that during discussions about the height of the road in September 2009, he felt that under the terms of Easement 149 he was entitled to raise the road surface as much as he wanted. As a result he did not seek any authorization. He says there was nothing in his discussions with the plaintiff about any specific height or reference points. Mr. Holt then testified that in a subsequent conversation with the plaintiff Mr. Holt referred to a log with some flags above it as the height to which he was building, which he says is the height to which the road was actually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This testimony conflicts with Mr. Holt's evidence at discovery. During discovery, Mr. Holt stated that he had told the plaintiff of his intention to build the road to the height of the northeast corner pin of Parcel D. However, the flagged logs referred to in his testimony are significantly higher than the height of the northeast corner pin of Parcel D. Mr. Holt did not provide any satisfactory explanation for this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This inconsistency again indicates that Mr. Holt is not a reliable witness. Based on all the circumstances I find it is reasonable to draw the inference that this contradiction in Mr. Holt's testimony was due to Mr. Holt believing that his defence would be best served by recasting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summary, I find that the plaintiff did not authorize the defendants to construct the road up to the finished height and that no contract, licence or other binding authorization applies to these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 the Terms of Easement 149 Permit the Defendants' Road Construction Work and Placement of Fill?</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Validity of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Neither party argues that the Easement 149 is not valid. Nonetheless some observations regarding the law on the validity of easements is instructive because it is relevant to their interpretation. Circumstances can arise where the scope of use in an easement is too broad to be enforceable. In </w:t>
      </w:r>
      <w:r>
        <w:rPr>
          <w:rFonts w:ascii="arial" w:eastAsia="arial" w:hAnsi="arial" w:cs="arial"/>
          <w:i/>
          <w:color w:val="000000"/>
          <w:sz w:val="20"/>
          <w:lang w:val="en-US" w:eastAsia="en-US" w:bidi="ar-SA"/>
        </w:rPr>
        <w:t>Robinson v. Pipito,</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2014 BCCA 200</w:t>
        </w:r>
      </w:hyperlink>
      <w:r>
        <w:rPr>
          <w:rFonts w:ascii="arial" w:eastAsia="arial" w:hAnsi="arial" w:cs="arial"/>
          <w:color w:val="000000"/>
          <w:sz w:val="20"/>
          <w:lang w:val="en-US" w:eastAsia="en-US" w:bidi="ar-SA"/>
        </w:rPr>
        <w:t>, the Court said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demonstrated by the jurisprudence cited by counsel and the decisions of this Court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Granfield,</w:t>
      </w:r>
      <w:r>
        <w:rPr>
          <w:rFonts w:ascii="arial" w:eastAsia="arial" w:hAnsi="arial" w:cs="arial"/>
          <w:color w:val="000000"/>
          <w:sz w:val="20"/>
          <w:lang w:val="en-US" w:eastAsia="en-US" w:bidi="ar-SA"/>
        </w:rPr>
        <w:t xml:space="preserve"> in particular, the courts have been loath to invalidate instruments and have sought to interpret grants in such a manner as to preserve some proprietary rights in the hands of the owners of servient tenements. Where that cannot be done without doing violence to the easement agreement, grants that practically curtail any such interests will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note that the obligation in clause 3.2 of Easement 149 states that the dominant tenement "must, at the request of the Transferee, execute such plans and consents as may be required by any applicable regulatory authority to dedicate Parcel 'B' and Parcel 'D' as a public roadway and upon such dedication this Easement must be released from the Servient Tenement". I also note that the execution of such plans and consents might extinguish the servient tenement's title or exclusive possession of Parcel D by actually or effectively transferring Parcel D to a governmental authority at the instigation of the dominant tenement.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To the extent that the exercise of clause 3.2 would prevent the servient tenement from preserving any proprietary rights over the easement area, this provision may not be valid. The British Columbia Supreme Court has generally held that it is inappropriate to adjudicate hypothetical disputes, and particularly hypothetical disputes over the interpretation of an easement, which frequently implicate the rights of third parties and involve guessing what future relevant facts will occur: see </w:t>
      </w:r>
      <w:r>
        <w:rPr>
          <w:rFonts w:ascii="arial" w:eastAsia="arial" w:hAnsi="arial" w:cs="arial"/>
          <w:i/>
          <w:color w:val="000000"/>
          <w:sz w:val="20"/>
          <w:lang w:val="en-US" w:eastAsia="en-US" w:bidi="ar-SA"/>
        </w:rPr>
        <w:t>McKinnon v. Canada (Attorney General)</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2002 BCSC 1053</w:t>
        </w:r>
      </w:hyperlink>
      <w:r>
        <w:rPr>
          <w:rFonts w:ascii="arial" w:eastAsia="arial" w:hAnsi="arial" w:cs="arial"/>
          <w:color w:val="000000"/>
          <w:sz w:val="20"/>
          <w:lang w:val="en-US" w:eastAsia="en-US" w:bidi="ar-SA"/>
        </w:rPr>
        <w:t xml:space="preserve"> at paras. 35-38. Therefore, since the issue of validity was not argued I decline to make any ruling on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Proper Principles of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With no contract or other enforceable authorization in place the only source of authority or right for the defendants to do any work on Lot 1 is Easement 149.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applicable law regarding interpretation has been the subject of recent comment by our Court of Appeal in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In a section of the decision headed "First Principles" the Court of Appeal included these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This Court in </w:t>
      </w:r>
      <w:r>
        <w:rPr>
          <w:rFonts w:ascii="arial" w:eastAsia="arial" w:hAnsi="arial" w:cs="arial"/>
          <w:i/>
          <w:color w:val="000000"/>
          <w:sz w:val="20"/>
          <w:lang w:val="en-US" w:eastAsia="en-US" w:bidi="ar-SA"/>
        </w:rPr>
        <w:t>Grant v. MacDonald</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(1992), 68 B.C.L.R. (2d) 332</w:t>
        </w:r>
      </w:hyperlink>
      <w:r>
        <w:rPr>
          <w:rFonts w:ascii="arial" w:eastAsia="arial" w:hAnsi="arial" w:cs="arial"/>
          <w:color w:val="000000"/>
          <w:sz w:val="20"/>
          <w:lang w:val="en-US" w:eastAsia="en-US" w:bidi="ar-SA"/>
        </w:rPr>
        <w:t xml:space="preserve">, adopted Lord Evershed's description of the characteristics of an easement in </w:t>
      </w:r>
      <w:r>
        <w:rPr>
          <w:rFonts w:ascii="arial" w:eastAsia="arial" w:hAnsi="arial" w:cs="arial"/>
          <w:i/>
          <w:color w:val="000000"/>
          <w:sz w:val="20"/>
          <w:lang w:val="en-US" w:eastAsia="en-US" w:bidi="ar-SA"/>
        </w:rPr>
        <w:t>Re Ellenborough Park</w:t>
      </w:r>
      <w:r>
        <w:rPr>
          <w:rFonts w:ascii="arial" w:eastAsia="arial" w:hAnsi="arial" w:cs="arial"/>
          <w:color w:val="000000"/>
          <w:sz w:val="20"/>
          <w:lang w:val="en-US" w:eastAsia="en-US" w:bidi="ar-SA"/>
        </w:rPr>
        <w:t>, [1955] 3 All E.R. 667 at 673:</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dominant and a servient tenement: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easement must accommodate the dominant tenement: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dominant and servient owners must be different persons: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over land cannot amount to an easement unless it is capable of forming the subject-matter of a grant.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requirement has now been abrogated by s. 18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which provides that owners in fee simple may grant easements to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Mr. Justice Seaton, for the court, addressing the last criterion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accepted the proposition that where no proprietary interest or right in the property described in the easement is reserved to the servient tenement, the agreement does not constitute an easement. Adopting the words used in </w:t>
      </w:r>
      <w:r>
        <w:rPr>
          <w:rFonts w:ascii="arial" w:eastAsia="arial" w:hAnsi="arial" w:cs="arial"/>
          <w:i/>
          <w:color w:val="000000"/>
          <w:sz w:val="20"/>
          <w:lang w:val="en-US" w:eastAsia="en-US" w:bidi="ar-SA"/>
        </w:rPr>
        <w:t>Shelf Holdings Ltd. v. Husky Oil Operations Ltd.</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[1989] 3 W.W.R. 692</w:t>
        </w:r>
      </w:hyperlink>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56 D.L.R. (4th) 193</w:t>
        </w:r>
      </w:hyperlink>
      <w:r>
        <w:rPr>
          <w:rFonts w:ascii="arial" w:eastAsia="arial" w:hAnsi="arial" w:cs="arial"/>
          <w:color w:val="000000"/>
          <w:sz w:val="20"/>
          <w:lang w:val="en-US" w:eastAsia="en-US" w:bidi="ar-SA"/>
        </w:rPr>
        <w:t xml:space="preserve"> (Alta. C.A.), also cited by the judge in this case, he held that an easement cannot amount to a claim "quite at variance with the property rights of the servient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Every easement will, to some extent, exclude the servient owner from the property and prevent the servient owner from exercising some proprietary rights over the property reserved for the easement. The degree of occupation or possession, and the question whether that degree of occupation or possession is compatible with the existence of an easement, should be governed by the document conceding the grant. The conduct of the parties in the purported exercise of the rights granted under the easement is not helpful as a guide to interpreting the document; they may misapprehend their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At para. 34 reference was made to </w:t>
      </w:r>
      <w:r>
        <w:rPr>
          <w:rFonts w:ascii="arial" w:eastAsia="arial" w:hAnsi="arial" w:cs="arial"/>
          <w:i/>
          <w:color w:val="000000"/>
          <w:sz w:val="20"/>
          <w:lang w:val="en-US" w:eastAsia="en-US" w:bidi="ar-SA"/>
        </w:rPr>
        <w:t>Granfield v. Cowichan Valley (Regional District)</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(1993), 79 B.C.L.R. (2d) 303</w:t>
        </w:r>
      </w:hyperlink>
      <w:r>
        <w:rPr>
          <w:rFonts w:ascii="arial" w:eastAsia="arial" w:hAnsi="arial" w:cs="arial"/>
          <w:color w:val="000000"/>
          <w:sz w:val="20"/>
          <w:lang w:val="en-US" w:eastAsia="en-US" w:bidi="ar-SA"/>
        </w:rPr>
        <w:t xml:space="preserve">, rev'd in part </w:t>
      </w:r>
      <w:hyperlink r:id="rId745" w:history="1">
        <w:r>
          <w:rPr>
            <w:rFonts w:ascii="arial" w:eastAsia="arial" w:hAnsi="arial" w:cs="arial"/>
            <w:i/>
            <w:color w:val="0077CC"/>
            <w:sz w:val="20"/>
            <w:u w:val="single"/>
            <w:shd w:val="clear" w:color="auto" w:fill="FFFFFF"/>
            <w:lang w:val="en-US" w:eastAsia="en-US" w:bidi="ar-SA"/>
          </w:rPr>
          <w:t>(1996),16 B.C.L.R. (3d) 382</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referred to two "pillars" upon which any judgment in a matter of this kind must be founded, one of which is that the grantee of an easement has the right granted to him and no more. The Court cited with approval a passage from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vol. 14, 4th ed., (London, UK: Butterworths, 1980) at 26 that reads, in part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nature and extent of an easement created by express grant primarily depend upon the wording of the instrument. In construing a grant of an easement regard must be had to the circumstances existing at the time of its execution; for the extent of the easement is ascertainable by the circumstances existing at the time of the grant and known to the parties or within the reasonable contemplation of the parties at the time of the grant, and is limited to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When interpreting the terms of an easement, a court must first construe the intentions of the parties from the document itself. The court must determine what the parties intended by the language of the agreement, viewed objectively, in the circumstances in which the agreement was made: see </w:t>
      </w:r>
      <w:r>
        <w:rPr>
          <w:rFonts w:ascii="arial" w:eastAsia="arial" w:hAnsi="arial" w:cs="arial"/>
          <w:i/>
          <w:color w:val="000000"/>
          <w:sz w:val="20"/>
          <w:lang w:val="en-US" w:eastAsia="en-US" w:bidi="ar-SA"/>
        </w:rPr>
        <w:t>Burke v. Kroeker,</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2004 BCSC 27</w:t>
        </w:r>
      </w:hyperlink>
      <w:r>
        <w:rPr>
          <w:rFonts w:ascii="arial" w:eastAsia="arial" w:hAnsi="arial" w:cs="arial"/>
          <w:color w:val="000000"/>
          <w:sz w:val="20"/>
          <w:lang w:val="en-US" w:eastAsia="en-US" w:bidi="ar-SA"/>
        </w:rPr>
        <w:t xml:space="preserve"> at para. 17. As with any other legal document, the words of the easement must be interpreted in light of the whole document and the intention of the parties expressed therein: see </w:t>
      </w:r>
      <w:r>
        <w:rPr>
          <w:rFonts w:ascii="arial" w:eastAsia="arial" w:hAnsi="arial" w:cs="arial"/>
          <w:i/>
          <w:color w:val="000000"/>
          <w:sz w:val="20"/>
          <w:lang w:val="en-US" w:eastAsia="en-US" w:bidi="ar-SA"/>
        </w:rPr>
        <w:t>Group Eight Investments Ltd. v. Taddei</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BCCA 489</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Sherbinin v. Jackson</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2011 BCSC 74</w:t>
        </w:r>
      </w:hyperlink>
      <w:r>
        <w:rPr>
          <w:rFonts w:ascii="arial" w:eastAsia="arial" w:hAnsi="arial" w:cs="arial"/>
          <w:color w:val="000000"/>
          <w:sz w:val="20"/>
          <w:lang w:val="en-US" w:eastAsia="en-US" w:bidi="ar-SA"/>
        </w:rPr>
        <w:t>, Fitzpatrick J. summarized the law regarding the proper interpretation of an easement in this way:</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Interpretation of an easement is subject to the same principles of judicial interpretation as govern other documents. When interpreting an easement, the Court must have regard primarily to the words of the easement in determining the intention of the parties. However, if there is ambiguity, the Court may also have regard to the surrounding circumstances when the document was made: </w:t>
      </w:r>
      <w:r>
        <w:rPr>
          <w:rFonts w:ascii="arial" w:eastAsia="arial" w:hAnsi="arial" w:cs="arial"/>
          <w:i/>
          <w:color w:val="000000"/>
          <w:sz w:val="20"/>
          <w:lang w:val="en-US" w:eastAsia="en-US" w:bidi="ar-SA"/>
        </w:rPr>
        <w:t>Avanti Mining Inc. v. Kitsault Resort Ltd.,</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2010 BCSC 1181</w:t>
        </w:r>
      </w:hyperlink>
      <w:r>
        <w:rPr>
          <w:rFonts w:ascii="arial" w:eastAsia="arial" w:hAnsi="arial" w:cs="arial"/>
          <w:color w:val="000000"/>
          <w:sz w:val="20"/>
          <w:lang w:val="en-US" w:eastAsia="en-US" w:bidi="ar-SA"/>
        </w:rPr>
        <w:t xml:space="preserve"> at paras. 39 and 61; </w:t>
      </w:r>
      <w:r>
        <w:rPr>
          <w:rFonts w:ascii="arial" w:eastAsia="arial" w:hAnsi="arial" w:cs="arial"/>
          <w:i/>
          <w:color w:val="000000"/>
          <w:sz w:val="20"/>
          <w:lang w:val="en-US" w:eastAsia="en-US" w:bidi="ar-SA"/>
        </w:rPr>
        <w:t>Granfield v. Cowichan Valley (Regional District)</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(1993), 79 B.C.L.R. (2d) 303</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31 R.P.R. (2d) 303</w:t>
        </w:r>
      </w:hyperlink>
      <w:r>
        <w:rPr>
          <w:rFonts w:ascii="arial" w:eastAsia="arial" w:hAnsi="arial" w:cs="arial"/>
          <w:color w:val="000000"/>
          <w:sz w:val="20"/>
          <w:lang w:val="en-US" w:eastAsia="en-US" w:bidi="ar-SA"/>
        </w:rPr>
        <w:t xml:space="preserve"> (S.C.) rev'd </w:t>
      </w:r>
      <w:hyperlink r:id="rId745" w:history="1">
        <w:r>
          <w:rPr>
            <w:rFonts w:ascii="arial" w:eastAsia="arial" w:hAnsi="arial" w:cs="arial"/>
            <w:i/>
            <w:color w:val="0077CC"/>
            <w:sz w:val="20"/>
            <w:u w:val="single"/>
            <w:shd w:val="clear" w:color="auto" w:fill="FFFFFF"/>
            <w:lang w:val="en-US" w:eastAsia="en-US" w:bidi="ar-SA"/>
          </w:rPr>
          <w:t>(1996), 16 B.C.L.R. (3d) 382</w:t>
        </w:r>
      </w:hyperlink>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 R.P.R. (3d) 211</w:t>
        </w:r>
      </w:hyperlink>
      <w:r>
        <w:rPr>
          <w:rFonts w:ascii="arial" w:eastAsia="arial" w:hAnsi="arial" w:cs="arial"/>
          <w:color w:val="000000"/>
          <w:sz w:val="20"/>
          <w:lang w:val="en-US" w:eastAsia="en-US" w:bidi="ar-SA"/>
        </w:rPr>
        <w:t xml:space="preserve"> (C.A.).</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Surrounding circumstances may not include evidence of the subjective intent of the parties. Moreover, evidence of surrounding circumstances must not be allowed to overwhelm the plain language of the document: </w:t>
      </w:r>
      <w:r>
        <w:rPr>
          <w:rFonts w:ascii="arial" w:eastAsia="arial" w:hAnsi="arial" w:cs="arial"/>
          <w:i/>
          <w:color w:val="000000"/>
          <w:sz w:val="20"/>
          <w:lang w:val="en-US" w:eastAsia="en-US" w:bidi="ar-SA"/>
        </w:rPr>
        <w:t>Avanti</w:t>
      </w:r>
      <w:r>
        <w:rPr>
          <w:rFonts w:ascii="arial" w:eastAsia="arial" w:hAnsi="arial" w:cs="arial"/>
          <w:color w:val="000000"/>
          <w:sz w:val="20"/>
          <w:lang w:val="en-US" w:eastAsia="en-US" w:bidi="ar-SA"/>
        </w:rPr>
        <w:t>, at paras. 43,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It is unnecessary to consider any extrinsic evidence if the document is clear and unambiguous on its face: see </w:t>
      </w:r>
      <w:r>
        <w:rPr>
          <w:rFonts w:ascii="arial" w:eastAsia="arial" w:hAnsi="arial" w:cs="arial"/>
          <w:i/>
          <w:color w:val="000000"/>
          <w:sz w:val="20"/>
          <w:lang w:val="en-US" w:eastAsia="en-US" w:bidi="ar-SA"/>
        </w:rPr>
        <w:t>Eli Lilly &amp; Co. v. Novopharm Ltd.,</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[1998] 2 S.C.R. 129</w:t>
        </w:r>
      </w:hyperlink>
      <w:r>
        <w:rPr>
          <w:rFonts w:ascii="arial" w:eastAsia="arial" w:hAnsi="arial" w:cs="arial"/>
          <w:color w:val="000000"/>
          <w:sz w:val="20"/>
          <w:lang w:val="en-US" w:eastAsia="en-US" w:bidi="ar-SA"/>
        </w:rPr>
        <w:t xml:space="preserve"> at paras. 55-56. However, the words of a legal document must be read in the context of the surrounding circumstances that were prevalent at the time of contracting: see </w:t>
      </w:r>
      <w:r>
        <w:rPr>
          <w:rFonts w:ascii="arial" w:eastAsia="arial" w:hAnsi="arial" w:cs="arial"/>
          <w:i/>
          <w:color w:val="000000"/>
          <w:sz w:val="20"/>
          <w:lang w:val="en-US" w:eastAsia="en-US" w:bidi="ar-SA"/>
        </w:rPr>
        <w:t>Gilchrist v. Western Star Trucks Inc.,</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2000 BCCA 70</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at least arguable that the terms of the easements in this case are capable of bearing more than one meaning. It is therefore appropriate to review the factual matrix that existed at the time when the easements were created to assist with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This approach was used by the Supreme Court of Canada in </w:t>
      </w:r>
      <w:r>
        <w:rPr>
          <w:rFonts w:ascii="arial" w:eastAsia="arial" w:hAnsi="arial" w:cs="arial"/>
          <w:i/>
          <w:color w:val="000000"/>
          <w:sz w:val="20"/>
          <w:lang w:val="en-US" w:eastAsia="en-US" w:bidi="ar-SA"/>
        </w:rPr>
        <w:t>Laurie v. Bowen</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[1953] 1 S.C.R. 49</w:t>
        </w:r>
      </w:hyperlink>
      <w:r>
        <w:rPr>
          <w:rFonts w:ascii="arial" w:eastAsia="arial" w:hAnsi="arial" w:cs="arial"/>
          <w:color w:val="000000"/>
          <w:sz w:val="20"/>
          <w:lang w:val="en-US" w:eastAsia="en-US" w:bidi="ar-SA"/>
        </w:rPr>
        <w:t>. In this case, the Court construed the meaning of an agreement that granted a right of way to the respondent. To help the Court construe the terms of the easement, the Court examined certain elements of the factual matrix that existed at the time of the easement's creation. Kellock J. explained this interpretive process as follows at p.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as the circumstances existing at the time of the grant may be looked at for the purpose of ascertaining the intention of the parties as to the dominant tenement and as to the location and termini of the way, the circumstances may also be looked at for the purpose of construing the conveyance as to the nature and extent of the rights conveyed.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agreement in </w:t>
      </w:r>
      <w:r>
        <w:rPr>
          <w:rFonts w:ascii="arial" w:eastAsia="arial" w:hAnsi="arial" w:cs="arial"/>
          <w:i/>
          <w:color w:val="000000"/>
          <w:sz w:val="20"/>
          <w:lang w:val="en-US" w:eastAsia="en-US" w:bidi="ar-SA"/>
        </w:rPr>
        <w:t>Laurie</w:t>
      </w:r>
      <w:r>
        <w:rPr>
          <w:rFonts w:ascii="arial" w:eastAsia="arial" w:hAnsi="arial" w:cs="arial"/>
          <w:color w:val="000000"/>
          <w:sz w:val="20"/>
          <w:lang w:val="en-US" w:eastAsia="en-US" w:bidi="ar-SA"/>
        </w:rPr>
        <w:t xml:space="preserve"> contained several ambiguities, including uncertainty as to what area of land was subject to the grant and uncertainty as to whether the grant constituted an easement or merely a personal licence. To determine the nature and extent of the rights conveyed, Kellock J. considered the circumstances existing at the time of the grant including the farm lanes being used, nearby buildings, use of the land and the possibility of future subdivision. I would adopt a similar approach in this case. Any ambiguity should be resolved by reading the provisions of the easements in the context of the factual matrix that existed at the time of their 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Engelson,</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[1998] B.C.J. No. 3128</w:t>
        </w:r>
      </w:hyperlink>
      <w:r>
        <w:rPr>
          <w:rFonts w:ascii="arial" w:eastAsia="arial" w:hAnsi="arial" w:cs="arial"/>
          <w:color w:val="000000"/>
          <w:sz w:val="20"/>
          <w:lang w:val="en-US" w:eastAsia="en-US" w:bidi="ar-SA"/>
        </w:rPr>
        <w:t xml:space="preserve"> (SC), Shabbits J. found that the layout of the land and the history of road construction on and near the disputed properties was an important part of the factual matrix. Similar to the easement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Easements 148 and 149 were created to govern properties that were intended to be subdivided and developed. It does not matter whether the contemplated development was likely or whether it may face regulatory impediments. Those conditions can change. What is important here is the intention or objective of the parties who executed the easements. In these circumstances, the circumstances that existed at the time of their creation are relevant to determining the intended meaning of the easements.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Finally, even if a certain right is not expressly granted to the dominant tenement in an easement agreement, the dominant tenement may be entitled to exercise that right if it is reasonably necessary to use or enjoy the easement. This concept of ancillary rights was discussed in </w:t>
      </w:r>
      <w:r>
        <w:rPr>
          <w:rFonts w:ascii="arial" w:eastAsia="arial" w:hAnsi="arial" w:cs="arial"/>
          <w:i/>
          <w:color w:val="000000"/>
          <w:sz w:val="20"/>
          <w:lang w:val="en-US" w:eastAsia="en-US" w:bidi="ar-SA"/>
        </w:rPr>
        <w:t>Fallowfield v. Bourgault</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(2003), 180 O.A.C 101</w:t>
        </w:r>
      </w:hyperlink>
      <w:r>
        <w:rPr>
          <w:rFonts w:ascii="arial" w:eastAsia="arial" w:hAnsi="arial" w:cs="arial"/>
          <w:color w:val="000000"/>
          <w:sz w:val="20"/>
          <w:lang w:val="en-US" w:eastAsia="en-US" w:bidi="ar-SA"/>
        </w:rPr>
        <w:t>. The Ontario Court of Appeal upheld an order requiring the defendants to remove a fence that restricted the plaintiff's use of an easement to a shared maintenance area. In the course of its decision, the court provided a review of the doctrine of ancillary rights in relation to easements, including the following comments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interpreting the meaning and intent of an express easement, the concept of ancillary rights arises. The grant of an express easement includes such ancillary rights as are reasonably necessary to use or enjoy the easement. However, to imply a right ancillary to that which is expressly granted in the easement, the right must be necessary for the use or enjoyment of the easement, not just convenient or even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would summarize the law applicable to the interpretation of the easements as follows:</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easement is valid if it has the easement characteristics referred to in </w:t>
      </w:r>
      <w:r>
        <w:rPr>
          <w:rFonts w:ascii="arial" w:eastAsia="arial" w:hAnsi="arial" w:cs="arial"/>
          <w:i/>
          <w:color w:val="000000"/>
          <w:sz w:val="20"/>
          <w:lang w:val="en-US" w:eastAsia="en-US" w:bidi="ar-SA"/>
        </w:rPr>
        <w:t>Ellenborough Park</w:t>
      </w:r>
      <w:r>
        <w:rPr>
          <w:rFonts w:ascii="arial" w:eastAsia="arial" w:hAnsi="arial" w:cs="arial"/>
          <w:color w:val="000000"/>
          <w:sz w:val="20"/>
          <w:lang w:val="en-US" w:eastAsia="en-US" w:bidi="ar-SA"/>
        </w:rPr>
        <w:t xml:space="preserve"> as modified in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there must be a dominant and a servient tenement, the easement must accommodate the dominant tenement, and the rights granted must be capable of forming the subject of an easement.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easement prevents the servient tenement from exercising occupation or possession over the easement area to such an extent that it is incompatible with the existence of an easement, the easement is invalid (</w:t>
      </w:r>
      <w:r>
        <w:rPr>
          <w:rFonts w:ascii="arial" w:eastAsia="arial" w:hAnsi="arial" w:cs="arial"/>
          <w:i/>
          <w:color w:val="000000"/>
          <w:sz w:val="20"/>
          <w:lang w:val="en-US" w:eastAsia="en-US" w:bidi="ar-SA"/>
        </w:rPr>
        <w:t>Shelf Holdings Ltd. v. Husky Oil Operations Ltd.</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(1989) 56 D.L.R. (4th) 193</w:t>
        </w:r>
      </w:hyperlink>
      <w:r>
        <w:rPr>
          <w:rFonts w:ascii="arial" w:eastAsia="arial" w:hAnsi="arial" w:cs="arial"/>
          <w:color w:val="000000"/>
          <w:sz w:val="20"/>
          <w:lang w:val="en-US" w:eastAsia="en-US" w:bidi="ar-SA"/>
        </w:rPr>
        <w:t xml:space="preserve"> (A.B.C.A.)). The determination of whether the grant is incompatible with an easement should be governed by the document conceding the grant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determine what the parties intended by the language of the easement agreement, viewed objectively, in the circumstances in which the agreement was made (</w:t>
      </w:r>
      <w:r>
        <w:rPr>
          <w:rFonts w:ascii="arial" w:eastAsia="arial" w:hAnsi="arial" w:cs="arial"/>
          <w:i/>
          <w:color w:val="000000"/>
          <w:sz w:val="20"/>
          <w:lang w:val="en-US" w:eastAsia="en-US" w:bidi="ar-SA"/>
        </w:rPr>
        <w:t>Burke v. Kroeker,</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2004 BCSC 27</w:t>
        </w:r>
      </w:hyperlink>
      <w:r>
        <w:rPr>
          <w:rFonts w:ascii="arial" w:eastAsia="arial" w:hAnsi="arial" w:cs="arial"/>
          <w:color w:val="000000"/>
          <w:sz w:val="20"/>
          <w:lang w:val="en-US" w:eastAsia="en-US" w:bidi="ar-SA"/>
        </w:rPr>
        <w:t>). As with any other legal document, the words of the document conceding the grant must be interpreted in light of the whole document and the intention of the parties expressed therein (</w:t>
      </w:r>
      <w:r>
        <w:rPr>
          <w:rFonts w:ascii="arial" w:eastAsia="arial" w:hAnsi="arial" w:cs="arial"/>
          <w:i/>
          <w:color w:val="000000"/>
          <w:sz w:val="20"/>
          <w:lang w:val="en-US" w:eastAsia="en-US" w:bidi="ar-SA"/>
        </w:rPr>
        <w:t>Group Eight Investments Ltd.</w:t>
      </w: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to consider any extrinsic evidence if the document is clear and unambiguous on its face (</w:t>
      </w:r>
      <w:r>
        <w:rPr>
          <w:rFonts w:ascii="arial" w:eastAsia="arial" w:hAnsi="arial" w:cs="arial"/>
          <w:i/>
          <w:color w:val="000000"/>
          <w:sz w:val="20"/>
          <w:lang w:val="en-US" w:eastAsia="en-US" w:bidi="ar-SA"/>
        </w:rPr>
        <w:t>Eli Lilly</w:t>
      </w:r>
      <w:r>
        <w:rPr>
          <w:rFonts w:ascii="arial" w:eastAsia="arial" w:hAnsi="arial" w:cs="arial"/>
          <w:color w:val="000000"/>
          <w:sz w:val="20"/>
          <w:lang w:val="en-US" w:eastAsia="en-US" w:bidi="ar-SA"/>
        </w:rPr>
        <w:t>). However, if there is an ambiguity, the court may have regard to the surrounding circumstances when the document was made (</w:t>
      </w:r>
      <w:r>
        <w:rPr>
          <w:rFonts w:ascii="arial" w:eastAsia="arial" w:hAnsi="arial" w:cs="arial"/>
          <w:i/>
          <w:color w:val="000000"/>
          <w:sz w:val="20"/>
          <w:lang w:val="en-US" w:eastAsia="en-US" w:bidi="ar-SA"/>
        </w:rPr>
        <w:t>Sherbinin</w:t>
      </w: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elements of the factual matrix that will help to construe an easement will vary based on the specific case at bar. In certain cases this could involve testimony from the parties (</w:t>
      </w:r>
      <w:r>
        <w:rPr>
          <w:rFonts w:ascii="arial" w:eastAsia="arial" w:hAnsi="arial" w:cs="arial"/>
          <w:i/>
          <w:color w:val="000000"/>
          <w:sz w:val="20"/>
          <w:lang w:val="en-US" w:eastAsia="en-US" w:bidi="ar-SA"/>
        </w:rPr>
        <w:t>Wong v. Rashidi,</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2011 BCCA 489</w:t>
        </w:r>
      </w:hyperlink>
      <w:r>
        <w:rPr>
          <w:rFonts w:ascii="arial" w:eastAsia="arial" w:hAnsi="arial" w:cs="arial"/>
          <w:color w:val="000000"/>
          <w:sz w:val="20"/>
          <w:lang w:val="en-US" w:eastAsia="en-US" w:bidi="ar-SA"/>
        </w:rPr>
        <w:t>) and in other cases it could involve the physical layout of the land and its historic uses (</w:t>
      </w:r>
      <w:r>
        <w:rPr>
          <w:rFonts w:ascii="arial" w:eastAsia="arial" w:hAnsi="arial" w:cs="arial"/>
          <w:i/>
          <w:color w:val="000000"/>
          <w:sz w:val="20"/>
          <w:lang w:val="en-US" w:eastAsia="en-US" w:bidi="ar-SA"/>
        </w:rPr>
        <w:t>Laurie</w:t>
      </w:r>
      <w:r>
        <w:rPr>
          <w:rFonts w:ascii="arial" w:eastAsia="arial" w:hAnsi="arial" w:cs="arial"/>
          <w:color w:val="000000"/>
          <w:sz w:val="20"/>
          <w:lang w:val="en-US" w:eastAsia="en-US" w:bidi="ar-SA"/>
        </w:rPr>
        <w:t>). However, this analysis should be limited to the circumstances that existed at the time of the easement's creation.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grant of an express easement includes such ancillary rights as are reasonably necessary to use or enjoy the easement (</w:t>
      </w:r>
      <w:r>
        <w:rPr>
          <w:rFonts w:ascii="arial" w:eastAsia="arial" w:hAnsi="arial" w:cs="arial"/>
          <w:i/>
          <w:color w:val="000000"/>
          <w:sz w:val="20"/>
          <w:lang w:val="en-US" w:eastAsia="en-US" w:bidi="ar-SA"/>
        </w:rPr>
        <w:t>Fallowfield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accordance with these principles of interpretation, the necessary and logical starting point is to look to the language of the document itself. Clause 3.1 allows for excavation of the surface for the construction and maintenance of a roadway but it contains a limitation that "...the transferee must, within a reasonable time after making these excavations, fill in all these excavations and restore the surface of Parcel "B" and parcel "D" as nearly as may be practicable under the circumstances, to the condition in which it was found before the start of these excavations." This specific requirement that the dominant tenement perform remedial work for its excavations should be read along with clause 9.3, which, for convenience, is provided again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The exercise of the rights and use granted and permitted herein specifically include the following uses: alter, construct, dig, enter, improve, inspect, install (including install underground), maintain, operate, place, reconstruct, regulate, remove, repair, survey; together with all other works necessary, useful or incident to the above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view, clause 9.3 clarifies the rights that are provided by clause 3.1. The "rights and use granted and permitted herein" includes the road construction work permitted by clause 3.1(a), and clause 9.3 clarifies that certain ancillary rights that may be necessary or useful to complete the road construction work are also granted under the easement, such as the right to dig and alter the terrain. However, this general grant does not have any language indicating an intention to overrule clause 3.1(i), which requires remedial work in the specific circumstance that Parcel D is excavated. It is my view that to the extent that clause 9.3 and clause 3.1(i) are interrelated, clause 9.3 is general and is constrained by 3.1(i) which is specific regarding the scope of permissible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defendants argued that clause 9.3 effectively removes any constraint that may arise from clause 3(1)(i) and the use of words such as "construct" and "place" extend to the terms of clause 3(1)(i). If that argument were to succeed, it would essentially render clause 3(1)(i) meaningless. Words in a contract are presumed to have meaning, and the court should strive to give meaning to the agreement and reject an interpretation that would render one of its terms ineffective: see </w:t>
      </w:r>
      <w:r>
        <w:rPr>
          <w:rFonts w:ascii="arial" w:eastAsia="arial" w:hAnsi="arial" w:cs="arial"/>
          <w:i/>
          <w:color w:val="000000"/>
          <w:sz w:val="20"/>
          <w:lang w:val="en-US" w:eastAsia="en-US" w:bidi="ar-SA"/>
        </w:rPr>
        <w:t>Hanna Collision Repair (1984) Ltd. v. Insurance Corp. of British Columbia</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2009 BCSC 1200</w:t>
        </w:r>
      </w:hyperlink>
      <w:r>
        <w:rPr>
          <w:rFonts w:ascii="arial" w:eastAsia="arial" w:hAnsi="arial" w:cs="arial"/>
          <w:color w:val="000000"/>
          <w:sz w:val="20"/>
          <w:lang w:val="en-US" w:eastAsia="en-US" w:bidi="ar-SA"/>
        </w:rPr>
        <w:t xml:space="preserve"> at para. 17). This principle applies in these circumstances. An interpretation that rendered clause 3(1)(i) meaningless would not be supported by the language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Since there may be some ambiguity in the scope of the grant, it is appropriate to consider the circumstances in existence at the time that the easement was created. Looking at Easement 149 in the context of this factual matrix supports the above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is no direct evidence of the original parties' intentions or objectives but inferences can be drawn from the wording of the easements and the circumstances that existed at the time they were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At that time Lot 4 did not exist. The dominant tenement at the time of registration was Lot 23 from which lot 4 was later subdivided. It is apparent from the existence of clause 3.2 that the parties to Easement 149 had in mind possible future development of at least Lot 23. There is no indication that their focus was on providing a driveway which maximized its elevation gain within Parcel D or that such a goal was even considered. In fact, since no residence existed on the property at the time when the easements were created, there is nothing to show that the principle concern was a driveway for a potential residence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is not clear that elevation of the road on Parcel D would assist any possible development of Lot 23 as it was or Lot 4. It may even serve as an impediment. There is simply no evidence on that point. However, I note that the creation of building lots on Lot 4 would likely include the lower westerly portion of Lot 4 and any road to such buildings would traverse Lot 1 on its lower natural elevation through Parcel D. It seems logical in these circumstances to infer that radically elevating the land on Parcel D could make it harder to access residences that might be built on the westerly areas of Lot 4 which would be at a lower elevation.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Similarly, the southern boundary of the larger Lot 23 connected to both Sutton Road and another road further to the west called Cunningham Road. When Lot 4 was created the panhandle referred to above ensured that Lot 4 retained a connection to Sutton Road. Therefore, if any residence was to be built on the elevated portion of the property, it is not clear that a road from Parcel D would be the best path to use to reach that residence. Depending on the development, it might be significantly more efficient to construct a separate road that uses Sutton Road as the point of access and travels along the panhandle.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have also noted that the wording in clauses 2.1 and 2.2 purports to grant the servient tenement rights "in common" with the dominant tenement. The submissions of counsel spent some time on the use of the language "in common" in these clauses. In my view that debate is answered by reference to the concept in the authorities of an "excessive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path of reasoning relied upon by the plaintiff appears to be that the in common language means that the servient tenement is granted the same rights as the dominant tenement. Therefore it acquires the right to have the road on Parcel D dedicated to support development of Lot 1. A corollary of that assertion is that any road construction must be to public road standards and cannot be elevated.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 fundamental flaw in this reasoning is that a servient tenement cannot grant itself rights with an easement. Further, clause 3.2 of Easement 149, if it is valid, is very specific that right can only be invoked for the purpose of the subdivision of Lot 4. On its face, a plain meaning reading of clause 3.2 does not support the plaintiff's interpretation of Easement 149.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addition, none of the authorities in my view support the plaintiff's interpretation. In particular, I find that the easement cases concerning "ancillary rights" and "excessive user" do not assist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As mentioned above, the grant of an express easement includes such ancillary rights as are reasonably necessary to use or enjoy the easement. However, these ancillary rights must be necessary to enjoy the easement, not just convenient or even reasonable: see </w:t>
      </w:r>
      <w:r>
        <w:rPr>
          <w:rFonts w:ascii="arial" w:eastAsia="arial" w:hAnsi="arial" w:cs="arial"/>
          <w:i/>
          <w:color w:val="000000"/>
          <w:sz w:val="20"/>
          <w:lang w:val="en-US" w:eastAsia="en-US" w:bidi="ar-SA"/>
        </w:rPr>
        <w:t>Fallowfield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There is no evidence that elevation of the driveway was necessary to the road construction at issue. Mr. Holt said in cross-examination that the road on Parcel D could have been built at its original elevation to provide access to his property. He made it clear that he felt he was not constrained in any way to build at a certain height and that he could build it up as much as he wanted. During these proceedings, Mr. Holt gave no explanation to show that any particular elevation change was necessary. This accords with the technical information provided by Onsite Engineering Ltd. and EBA Engineering, neither of which provided any evidence that a certain height was necessary to provide access to Mr. Holt's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This also accords with the circumstances that existed prior to the road construction. The roads in existence before Mr. Holt's construction of the road at issue included one road running across Parcel D to the lower portion of Lot 4, and another road running east of Parcel D through Lot 1 to the elevated portion of Lot 4. Aerial photographs taken in 2000, 2003 and 2007 show that various configurations of roads provided access to the upper and power portions of Lot 4. No evidence was presented to show that the road built by Mr. Holt was the only reasonable way to gain access to that part of Lot 4. No mention was made in the evidence of the access to Lot 4 from the northern terminus of Sutton Road and why it could not be used for a driveway to the upper bench on Lot 4 or even for future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is difficult to convey the magnitude of the construction in the context of this decision without the aid of the photographic evidence. The effect of it is to isolate the western lower portion of the plaintiff's property from the remainder of the property and place it at the base of a steep, dirt embankment. The survey evidence shows that the height of the slope created by the work at the northern boundary of Lot 1 is just in excess of 20 meters. In the geotechnical report of the plaintiff's expert the fill material vertical depth was measured as being between 4.8 m (16 ft) and 6.1 m (20ft).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This analysis is also relevant to the authorities concerning "excessive user" when used in the interpretation of easements. This part of the interpretation of an easement deals with the limits of a permissible use and introduces reasonableness to the analysis. When considering the reasonableness of the defendants' road construction work, it should be borne in mind that although the construction does not prevent the plaintiff from accessing Parcel D, it does significantly alter Lot 1 despite the owner's objections. It was also construction work that, as discussed above, was not proven to be necessary to use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Use of an easement that amounts to an "excessive user" was discussed in </w:t>
      </w:r>
      <w:r>
        <w:rPr>
          <w:rFonts w:ascii="arial" w:eastAsia="arial" w:hAnsi="arial" w:cs="arial"/>
          <w:i/>
          <w:color w:val="000000"/>
          <w:sz w:val="20"/>
          <w:lang w:val="en-US" w:eastAsia="en-US" w:bidi="ar-SA"/>
        </w:rPr>
        <w:t>Brundrett v. Muckle</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(1997), 72 A.C.W.S. (3d) 596</w:t>
        </w:r>
      </w:hyperlink>
      <w:r>
        <w:rPr>
          <w:rFonts w:ascii="arial" w:eastAsia="arial" w:hAnsi="arial" w:cs="arial"/>
          <w:color w:val="000000"/>
          <w:sz w:val="20"/>
          <w:lang w:val="en-US" w:eastAsia="en-US" w:bidi="ar-SA"/>
        </w:rPr>
        <w:t xml:space="preserve"> (B.C.C.A.). Similar to the case at bar, the easement in </w:t>
      </w:r>
      <w:r>
        <w:rPr>
          <w:rFonts w:ascii="arial" w:eastAsia="arial" w:hAnsi="arial" w:cs="arial"/>
          <w:i/>
          <w:color w:val="000000"/>
          <w:sz w:val="20"/>
          <w:lang w:val="en-US" w:eastAsia="en-US" w:bidi="ar-SA"/>
        </w:rPr>
        <w:t>Brundrett</w:t>
      </w:r>
      <w:r>
        <w:rPr>
          <w:rFonts w:ascii="arial" w:eastAsia="arial" w:hAnsi="arial" w:cs="arial"/>
          <w:color w:val="000000"/>
          <w:sz w:val="20"/>
          <w:lang w:val="en-US" w:eastAsia="en-US" w:bidi="ar-SA"/>
        </w:rPr>
        <w:t xml:space="preserve"> granted the dominant tenement an easement over specified lands "in common with the owners". The plaintiff servient owner applied for an injunction requiring the defendant dominant tenement to remove a constructed driveway built on property subject to an easement, and to cease parking on the easement area. The application was dismissed and the plaintiff appealed. Justice Southin allowed the appeal in part, stating:</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Here the issue is whether the words "right to cross over the Easement area to and from the dominant lands and Brookridge Drive" upon their true construction carry with them the right to build this particular concrete and blacktop area and use it for parking. The question is one of construction in light of the circumstances at the time of the grant.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 difficulty in saying that the grant, in these words, does not carry with it a right of parking. A right to cross over may carry with it the right to tarry for a brief moment or two, but no more. Does it, then, carry with it the right to build what was built? To call it a driveway is to beg the issue, which is whether, under a right to cross over, the respondents could install a hard surface of the dimensions of this hard surface. In my opinion, there is much to be said for the proposition that their doing so is an excessive user. At present, however, I am not minded to say that the relief sought of a mandatory injunction should be granted.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allow the appeal and grant the appellants an injunction restraining the respondents from parking vehicles or permitting vehicles to be parked on the easement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As can be seen from the excerpt above, even when the grant is valid but not specific about what may be constructed, there is still the requirement that any construction be reasonable and not amount to an "excessive user". This is a logical corollary from the principle that a valid easement cannot grant exclusive use of the land or be incompatible with the continued property rights of the servient owner. A classic statement of the principle of excessive user is found in </w:t>
      </w:r>
      <w:r>
        <w:rPr>
          <w:rFonts w:ascii="arial" w:eastAsia="arial" w:hAnsi="arial" w:cs="arial"/>
          <w:i/>
          <w:color w:val="000000"/>
          <w:sz w:val="20"/>
          <w:lang w:val="en-US" w:eastAsia="en-US" w:bidi="ar-SA"/>
        </w:rPr>
        <w:t>Stephens v. Gordon</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(1893), 22 S.C.R. 61</w:t>
        </w:r>
      </w:hyperlink>
      <w:r>
        <w:rPr>
          <w:rFonts w:ascii="arial" w:eastAsia="arial" w:hAnsi="arial" w:cs="arial"/>
          <w:color w:val="000000"/>
          <w:sz w:val="20"/>
          <w:lang w:val="en-US" w:eastAsia="en-US" w:bidi="ar-SA"/>
        </w:rPr>
        <w:t>, where Sedgewick J. stated at p.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 of the cases I think is this, that where no way is specified in the instrument of grant the grantor may assign a way, but that way must be a reasonable one -- a way that will enable the grantee to enjoy, in a reasonable manner, the thing granted. If the grantor does not assign a way, or if he assigns a way that is unreasonable, the grantee may select a way, a way that is "most direct and convenient," for himself, but one, the use of which will not unreasonably interfere with the grantor in the enjoyment of his rights upon the servient tenement. And, finally, questions of this character are not questions of law, but of fact, to be determined by the jury upon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Even in cases where the particular words of the easement agreement state that the grantee will have "full, free and uninterrupted right" to the land, this does not mean that rights of the grantee must take precedence over the rights of the grantor (</w:t>
      </w:r>
      <w:r>
        <w:rPr>
          <w:rFonts w:ascii="arial" w:eastAsia="arial" w:hAnsi="arial" w:cs="arial"/>
          <w:i/>
          <w:color w:val="000000"/>
          <w:sz w:val="20"/>
          <w:lang w:val="en-US" w:eastAsia="en-US" w:bidi="ar-SA"/>
        </w:rPr>
        <w:t>Gardiner v. Robinson</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2006 BCSC 1014</w:t>
        </w:r>
      </w:hyperlink>
      <w:r>
        <w:rPr>
          <w:rFonts w:ascii="arial" w:eastAsia="arial" w:hAnsi="arial" w:cs="arial"/>
          <w:color w:val="000000"/>
          <w:sz w:val="20"/>
          <w:lang w:val="en-US" w:eastAsia="en-US" w:bidi="ar-SA"/>
        </w:rPr>
        <w:t xml:space="preserve"> at para. 22). As stated by Justice Southin in </w:t>
      </w:r>
      <w:r>
        <w:rPr>
          <w:rFonts w:ascii="arial" w:eastAsia="arial" w:hAnsi="arial" w:cs="arial"/>
          <w:i/>
          <w:color w:val="000000"/>
          <w:sz w:val="20"/>
          <w:lang w:val="en-US" w:eastAsia="en-US" w:bidi="ar-SA"/>
        </w:rPr>
        <w:t>Granfield v. Cowichan Valley (Regional District)</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(1996), 16 B.C.L.R. (3d) 382</w:t>
        </w:r>
      </w:hyperlink>
      <w:r>
        <w:rPr>
          <w:rFonts w:ascii="arial" w:eastAsia="arial" w:hAnsi="arial" w:cs="arial"/>
          <w:color w:val="000000"/>
          <w:sz w:val="20"/>
          <w:lang w:val="en-US" w:eastAsia="en-US" w:bidi="ar-SA"/>
        </w:rPr>
        <w:t xml:space="preserve"> (C.A.) at para. 37, one of the pillars of a judgment concerning easements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grantee of an easement has the right granted to him and no more. Thus, if on the servient tenement he does an act beyond his grant, he becomes, to the extent of that act, commonly called "excessive user", a trespasser.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46, she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type of user, which is within the words of the grant, will become excessive and, therefore, a trespass if it is of such an extent as to interfere substantially with the rights of others to pass and re-pass, which others include the owner of the servient tenement.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is nothing in Easement 149 that specifically addresses the prospect of elevating the road or changing the elevation of the ground for the purpose of constructing and maintaining the roadway. Clause 9.3 uses the words "alter", "place", "construct" and "improve", and read with clause 3.1 and in particular clause 3.1 paragraphs (a) and (i), the meaning is clear: a roadway can be built, the surface can be excavated for purposes of facilitating construction, and the surface should be restored as nearly as may be practicable in the circumstances after the construction is completed. Minor changes in elevation incidental to the excavation and road construction would certainly be permissible. It is not, however, permissible for the defendants to fundamentally change the character of Lot 1 without regard to that change, as Mr. Holt did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This interpretation is supported by reading these clauses alongside clause 6.3, which requires that the rights be exercised "in such a way and at such times to cause as little inconvenience and nuisance as possible". This provision was not at all complied with by the defendants. Both Mr. Holt's actions and the interpretation that the defence urges this Court to adopt are completely inconsistent with the limitation in clause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Finally, I also note that a public road dedication is contemplated in clause 3.2. However, this is a wholly separate provision. Even further, it is significant that this provision is totally silent on the issue of construction, and that it only requires the execution of plans and consents that will facilitate the eventual construction of a public road. I find that clause 3.2 is not intended to affect the right to construct a private road under clause 3(1)(a). Rather, clause 3.2 was setting out a wholly separate and distinct right to require assistance with the formalities necessary to have Parcel D become a dedicated public roadway. Therefore, clause 3.2 does not require the private road be built to a public road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my view the proper interpretation of Easement 149, based on the language in the document and considering the factual matrix, is that a change in elevation of the road beyond that which is incidental to and necessary to provide a suitable surface with any permissible services is not permitted. Easement 149 allows the construction of a road but at the time of completion the surface must be "as nearly as may be practicable under the circumstances" the same as it was before the start of the excavation.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For the sake of completeness, since this remedy is granted pursuant to the terms of the easement, it is the owner of the dominant tenement that is obligated to remedy the terrain. The defendants have argued that Tara Holt is not responsible for the road construction and that no claim against her should be granted.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Tara Holt is liable as a joint owner over the dominant tenement. This is a property law remedy for private nuisance. No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required to make out the tort of nuisance: see </w:t>
      </w:r>
      <w:r>
        <w:rPr>
          <w:rFonts w:ascii="arial" w:eastAsia="arial" w:hAnsi="arial" w:cs="arial"/>
          <w:i/>
          <w:color w:val="000000"/>
          <w:sz w:val="20"/>
          <w:lang w:val="en-US" w:eastAsia="en-US" w:bidi="ar-SA"/>
        </w:rPr>
        <w:t>Suzuki v. Munroe</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2009 BCSC 1403</w:t>
        </w:r>
      </w:hyperlink>
      <w:r>
        <w:rPr>
          <w:rFonts w:ascii="arial" w:eastAsia="arial" w:hAnsi="arial" w:cs="arial"/>
          <w:color w:val="000000"/>
          <w:sz w:val="20"/>
          <w:lang w:val="en-US" w:eastAsia="en-US" w:bidi="ar-SA"/>
        </w:rPr>
        <w:t xml:space="preserve"> at para. 40. Therefore the defendant Tara Holt is liable as a joint owner of Lot 4, which is in breach of Easement 149.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Were the Defendants Negligent in Their Construction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This issue is related to the state of the road as built. Given my findings as to the proper interpretation of Easement 149 there is no need to deal with this at length. The remedies the plaintiff is entitled to as a result of the interpretation of the easement will resolve the quality of construction issues. Some comment is needed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To the extent that the road construction in its current form poses an unreasonable risk of future harm to the plaintiff, I am satisfied that the defendants have breached the standard of care owed to the plaintiff. However, the plaintiff has failed to show that he has suffered any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First I will discuss the standard of care. The defendants acknowledge there are deficiencies in the road in its present state. The parties' respective experts both articulate the specifics of those deficiencies but reach different conclusions. The differences in those opinions are primarily a result of the different standards against which the experts assessed the road built. I agree with the defendants that there is no requirement for the road to be built to public road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Again, clause 3.2 of Easement 149 is specific to the dominant tenement. The plaintiff's argument regarding the "in common" language is flawed. The servient tenement retains its property rights subject to the easement. This would allow the servient tenement to upgrade the road but it does not require the dominant tenement to do so merely because the servient tenement might desire such an upgrade.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Second, in terms of injury to the plaintiff, I am not satisfied that he has suffered any harm in this case. To the extent that there has been any damage to the plaintiff's property or interference with the plaintiff's use of that property, the proper claim is nuisance,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terms of injury to the plaintiff himself, there is no evidence of any such harm. The plaintiff is required to prove actual damage, not merely potential damage or risk of harm: see Linden and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9th ed. (Markham, Ontario: LexisNexis, 2011) at 116-117. The plaintiff has failed to prove any such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the Defendants Liable for Nuisance for Placing Excessive Amounts of Fill on Lot 1 and Constructing the Road at an Unreasonable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Englehart's nuisance claim is successful. I find that the excess fill on Parcel D and the adjacent fill slope substantially interferes with Mr. Englehart's enjoyment of his property, and that it poses a non-trivial risk of damage to his property through soil erosion, harm to vegetation, and potential landslide. I also find that Mr. Holt's placement of the fill and elevation of the road were unreasonable in the circumstances and not based on necessity. Mr. Holt stated in his testimony at trial that it would have been possible for him to have a serviceable driveway to Lot 4 without raising the road surface to the height at which it was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required to make out the tort of nuisance: see </w:t>
      </w:r>
      <w:r>
        <w:rPr>
          <w:rFonts w:ascii="arial" w:eastAsia="arial" w:hAnsi="arial" w:cs="arial"/>
          <w:i/>
          <w:color w:val="000000"/>
          <w:sz w:val="20"/>
          <w:lang w:val="en-US" w:eastAsia="en-US" w:bidi="ar-SA"/>
        </w:rPr>
        <w:t>Suzuki</w:t>
      </w:r>
      <w:r>
        <w:rPr>
          <w:rFonts w:ascii="arial" w:eastAsia="arial" w:hAnsi="arial" w:cs="arial"/>
          <w:color w:val="000000"/>
          <w:sz w:val="20"/>
          <w:lang w:val="en-US" w:eastAsia="en-US" w:bidi="ar-SA"/>
        </w:rPr>
        <w:t xml:space="preserve"> at para. 40. The mere fact that the defendants have substantially interfered with Mr. Englehart's use and enjoyment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these circumstances, it is not appropriate to order the defendants to pay damages for the nuisance. The reconstruction and remedial work that will be done to make the road comply with Easement 149 will provide a sufficient remedy in these circumstances. Although I have found that the defendants' actions are nontrivial and that they were a substantial interference with the plaintiff's use of Lot 1, the reconstruction and remedial work will involve significant efforts and will fully remedy the nuisance, so I do not find that a damage award for the interference to date or during the period of reconstruction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the Defendants Liable for Trespassing on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Where a defendant has placed an object on a plaintiff's property, the claims of nuisance and trespass may overlap to some extent: see </w:t>
      </w:r>
      <w:r>
        <w:rPr>
          <w:rFonts w:ascii="arial" w:eastAsia="arial" w:hAnsi="arial" w:cs="arial"/>
          <w:i/>
          <w:color w:val="000000"/>
          <w:sz w:val="20"/>
          <w:lang w:val="en-US" w:eastAsia="en-US" w:bidi="ar-SA"/>
        </w:rPr>
        <w:t>K &amp; L Land Partnership v. Canada (Attorney General),</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2014 BCSC 1701</w:t>
        </w:r>
      </w:hyperlink>
      <w:r>
        <w:rPr>
          <w:rFonts w:ascii="arial" w:eastAsia="arial" w:hAnsi="arial" w:cs="arial"/>
          <w:color w:val="000000"/>
          <w:sz w:val="20"/>
          <w:lang w:val="en-US" w:eastAsia="en-US" w:bidi="ar-SA"/>
        </w:rPr>
        <w:t xml:space="preserve"> at para. 47 and see generally </w:t>
      </w:r>
      <w:r>
        <w:rPr>
          <w:rFonts w:ascii="arial" w:eastAsia="arial" w:hAnsi="arial" w:cs="arial"/>
          <w:i/>
          <w:color w:val="000000"/>
          <w:sz w:val="20"/>
          <w:lang w:val="en-US" w:eastAsia="en-US" w:bidi="ar-SA"/>
        </w:rPr>
        <w:t>Moyer v. Mortensen</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2010 BCSC 1528</w:t>
        </w:r>
      </w:hyperlink>
      <w:r>
        <w:rPr>
          <w:rFonts w:ascii="arial" w:eastAsia="arial" w:hAnsi="arial" w:cs="arial"/>
          <w:color w:val="000000"/>
          <w:sz w:val="20"/>
          <w:lang w:val="en-US" w:eastAsia="en-US" w:bidi="ar-SA"/>
        </w:rPr>
        <w:t>. For the same reasons that apply in my discussion of nuisance, I find that Mr. Englehart's claim of trespass is made out but that the appropriate remedy is the remediation of the 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Remaining Issues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Section 35 of the Property Law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plaintiff has applied for modification or cancellation of an easement under s. 35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For ease of reference, the relevant sections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35(1) A person interested in land may apply to the Supreme Court for an order to modify or cancel any of the following charges or interests against the land, whether registered before or after this section comes into force: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easement;</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 use contract;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statutory right of way;</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statutory building or statutory letting scheme;</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restrictive or other covenant burdening the land or the owner;</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to take the produce of or part of the soil;</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instrument by which minerals or timber or minerals and timber, being part of the land, are granted, transferred, reserved or excepted.</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make an order under subsection (1) on being satisfied that the application is not premature in the circumstances, and that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changes in the character of the land, the neighbourhood or other circumstances the court considers material, the registered charge or interest is obsolete,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 use of the land will be impeded, without practical benefit to others, if the registered charge or interest is not modified or cancelled,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who are or have been entitled to the benefit of the registered charge or interest have expressly or impliedly agreed to it being modified or cancelled,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modification or cancellation will not injure the person entitled to the benefit of the registered charge or interest, or</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registered instrument is invalid, unenforceable or has expired, and its registration should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Section 35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was not substantially argued at trial and I am not satisfied that any of the grounds for modifying or cancelling an easement set out in s. 35(2) apply to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Specifically, I find that s. 35(2)(c) does not apply for the same reasons that no oral contract was created. Although the express or implied agreement required by s. 35 does not need to amount to a contract, in this case there was no agreement between the parties that could be understood as creating legal obligations. No subjective or objective agreement was reached between the plaintiff and Mr. Holt during the September 2009 discussions or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decline to make any ruling regarding the application of s. 35(2)(e) to these circumstances. As discussed above, although clause 3.2 of Easement 149 may not be enforceable, this was not pled by either party and I decline to rule on this issue without submissions from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Proprietary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plaintiff has also claimed proprietary estoppel. The requirements for a claim of proprietary estoppel are well-established, and were recently summarized in </w:t>
      </w:r>
      <w:r>
        <w:rPr>
          <w:rFonts w:ascii="arial" w:eastAsia="arial" w:hAnsi="arial" w:cs="arial"/>
          <w:i/>
          <w:color w:val="000000"/>
          <w:sz w:val="20"/>
          <w:lang w:val="en-US" w:eastAsia="en-US" w:bidi="ar-SA"/>
        </w:rPr>
        <w:t>Sabey v. Rommel,</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2014 BCCA 360</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foundation of a claim in proprietary estoppel is an equitable right arising out of the conduct of the parties. In </w:t>
      </w:r>
      <w:r>
        <w:rPr>
          <w:rFonts w:ascii="arial" w:eastAsia="arial" w:hAnsi="arial" w:cs="arial"/>
          <w:i/>
          <w:color w:val="000000"/>
          <w:sz w:val="20"/>
          <w:lang w:val="en-US" w:eastAsia="en-US" w:bidi="ar-SA"/>
        </w:rPr>
        <w:t>Crabb v. Arun District Council</w:t>
      </w:r>
      <w:r>
        <w:rPr>
          <w:rFonts w:ascii="arial" w:eastAsia="arial" w:hAnsi="arial" w:cs="arial"/>
          <w:color w:val="000000"/>
          <w:sz w:val="20"/>
          <w:lang w:val="en-US" w:eastAsia="en-US" w:bidi="ar-SA"/>
        </w:rPr>
        <w:t>, reflex, [1976] Ch. 179 at 192-93, [1975] 3 All E.R. 865 (C.A.), Scarman L.J. stated the test in a claim for a proprietary right on the basis of equity:</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equity established?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extent of the equity?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relief appropriate to satisfy the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Again, this issue was not argued at length at trial, and it is not clear that a claim for proprietary estoppel has been made out. However, given the remedial work that has been ordered, no further remedy should be granted on the basis of estoppel. If any such claim had been successful then the appropriate relief would have been the restoration of the terrain, which would remedy the detriment suffered by the plaintiff. It would be inappropriate to grant the plaintiff compensation for the defendant's failure to improve the plaintiff's driveway. Such a remedy would put the plaintiff in a better position than where he began and would be disproportionate to the detriment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 did not raise any claim to estoppel, proprietary or otherwise, and it would be inappropriate to rule on the possibility of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Mark Holt and Tara Holt, as the owners of Lot 4 are responsible for remediation of Lot 1 so that any works remaining within Parcel D are in compliance with the interpretation of Easement 149 set out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area of Lot 1 outside of Parcel D is to be returned as nearly as practicable to its condition before the work that is the subject of this litigation. I specifically exclude the plaintiff's driveway from the scope of such remediation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parties are at liberty to apply for further directions as to any further or more specific terms regarding the obligations arising from this order. I am of course seized of any such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claims against Advanced Backhoe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Ferguson v. Shan, [2019] B.C.J. No. 843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M53303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843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740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Ferguson, Plaintiff, and Wen Shan and Feng Tang,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9" w:name="Keywords_28"/>
      <w:bookmarkEnd w:id="22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Motor vehicles — Liability of driver — Determination of liability for motor vehicle accident — Defendant was solely liable — Defendant turned left into path of plaintiff's southbound vehicle when visibility for both drivers was compromised by dense fog — Defendant could not see oncoming traffic due to dense fog, but turned anyway — Without warning, plaintiff saw defendant's truck appear in front of her and had very little time to react — Motor Vehicle Act, ss. 144,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0" w:name="Case Summary_23"/>
            <w:bookmarkEnd w:id="2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motor vehicle accident. The defendant turned left into the path of the plaintiff's southbound vehicle when visibility for both drivers was compromised by dense fog.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1" w:name="Holdings of Court_21"/>
            <w:bookmarkEnd w:id="231"/>
            <w:r>
              <w:rPr>
                <w:rFonts w:ascii="arial" w:eastAsia="arial" w:hAnsi="arial" w:cs="arial"/>
                <w:color w:val="000000"/>
                <w:sz w:val="20"/>
                <w:lang w:val="en-US" w:eastAsia="en-US" w:bidi="ar-SA"/>
              </w:rPr>
              <w:t>HELD: The defendant was solely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care for both parties was heightened due to the fog. The defendant, as the servient driver, had a duty to yield the right of way. He could not see oncoming traffic due to dense fog, but turned anyway. Stopping for "several seconds" before turning was not long enough. He would have known that this was a four-lane highway with a posted speed limit of 100 kilometers per hour and should have known that, at 1:00, there was likely to be southbound traffic. He could have rolled his window down to hear if any traffic noises were coming or waited longer for the visibility to improve. Without warning, the plaintiff saw the defendant's truck appear in front of her and had very little time to react. Her speed of 70 to 90 kilometers per hour was 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2" w:name="Legislation Cited_19"/>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68"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3"/>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M.G. Yawney, A. Edwards, D. Draht.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Yerema.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3"/>
      <w:bookmarkEnd w:id="234"/>
      <w:r>
        <w:pict>
          <v:line id="_x0000_s1183"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G.P. WEATHERILL J."/>
            <w:bookmarkEnd w:id="235"/>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the summary determination of the fault of two drivers involved in a collision at approximately 1:00 pm on December 7, 2014, on Highway 97, north of Clinton, BC, at the intersection of Big Bar Road. The application is brought pursuant to Rule 9-7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Briefly, the plaintiff, Deborah Ferguson, was driving her 2011 Kia Sorrento southbound on Highway 97 in foggy conditions when a northbound Ford F350 pickup truck owned by the defendant, Wen Shan, and driven by the defendant, Feng Tang, made a left-hand turn in front of her. Because of the foggy conditions, neither driver saw the other vehicle until it was too late to avoid the impact. The front of the plaintiff's vehicle hit the middle right side of the defendants'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say that the affidavit evidence before me, including portions of discovery transcripts of the parties, is all that is necessary to make a determination of liability. They say that based on that evidence, the plaintiff should be found 100% at fault or, alternatively, that this is a true "no-</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case and that neither driver should be faulted.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says that the liability issue is not suitable for summary determination because: firstly, the credibility of the defendants is in issue; secondly, it is inappropriate to sever the issues of liability and damages; and thirdly, because the timing of this application prevents her from tendering expert engineering evidence on the matter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support of their position that this matter is suitable for summary determination, the defendants rely on the well known cases of </w:t>
      </w:r>
      <w:r>
        <w:rPr>
          <w:rFonts w:ascii="arial" w:eastAsia="arial" w:hAnsi="arial" w:cs="arial"/>
          <w:i/>
          <w:color w:val="000000"/>
          <w:sz w:val="20"/>
          <w:lang w:val="en-US" w:eastAsia="en-US" w:bidi="ar-SA"/>
        </w:rPr>
        <w:t>Barkwill v. Parchomchuk</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2011 BCCA 207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Kemp v. Vancouver Coastal Health Authority</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2015 BCSC 1319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Brissette v. Cactus Club Cabaret Ltd.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2017 BCCA 200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Morin v. 0865580 B.C. Ltd.</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2014 BCSC 2110</w:t>
        </w:r>
      </w:hyperlink>
      <w:r>
        <w:rPr>
          <w:rFonts w:ascii="arial" w:eastAsia="arial" w:hAnsi="arial" w:cs="arial"/>
          <w:color w:val="000000"/>
          <w:sz w:val="20"/>
          <w:lang w:val="en-US" w:eastAsia="en-US" w:bidi="ar-SA"/>
        </w:rPr>
        <w:t>. These cases suggest that the use of summary trials should be encouraged where possible and that judges should not be timid in using summary trials to decide issues in appropriate cases. They also suggest that where the resolution of specific issues will promote the orderly use of court time or effective resolution of proceedings, summary disposition of those issues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While not disputing these principles, the plaintiff says that a full trial is required to properly determine the liability issue. In reference to the defendants' affidavit evidence, she says that credibility is an issue and that cross-examination is required. She also wishes to have the defendants cross-examined on a recently obtained accident reconstruction report whereby the expert apparently opines that the collision could not have occurred in the manner suggested by the defendants. Further, she argues, it would be improper to sever issues of liability and damages and to do so would amount to "litigating in slices": </w:t>
      </w:r>
      <w:r>
        <w:rPr>
          <w:rFonts w:ascii="arial" w:eastAsia="arial" w:hAnsi="arial" w:cs="arial"/>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aff'd </w:t>
      </w:r>
      <w:hyperlink r:id="rId775"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onus is on the plaintiff to demonstrate why the determination of liability is not suitable for summary trial: </w:t>
      </w:r>
      <w:r>
        <w:rPr>
          <w:rFonts w:ascii="arial" w:eastAsia="arial" w:hAnsi="arial" w:cs="arial"/>
          <w:i/>
          <w:color w:val="000000"/>
          <w:sz w:val="20"/>
          <w:lang w:val="en-US" w:eastAsia="en-US" w:bidi="ar-SA"/>
        </w:rPr>
        <w:t>Morin</w:t>
      </w:r>
      <w:r>
        <w:rPr>
          <w:rFonts w:ascii="arial" w:eastAsia="arial" w:hAnsi="arial" w:cs="arial"/>
          <w:color w:val="000000"/>
          <w:sz w:val="20"/>
          <w:lang w:val="en-US" w:eastAsia="en-US" w:bidi="ar-SA"/>
        </w:rPr>
        <w:t xml:space="preserve"> at para. 22. The suitability issue in this case depends on whether there is sufficient evidence to find the facts necessary to give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conclude that there is, indeed, sufficient evidence. The liability issue in this case is discrete. Put simply, this case is about exercising care and diligence while driving in foggy conditions. The parties agree that had it not been foggy at the time of the collision, the defendants would probably be found 100% liable. The disagreement only arises due to the poor visibility conditions on the day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satisfied that the liability issue can be determined on the evidence before me and that this matter is suitable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Engineering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obtained, filed and recently served two accident reconstruction engineering reports authored by Mr. James Bowler of MEA Forensics ("Bowler Reports"). However, in the interests of having the summary trial proceed without delay, they opted to argue the liability issue without relying on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response to being served with the Bowler Reports in January 2019, the plaintiff obtained an accident reconstruction engineering report authored by Mr. Gerald Sdoutz. She served it on the defence and sought to have it admitted into evidence on the summary trial ("Sdoutz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Concluding, as I do, that the issue of liability can be determined without the need for engineering evidence, I declined to allow the Sdoutz Report into evidence. As a result, the matter proceeded without either side's report(s) being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driving southbound on Highway 97 returning to the Salmon Arm area after attending her son's hockey tournament in Williams Lake. Her son, aged 16 at the time, was the front right-seat passenger. They stopped in 100 Mile House for lunch and continued their trip home. Fog began to affect driving conditions south of 100 Mile House. The foggy conditions varied from slight fog to dense fog. As conditions changed, the plaintiff adjusted her speed accordingly. She says she was driving carefully, partly because of the fog, and partly because she was teaching her 16-year-old son how to drive in poor visibility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speed limit was 100 km/h. Highway 97 south of 100 Mile House has four lanes of travel, two in each direction. The plaintiff's speed ranged from approximately 70 km/h to approximately 90-95 km/h depending on fogginess. She was travelling in the southbound right lane. Despite the fog, she felt comfortable with the speed she was driving. She gauged her speed to be roughly similar to the speed of traffic in the oncoming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the plaintiff and her son noted a number of other southbound vehicles passing them in the left southbound lane. Indeed one vehicle passed them just minutes before the collision. The plaintiff's son states that he could see that vehicle for some six car lengths in front of them before it disappeared into the fog ahead. The plaintiff states that, prior to the collision, she could see approximately 25 feet ahead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she approached the area where the collision occurred, the fog became denser. She reduced her speed accordingly. Out of nowhere, the defendants' truck appeared right in front of her and looked like it had stopped in her lane of travel. She had time to brake but little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son supported her version of events. He saw the defendants' truck cross into their lane of travel in the seconds before the collision. It was not moving very quickly. He had time to yell "what the hell is this guy doing?" He felt their vehicle brake hard and noted that the plaintiff's arm was across his chest.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Tang, Mr. Shan and another passenger were on a hunting trip. They took turns driving. At the time the collision, Mr. Tang had only been driving for about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They approached the T-intersection of Big Bar Road where Mr. Tang intended to turn left. He could see across Highway 97 and onto Big Bar Road for a short distance before his vision was obscured by dense fog. He entered the dedicated left turn lane. Mr. Tang says he stopped the truck for "several seconds" before initiating the turn. At that point, he could not see more than 20 to 30 feet in front of him. He could not see past the intersection into the southbound lanes of Highway 97. Nevertheless, he began to make the left-hand turn accelerating as he went. As he was passing the southbound right lane of the highway, the right side of the truck was struck by the front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asserts that she was the dominant driver and that Mr. Tang was the servient driver. Accordingly, she argues, Mr. Tang was required to yield the right of way, fog or no fog. She says Mr. Tang had no business turning left in front of her when he could not determine whether or not the turn could be made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support, she refers to the following cases and relies on the following principles:</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left turning driver fails to see an oncoming vehicle due to heavy fog, but nevertheless chooses to make the left-hand turn, there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due to failure to comply with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 v. McGinnis</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2015 BCSC 55</w:t>
        </w:r>
      </w:hyperlink>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visibility is reduced because of fog and a driver is driving too fast for the foggy conditions but can do nothing to avoid a collision, the driver who creates the danger resulting in a collision should be found at fault: </w:t>
      </w:r>
      <w:r>
        <w:rPr>
          <w:rFonts w:ascii="arial" w:eastAsia="arial" w:hAnsi="arial" w:cs="arial"/>
          <w:i/>
          <w:color w:val="000000"/>
          <w:sz w:val="20"/>
          <w:lang w:val="en-US" w:eastAsia="en-US" w:bidi="ar-SA"/>
        </w:rPr>
        <w:t>Lulua v. Lulua Estate</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[1998] B.C.J. No. 2226</w:t>
        </w:r>
      </w:hyperlink>
      <w:r>
        <w:rPr>
          <w:rFonts w:ascii="arial" w:eastAsia="arial" w:hAnsi="arial" w:cs="arial"/>
          <w:color w:val="000000"/>
          <w:sz w:val="20"/>
          <w:lang w:val="en-US" w:eastAsia="en-US" w:bidi="ar-SA"/>
        </w:rPr>
        <w:t xml:space="preserve"> (S.C.) at para. 21.</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driver who makes a left turn has an obligation not to proceed unless it can be done safely. Where a servient left turning driver fails to determine whether a turn can be made safely, that driver should be held 100% at fault for the collision that ensues: </w:t>
      </w:r>
      <w:r>
        <w:rPr>
          <w:rFonts w:ascii="arial" w:eastAsia="arial" w:hAnsi="arial" w:cs="arial"/>
          <w:i/>
          <w:color w:val="000000"/>
          <w:sz w:val="20"/>
          <w:lang w:val="en-US" w:eastAsia="en-US" w:bidi="ar-SA"/>
        </w:rPr>
        <w:t>Riley v. Ritsco</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2017 BCSC 925</w:t>
        </w:r>
      </w:hyperlink>
      <w:r>
        <w:rPr>
          <w:rFonts w:ascii="arial" w:eastAsia="arial" w:hAnsi="arial" w:cs="arial"/>
          <w:color w:val="000000"/>
          <w:sz w:val="20"/>
          <w:lang w:val="en-US" w:eastAsia="en-US" w:bidi="ar-SA"/>
        </w:rPr>
        <w:t xml:space="preserve"> at para. 51; </w:t>
      </w:r>
      <w:r>
        <w:rPr>
          <w:rFonts w:ascii="arial" w:eastAsia="arial" w:hAnsi="arial" w:cs="arial"/>
          <w:i/>
          <w:color w:val="000000"/>
          <w:sz w:val="20"/>
          <w:lang w:val="en-US" w:eastAsia="en-US" w:bidi="ar-SA"/>
        </w:rPr>
        <w:t>Pacheco (Guardian of) v. Robinson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at para. 15.</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significant burden on a servient driver who attempts to cast blame on a dominant driver where that dominant driver is an immediate hazard. The decision of Cartwright J. in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become aware, of A's disregard of the law B had in fact a sufficient opportunity to avoid the accident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facts in this case, the plaintiff submits that she was driving prudently and at a speed that was comfortable for her. She states that the defendant turned immediately in front of her when it was unsafe to do so and that she had no opportunity to avoid the collision. Accordingly, she says, Mr. Tang should be held 100% at fault for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say that Mr. Tang cannot be faulted for turning left across Highway 97 because there was nothing else he could reasonably have done. In other words, given the fog, it was reasonable for Mr. Tang, having stopped for "several seconds" and having assessed that he could not see any vehicles approaching, to have initiated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They say that either plaintiff should be found 100% responsible for the collision (because she was overdriving her visibility and robbed herself of the chance to take evasive action) or that there should be no fault attributed to either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argue that the duties imposed by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must yield to the reasonable person standard. In their submissions, stopping for a few seconds before turning left is what any normal driver would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Quoting from A.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7th ed. (Markham: Butterworths, 2001) at 131-132, they assert that the "reasonable person" is not perfect and is not a "seer" or a "paragon of circumspection". He or she is not a "person of infinite resource-and-sagacity" and is not someone with the "prophetic vision of a clairvoyant". The reasonable person is not required to "exercise the best possible judgment in an emergency" nor to avoid all possible risks. Instead, a reasonable person must act in accordance with "normality and practicality" rather than "judicial technicality or diversity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With reference to </w:t>
      </w:r>
      <w:r>
        <w:rPr>
          <w:rFonts w:ascii="arial" w:eastAsia="arial" w:hAnsi="arial" w:cs="arial"/>
          <w:i/>
          <w:color w:val="000000"/>
          <w:sz w:val="20"/>
          <w:lang w:val="en-US" w:eastAsia="en-US" w:bidi="ar-SA"/>
        </w:rPr>
        <w:t>CIVJI: Civil Jury Instructions</w:t>
      </w:r>
      <w:r>
        <w:rPr>
          <w:rFonts w:ascii="arial" w:eastAsia="arial" w:hAnsi="arial" w:cs="arial"/>
          <w:color w:val="000000"/>
          <w:sz w:val="20"/>
          <w:lang w:val="en-US" w:eastAsia="en-US" w:bidi="ar-SA"/>
        </w:rPr>
        <w:t xml:space="preserve">, 2nd ed. (Vancouver: Continuing Legal Education Society of British Columbia, 2009), which cites </w:t>
      </w:r>
      <w:r>
        <w:rPr>
          <w:rFonts w:ascii="arial" w:eastAsia="arial" w:hAnsi="arial" w:cs="arial"/>
          <w:i/>
          <w:color w:val="000000"/>
          <w:sz w:val="20"/>
          <w:lang w:val="en-US" w:eastAsia="en-US" w:bidi="ar-SA"/>
        </w:rPr>
        <w:t>Arland and Arland v. Taylor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[1955] O.R. 131</w:t>
      </w:r>
      <w:r>
        <w:rPr>
          <w:rFonts w:ascii="arial" w:eastAsia="arial" w:hAnsi="arial" w:cs="arial"/>
          <w:color w:val="000000"/>
          <w:sz w:val="20"/>
          <w:lang w:val="en-US" w:eastAsia="en-US" w:bidi="ar-SA"/>
        </w:rPr>
        <w:t xml:space="preserve"> at 142 (C.A.) for this proposition, the defendants also argue that a reasonable person is not an extraordinary or unusual creature or superhuman that is required to display the highest skill of which anyone is capable. The reasonable person is not a genius who can perform uncommon feats, nor is he or she possessed of unusual powers of foresight. The reasonable person is someone of normal intelligence who is prudent and whose conduct is guided by considerations which ordinarily regulate the conduct of human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support, the defendants refer to a number of authorities, many of which simply restate the unremarkable proposition that a driver, whether driving at night or in fog, is required to drive safely within the limits of his visibility and keep a reasonable lookout and drive within the limits of their ability in order to control their vehicle: </w:t>
      </w:r>
      <w:r>
        <w:rPr>
          <w:rFonts w:ascii="arial" w:eastAsia="arial" w:hAnsi="arial" w:cs="arial"/>
          <w:i/>
          <w:color w:val="000000"/>
          <w:sz w:val="20"/>
          <w:lang w:val="en-US" w:eastAsia="en-US" w:bidi="ar-SA"/>
        </w:rPr>
        <w:t>Scott v. Brown</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2014 BCCA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Ristow v. Wetstein (Next Friend of)</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[1934] S.C.R. 128</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Brown v. Walton</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[1943] B.C.J. No. 77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McDermid v. Bowen (No. 3)</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[1938] B.C.J. No. 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MacGill v. Holmes</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[1927] B.C.J. No. 11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Tang negligent for turning left on Highway 97 when he could not see further than 25-30 feet into the oncoming lanes of travel?</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negligent for driving too fast given the foggy road conditions?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Legislation and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Before adjudicating the liability issue, it is necessary to consider the legislated and common law duties of both a left turning and a through driver. Unsurprisingly, there have been countless cases dealing with collisions involving left turning vehicles. Interestingly, there is a dearth of cases involving drivers turning left in foggy conditions where they cannot see whether other vehicles are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statutory obligation imposed on a driver intending to turn left across oncoming lanes of traffic is set out in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obligation of all drivers is to drive at a speed relative to the weather and road conditions. Section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An approaching vehicle is an "immediate hazard" when it is so close to the intersection that a collision is threatened (absent some violent or sudden avoiding action on the part of the approaching car) when the driver attempts to make a left turn: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(C.A.)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Before initiating a turn, therefore, a left turning driver must consider and determine whether there is a vehicle in any approaching lane that constitutes an immediate hazard. If there is, the turn should not be made. If there is not, then the turn can be made, provided care is taken throughout the turn to ensure the situation has not changed since initiating the turn: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at 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An oncoming driver has a duty to drive safely within the limits of visibility and his or her ability to control the vehicle: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at para. 22. The mere act of driving in the fog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provided it is at a speed consistent with the limits of visibility and the control of the car: </w:t>
      </w:r>
      <w:r>
        <w:rPr>
          <w:rFonts w:ascii="arial" w:eastAsia="arial" w:hAnsi="arial" w:cs="arial"/>
          <w:i/>
          <w:color w:val="000000"/>
          <w:sz w:val="20"/>
          <w:lang w:val="en-US" w:eastAsia="en-US" w:bidi="ar-SA"/>
        </w:rPr>
        <w:t>McDermid</w:t>
      </w:r>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Unless the contrary becomes apparent, a driver is entitled to assume that other drivers will obey the rules and is permitted to rely on that assumption in deciding whether or not an oncoming vehicle constitutes an immediate hazard: </w:t>
      </w:r>
      <w:r>
        <w:rPr>
          <w:rFonts w:ascii="arial" w:eastAsia="arial" w:hAnsi="arial" w:cs="arial"/>
          <w:i/>
          <w:color w:val="000000"/>
          <w:sz w:val="20"/>
          <w:lang w:val="en-US" w:eastAsia="en-US" w:bidi="ar-SA"/>
        </w:rPr>
        <w:t>Pirie v. Skantz</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2016 BCCA 70</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the Court discussed the ways in which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interact in determining fault in a case involving a left turning driver and a through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While the statutory provisions provide guidelines for assessing fault in motor vehicle accident cases, they do not, alone, provide a complete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at 326, </w:t>
      </w:r>
      <w:hyperlink r:id="rId784" w:history="1">
        <w:r>
          <w:rPr>
            <w:rFonts w:ascii="arial" w:eastAsia="arial" w:hAnsi="arial" w:cs="arial"/>
            <w:i/>
            <w:color w:val="0077CC"/>
            <w:sz w:val="20"/>
            <w:u w:val="single"/>
            <w:shd w:val="clear" w:color="auto" w:fill="FFFFFF"/>
            <w:lang w:val="en-US" w:eastAsia="en-US" w:bidi="ar-SA"/>
          </w:rPr>
          <w:t>9 B.C.A.C. 112</w:t>
        </w:r>
      </w:hyperlink>
      <w:r>
        <w:rPr>
          <w:rFonts w:ascii="arial" w:eastAsia="arial" w:hAnsi="arial" w:cs="arial"/>
          <w:color w:val="000000"/>
          <w:sz w:val="20"/>
          <w:lang w:val="en-US" w:eastAsia="en-US" w:bidi="ar-SA"/>
        </w:rPr>
        <w:t xml:space="preserve">, this Court considered liability for an accident that occurred when a vehicle turning left on a four-lane road was in collision with a vehicle proceeding in the opposite direction, in the outside lane. While the Court was considering what is now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rather than s. 175, it is my view that the opinion expressed by Lambert J.A. has some relevance to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care is more a matter of the ordinary duty of a reasonably careful driver and not a duty, in my view, imposed specifically by s. 176 [now s. 174]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To the extent that there is a need to refer to a section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this proposition, one can turn to s. 144, which requires drivers to drive with "due care and attention" and to have "reasonable consideration for other persons using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Therefore, the duties imposed by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are not absolute. The ultimate duty is to act reasonably in the circumstances. With these principles in mind, I will proceed to decide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facts and the circumstances surrounding the accident are not seriously in dispute. Simply put, Mr. Tang turned left into the path of the plaintiff's vehicle in circumstances where visibility for both drivers was compromised by dense fog. The standard of care for both parties was heightened due to the fog. Both drivers had a duty to be responsive to the foggy conditions: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at paras. 30-35.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While the statutory duties set out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provide guidelines for assessing fault, they do not, alone, provide a complete standard of care framework. What must be determined is whether, and to what extent, each driver met their common law duties of care towards one another. In making the determination, I must be informed by both the rules of the road as set out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the reasonableness of each driver. The rules of the road cannot comprehensively cover all possible scenarios. As I have indicated, drivers are expected to exercise reasonable care even when others have failed to respect their rights of way: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Here, the burden falls on Mr. Tang to establish that he had the right of way and that the plaintiff was not an "immediate hazard" within the meaning of s. 174: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at para. 35. In the context of this case, this means that Mr. Tang must establish that the plaintiff violated her s. 144 duties or was otherwise driving carelessly.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At the outset, the defendants effectively argued that the plaintiff's vehicle was not an immediate hazard because Mr. Tang could not see it. I cannot accede to that argument. Such a proposition is clearly not the intent of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In my view, the defendants are attempting to use the existence of fog to overcomplicate a relatively straightforward principle. There can be no doubt that a driver who wishes to make a left hand turn onto a highway has an obligation not to proceed unless it can be done safely, fog or no fog.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view this case as similar to a situation where a left turning driver's view is obstructed by another vehicle or where the sun is shining into their eyes. The fact that vision is obscured does not relieve the driver of his or her duty to ensure the turn can be made safely. I conclude that where each party's vision is blocked, the dominant driver who is proceeding through the intersection is generally entitled to continue. The servient left turning driver must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Where a left turning driver fails to determine whether a turn can be made safely, that driver should be held 100 percent at fault for the collision that occurs: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at para. 15. Any doubt (as to whether the dominant driver should have been aware of the servient driver's risk and avoided the collision) should be resolved in favour of the dominant driver: </w:t>
      </w:r>
      <w:r>
        <w:rPr>
          <w:rFonts w:ascii="arial" w:eastAsia="arial" w:hAnsi="arial" w:cs="arial"/>
          <w:i/>
          <w:color w:val="000000"/>
          <w:sz w:val="20"/>
          <w:lang w:val="en-US" w:eastAsia="en-US" w:bidi="ar-SA"/>
        </w:rPr>
        <w:t>McCowan v. Arjune et al</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2002 BCCA 267</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#1 - Was the Defendant, Mr. Tang,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that the plaintiff was the dominant driver and that Mr. Tang was the servient driver. As such, Mr. Tang had a duty to yield the right of way. I find that Mr. Tang could not see oncoming traffic due to dense fog but decided to turn anyway. At best, he could only see some 25-30 feet from his vantage point in the left turn lane. I conclude that stopping for "several seconds" before turning left was not long enough. He should have waited until he was able to make the turn safely. His failure to see through the intersection does not give him licence to turn left and hope for the best. He would have known that Highway 97 at that point was a four lane highway with a posted speed limit of 100 km/h. He should have known as well that at 1:00 pm there was likely to be southbound traffic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Tang initiated his left turn despite not knowing whether there was oncoming southbound traffic. His duty, prior to commencing the turn, was to ensure that there were no oncoming vehicles constituting an immediate hazard. The time for making that determination was immediately prior to initiating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Mr. Shan, the right seat passenger in the Tang truck, says in his affidavit that he saw the plaintiff's vehicle appear out of the fog approaching at a high rate of speed, I give this evidence no weight. On his examination for discovery, Mr. Shan instead stated that he saw the plaintiff's vehicle and then looked away and that the only basis for his impression that the plaintiff's vehicle was moving fast was the lapse in time between Mr. Tang saying "shit" and the collision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Given the conditions at the time, stopping only for "several seconds" before sightlessly turning left onto a foggy highway, knowing that through vehicles may be traveling at 100 km/h or more, was unreasonable. Simply put, Mr. Tang gambled that there would be no vehicles in close proximity and ultimately misjudged the risks when he turned left in front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were other things he could have done. He could have rolled his window down to hear if any traffic noises were coming. He could have waited longer for the visibility to improve as was apparently the pattern that day. In either case, he should have waited to ensure that his actions were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 Mr. Tang breached his statutory and common law duty of care in turning left when it was unsafe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#2 - Was the Plaintiff, Ms. Ferguson,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accept the plaintiff's evidence that she was aware of the foggy conditions on Highway 97 shortly after she left 100 Mile House. The density of the fog varied and I accept that she adjusted her speed accordingly. She was comfortable with her speed in the varying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was driving southbound in the right lane. There is no evidence that she knew of Big Bar Road or of the northbound left turn lane. Despite the foggy conditions, other southbound vehicles were passing her. Indeed, one such vehicle passed her moments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Without warning, she saw the passenger side of the defendants' truck appear immediately in front of her. She had very little time to react. She slammed on her brakes but was unable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Given my earlier finding that she was the dominant driver, she had the right to proceed through the intersection and Mr. Tang was obliged to yield to her. The fact that there were foggy conditions at the time blurs these concepts somewhat but the duties do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My finding that Ms. Ferguson was the dominant driver does not end the inquiry or absolve her of her responsibility to drive with due care. Her conduct must also be considered in assessing whether her driving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On this point, the defendants argue that the plaintiff was driving too fast for the foggy conditions. They say that if she was driving slower, she would have been better able to avoid the collision. The onus is on the defendants to prove that her speed caused or contributed to the accident: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22. Relying on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they ask me to find the plaintiff's act of driving 70-90 km/h in a 100km/h zone in dense fog (where she could only see some 25 feet ahead of her)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decline to make that finding. To the contrary, I am satisfied that the plaintiff was travelling at a speed comfortable for the conditions. I accept her evidence at face value that she adjusted her speed as visibility increased or decreased and as the circumstances required. Her speed on the highway was reasonable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This finding is reinforced by the evidence of Mr. Herd, a third party who was driving northbound on Highway 97, who came across the scene of the collision shortly after it happened. He stated that prior to arriving at the collision scene, he was driving at 60 km/h because he could only see some ten feet in front of him. The inference I draw is that Mr. Herd was comfortable driving at 60 km/h in a 100 km/h zone when he could see only ten feet in front. This finding is also reinforced by the plaintiff's evidence (which I accept) that other vehicles were passing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plaintiff adequately discharged her statutory and common law duties owed to the defendant. I find that she was exercising reasonable caution and acting as a prudent driver. She had no opportunity to avoid the collision. While the law required her to maintain a heightened sense of awareness in these conditions, it did not require her to consider all possible scenarios, including that there would be an intersection ahead where a northbound driver would turn left without having assessed the safety of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burden on the defendants (in the servient vehicle) to cast blame on the plaintiff (in the dominant vehicle) is significant: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at 461. On the evidence before me, they have not met that burden. I conclude that the defendants have not proven that the plaintiff's driving was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#3 - Who Should Be Blamed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collision was caused by Mr. Tang's decision to turn left when it was unsafe to do so. He could not see past the intersection but decided to turn anyway. He created the danger that caused the collision. Stopping for "several seconds" in the conditions that existed at the time was insufficient. The fact that Mr. Tang could not see through the fog required him to take extra precautions. He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cannot conclude that the plaintiff's speed contributed to the collision. The defendants' truck appeared immediately in front of her and there was nothing she could do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Accordingly, Mr. Tang is solely responsible for the collision. Mr. Shan, as owner, is vicariously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Ferguson v. Yang, [2013] B.C.J. No. 362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M122135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Clifford John Ferguson, Plaintiff, and Li Zhong Yang,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29"/>
      <w:bookmarkEnd w:id="23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Motor vehicles — Parking — Rules of the road — Action for damages incurred as a result of a motor vehicle accident allowed — Defendant was solely liable for the collision — Defendant made a u-turn to move into a parking spot behind plaintiff's vehicle — As plaintiff backed up into spot, she hit defendant's vehicle — Court accepted plaintiff's evidence that she had started to back up before defendant moved his vehicle into the parking space — Defendant breached the Motor Vehicle Act by making a u-turn -- plaintiff had no warning of the impending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24"/>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incurred as a result of a motor vehicle accident. The plaintiff had stopped in front of a school to drop off her children. The defendant was at the opposite side of the street. He saw a parking space behind the plaintiff's vehicle. The defendant made a u turn. As he attempted to move into the parking spot, the plaintiff's vehicle backed up and collided with the defendant's vehicle. The defendant insisted that he had come to a full stop behind the plaintiff's vehicle before the impact occurred one to two seconds later. He also testified that he had sounded his horn to warn the plaintiff that he was present. The plaintiff testified that she had started to back into the parking space before the defendant moved his vehicle into the spot.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22"/>
            <w:bookmarkEnd w:id="23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solely liable for the collision. The defendant's evidence was inconsistent and exaggerated. The court accepted the plaintiff's evidence as to how the collision occurred. The court accepted that the plaintiff was backing up her vehicle and that her back up lights were on before the defendant moved into the space. The defendant ought to have seen them and ought not to have attempted the aggressive maneuver that he did. The defendant breached the Motor Vehicle Act by making a u-turn over the solid yellow line. The u-turn performed by the defendant in an attempt to secure a parking spot across the street in a school zone where parents were busy dropping their children off for school was also a maneuver fraught with danger. The plaintiff was entitled to proceed on the assumption that all other vehicles would observe the rules of traffic. The plaintiff had no warning of the impending collision.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20"/>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94" w:history="1">
        <w:r>
          <w:rPr>
            <w:rFonts w:ascii="arial" w:eastAsia="arial" w:hAnsi="arial" w:cs="arial"/>
            <w:i/>
            <w:color w:val="0077CC"/>
            <w:sz w:val="20"/>
            <w:u w:val="single"/>
            <w:shd w:val="clear" w:color="auto" w:fill="FFFFFF"/>
            <w:lang w:val="en-US" w:eastAsia="en-US" w:bidi="ar-SA"/>
          </w:rPr>
          <w:t>RSBC 1996, CHAPTER 318, s. 119</w:t>
        </w:r>
      </w:hyperlink>
      <w:r>
        <w:rPr>
          <w:rFonts w:ascii="arial" w:eastAsia="arial" w:hAnsi="arial" w:cs="arial"/>
          <w:color w:val="000000"/>
          <w:sz w:val="20"/>
          <w:lang w:val="en-US" w:eastAsia="en-US" w:bidi="ar-SA"/>
        </w:rPr>
        <w:t>, s. 155, s. 155(1)(c), s. 168, s. 169, s. 193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34"/>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Gardner, A. Sovani.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Moen.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4"/>
      <w:bookmarkEnd w:id="241"/>
      <w:r>
        <w:pict>
          <v:line id="_x0000_s1188"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G. WEATHERILL J."/>
            <w:bookmarkEnd w:id="242"/>
            <w:r>
              <w:rPr>
                <w:rFonts w:ascii="arial" w:eastAsia="arial" w:hAnsi="arial" w:cs="arial"/>
                <w:b/>
                <w:color w:val="000000"/>
                <w:sz w:val="30"/>
                <w:lang w:val="en-US" w:eastAsia="en-US" w:bidi="ar-SA"/>
              </w:rPr>
              <w:t>G.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concerns a motor vehicle collision that occurred on February 21, 2008. On that day, just before 9:00 a.m. the plaintiff's vehicle was stopped on the west side of 8th Street, New Westminster, in front of the John Robson Elementary School. The plaintiff was dropping his daughter off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who was driving northbound on 8th Street, intended to drop his son off at the school. He saw a parking spot between the plaintiff's vehicle and a vehicle that was parked behind the plaintiff. He made a u-turn across 8th Street and, while proceeding at an angle into the parking spot, the plaintiff's vehicle backed into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event was what is commonly referred to as a low impact collision. Damage to the vehicles was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agreement between the parties, the only issue for determination 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Shortly before 9:00 a.m. on February 21, 2008, the plaintiff was travelling southbound along 8th Street in New Westminster. His 3 year old son and 6 year old daughter were in the back seat of the vehicle. The weather was clear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heading to John Robson Elementary School. The school is located on the west side of 8th Street between Royal Avenue and Queens Avenue. At that location 8th Street has a single northbound lane and a single southbound lane. These lanes are divided by a solid yellow line down the center of the street. There is ample room for vehicle parking on both the west and east side of 8th Street. The area on the west side of the street directly in front of the school is commonly used by parents as a pick up and drop off zone. Signage in the area warns of a school zone. The speed limit is 30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pulled over to the curb in the drop off zone and stopped approximately two cars lengths in front of a white van that was also parked in the drop off zone. He intended to back his vehicle towards the white van as a courtesy to other parents so that they would have room to park and drop their children off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no more than two seconds after he stopped at the curb, he checked his driver's side mirror, rear view mirror and did a shoulder check over his right shoulder. He saw nothing and began to back up. He then felt the impact of the collision with the defendant's vehicle. He looked in the driver's side mirror and saw the defendant's car at an angle of approximately 45 degrees to the curb. It had come from nowhere and had hit the left rear of his vehicle without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does not believe that he had actually started to back up before the impact occurred but he cannot recall for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the impact of the collision was aggressive enough to push the back tires of his vehicle approximately six to eight inches to the curb and to cause his vehicle to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Damage to the plaintiff's vehicle was relatively minor. The vehicle was subsequently sold by its owner before any repairs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cross-examination, the plaintiff admitted the space between his vehicle and the white van behind him could have been as much as two and a half car lengths. The plaintiff confirmed that he was looking over his right shoulder at the time of the impact and that he did not see the defendant's vehicle prior to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Captain David MacPherson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Captain MacPherson is a Salvation Army pastor. He was the driver of the white van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21, 2008 at approximately 9:00 a.m., Captain MacPherson was parked in the school loading zone having just delivered several children to the Salvation Army's Preschool. His daughter was with him and she had escorted the children to the school while he waited in the van. His daughter returned to the van and Captain MacPherson was preparing to drive away when he saw the plaintiff's vehicle ahead of him with its back up lights on. He decided to wait until the plaintiff had finished backing up before leaving. He observed that there was at least one parking spot between his van and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testified that, suddenly, his daughter said "what's this guy doing?" He saw the defendant's vehicle make a u-turn right in front of him from a northbound to a southbound direction and drive directly into the rear-end of the plaintiff's vehicle. He testified that the plaintiff's vehicle was moving backwards but only at a bare crawl at the time. The defendant's vehicle was at approximately a 45 degree angle to the curb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Captain MacPherson testified that the defendant's vehicle did not stop before making the u-turn or at any time before the impact. It simply turned and drove directly into the back of the plaintiff's vehicle. Captain MacPherson described the maneuver as "aggressive" and "dangerous". He estimated that that plaintiff's vehicle had reversed approximately one to two feet before the impact occurred. He testified that the maneuver was not what he would have expected to see along 8th Street in front of a school at drop off time. He was surprised by what 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cross-examination Captain MacPherson agreed that the space between the plaintiff's vehicle and his van could have been more than 20 feet although he only recalled that the gap was approximately one parking space. He was adamant that the defendant's vehicle was not stationary when the impact occurred. He was also adamant that the plaintiff's vehicle reversed no more than one to two feet prior to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from the Defendant's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read in the following excerpt from the transcript of the defendant's examination for discovery conducted on April 27, 2011:</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indicated you were going up the hill and that you were waiting to turn left. Did you ever come to a complete stop?</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itself was almost to a crawling speed. Very, very slow. And then when I got the opportunity, I made a quick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is a senior software engineer and is currently 44 years old. He has been living in British Columbia since 2000. He received his British Columbia driver's license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21, 2008, after dropping his wife off at the New Westminster Skytrain Station at the southern foot of 8th Street, he proceeded northbound on 8th Street to the school in order to drop off his 7 year 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he approached the school, he saw a parking spot between two vehicles along the southbound curb in front of the school. He made a u-turn on 8th Street from a northbound to southbound direction with the intention of parking in the space behind the plaintiff's vehicle. He testified that he estimated the space was sufficient for three to four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testified that he reached the parking space, stopped his vehicle and was preparing to "adjust his position" when the plaintiff's vehicle in front of him backed into his vehicle. He estimated that he was at a no more than a 30 degree angle to the curb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testified that his vehicle had stopped moving prior to the impact and that the plaintiff had reversed a little less than one car length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cross-examination he admitted to have made u-turns like this previously and to knowing that, at least during school hours, that area of 8th Street was busy with children and parents dropping their children off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did not think that such u-turns were a violation of any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cross-examination the defendant insisted he stopped before making the u-turn. However, when his previously quoted examination for discovery transcript was put to him, he agreed that his previous answer was true. Notwithstanding that admission, he insisted that he did not make a "quick u-turn" but rather a "normal u-turn". Again his examination for discovery transcript was put to him and again he agreed that his examination for discovery evidence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insisted that he had come to a full stop behind the plaintiff's vehicle before the impact occurred one to two seconds later. He also testified that he had sounded his horn to warn the plaintiff that he was present. There was no mention in the defendant's statement given to ICBC the day following the accident that he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it was put to him that Captain MacPherson saw the plaintiff's vehicle reversing before the defendant had made his u-turn, the defendant responded by saying Captain MacPherson's view must have been blocked by the defendant's vehicle, which he claimed was behind the plaintiff's vehicle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Captain MacPherson's evidence that the defendant's vehicle did not stop after completing the u-turn before the collision occurred was also put to the defendant. The defendant remained adamant that he was completely stopped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suggested to the defendant on cross-examination that there was only one car length between the plaintiff's vehicle and the white van prior to the defendant making his u-turn. His response was to the effect that Captain MacPherson must have been lying because if there had only been one car length he would not have been able to go into the parking spot and the plaintiff could not have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Since there is a divergence in the evidence regarding what took place immediately prior to the collision, it is necessary to evaluate the credibility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an honest and forthright witness who gave his evidence in a credible manner, candidly and without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Captain MacPherson was an independent witness who knew neither of the parties and had no reason to favour one version of the event over the other. He also gave his evidence in a straightforward, honest and credible manner. It is not surprising that counsel for the defendant, wisely in my view, did not comment in any way on the credibility of Captain MacPherson.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evidence, on the other hand, was fraught with inconsistencies and obvious exaggerations. He stated at trial that he had come to a full stop before commencing the u-turn but during his examination for discovery he had testified that he had not come to a complete stop but rather was proceeding at a "crawling speed". At trial he testified that the u-turn was not a "quick u-turn" but rather a "normal u-turn", yet during his examination for discovery he described it as a "quick turn". He testified at trial that he was fully stopped at a 30 degree angle to the curb behind the plaintiff's vehicle before it began to reverse, yet the damage to his vehicle is consistent only with its left front corner having been behind the plaintiff's vehicle. He testified at trial that the plaintiff was reversing at a speed of approximately 15 kph when the impact occurred. In my view, such a speed was, in the circumstances, simply not possible. Finally, at trial he testified that he sounded his horn prior to the collision, yet he made no mention of this important evidence of a warning in the statement he made to ICBC one day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no difficulty concluding that the accident occurred in the manner described by the plaintiff and Captain MacPherson. After the plaintiff pulled in to the loading zone in front of Captain MacPherson's van, there was approximately two to two and a half car lengths between the two vehicles. The plaintiff was in the process of closing that gap by backing up as a courtesy to give other parents a place to park as well. Before reversing, the plaintiff checked his driver's side mirror, his rear view mirror and he also looked over his right shoulder. He saw nothing in his path. As he commenced reversing his vehicle, the defendant performed an aggressive and illegal u-turn from the northbound lane of 8th Street and attempted to maneuver into the space between the plaintiff's and Captain MacPherson's vehicles. The plaintiff's backup lights were on. The defendant ought to have seen them and ought not to have attempted the aggressive maneuver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circumstances of this case are governed in part, by the following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(1) Despite anything in this Part, if a highway is marked with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solid double line, the driver of a vehicle must drive it to the right of the line only,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double line consisting of a broken line and a solid line,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along the highway on the side of the broken line must drive the vehicle to the right of the double line, except when passing an overtaken vehicle,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along the highway on the side of the solid line must drive the vehicle to the right of the double line, except only when finishing the passing of an overtaken vehicle,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single line, broken or solid, the driver of a vehicle must drive the vehicle to the right of the line, except only when passing an overtaken vehicle.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(b) (i) and (c) do not apply if a driver is avoiding an obstruction on the highway and first ascertains that the movement can be made with safety and without affecting the travel of any other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If the driver of a vehicle is causing the vehicle to enter or leave a highway and the driver has ascertained that he or she might do so with safety and does so without unreasonably affecting the travel of another vehicle, the provisions of sections 151 and 155 are suspended with respect to the driver while the vehicle is entering or leaving the highway.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Except as provided by the bylaws of a municipality or the laws of a treaty first nation, a driver must not turn a vehicle so as to proceed in the opposite direction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driver can do so without interfering with other traffic,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or she is driving</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curve,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approach to or near the crest of a grade where the vehicle cannot be seen by the driver of another vehicle approaching from either direction within 150 m,</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place where a sign prohibits making a U-turn,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 intersection where a traffic control signal has been erected, or</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business district, except at an intersection where no traffic control signal has been erected.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A person must not move a vehicle that is stopped, standing or parked unless the movement can be made with reasonable safety and he or she first gives the appropriate signal under section 171 or 172.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 119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"business district":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"business district"</w:t>
      </w:r>
      <w:r>
        <w:rPr>
          <w:rFonts w:ascii="arial" w:eastAsia="arial" w:hAnsi="arial" w:cs="arial"/>
          <w:color w:val="000000"/>
          <w:sz w:val="20"/>
          <w:lang w:val="en-US" w:eastAsia="en-US" w:bidi="ar-SA"/>
        </w:rPr>
        <w:t xml:space="preserve"> means the territory contiguous to a portion of a highway having a length of 200 m along which there are buildings used for business, industrial or public purposes occupying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100 m of frontage on one side of that portion, or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100 m collectively on both sides of that portion,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includes that portion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law in this province is clear that a driver engaging in a maneuver that is fraught with danger where other drivers have no reason to anticipate the maneuver will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Dhah v. Harris</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2010 BCSC 172</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Dickie Estate v. Dickie</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(1992), 5 B.C.A.C. 37</w:t>
        </w:r>
      </w:hyperlink>
      <w:r>
        <w:rPr>
          <w:rFonts w:ascii="arial" w:eastAsia="arial" w:hAnsi="arial" w:cs="arial"/>
          <w:color w:val="000000"/>
          <w:sz w:val="20"/>
          <w:lang w:val="en-US" w:eastAsia="en-US" w:bidi="ar-SA"/>
        </w:rPr>
        <w:t xml:space="preserve"> at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Here, the defendant failed to observe the rules regulating traffic. In particular, he breached s. 155(1)(c)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performing a u-turn over the solid yellow line on 8th Street. The exception set out in s. 156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inapplicable because the defendant was not in the process of entering or leaving the street. The defendant was also in violation of s. 168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performing a u-turn (referred to the in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 "reverse turn") in a "business district". I am satisfied on the evidence before me that there was an excess of 100 meters of frontage of buildings used for public purposes on the roadway in question, thereby meeting the definition of "business district"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Hough v. Wyatt</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2010 BCSC 1375</w:t>
        </w:r>
      </w:hyperlink>
      <w:r>
        <w:rPr>
          <w:rFonts w:ascii="arial" w:eastAsia="arial" w:hAnsi="arial" w:cs="arial"/>
          <w:color w:val="000000"/>
          <w:sz w:val="20"/>
          <w:lang w:val="en-US" w:eastAsia="en-US" w:bidi="ar-SA"/>
        </w:rPr>
        <w:t>, the defendant attempted a u-turn from a bus stop at the crest of a hill that was not an intersection, at a location were u-turns were prohibited.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Having initiated an inherently dangerous manoeuvre, Mr. Wyatt failed to keep a look-out for traffic approaching from the north. I conclude that he was focusing on traffic approaching from the south and failed to see Mr. Hough's vehicle. Mr. Wyatt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 am also not persuaded that Mr. Hough should have anticipated Mr. Wyatt's illegal manoeuvre or that if he had done so, he could have taken effective steps to avoid the collision. Mr. Hough said he did not see an illuminated signal light on the rear of Mr. Wyatt's vehicle. An activated signal light might indicate an intention to pull into the southbound driving lane and drive south, when it was safe to enter the lane. It would be entirely unreasonable, in my view, to expect a driver observing the signal light to anticipate that Mr. Wyatt would pull across the lane as a prelude to a prohibited u-turn.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the u-turn performed by the defendant in an attempt to secure a parking spot across the street in a school zone where parents were busy dropping their children off for school was a maneuver fraught with danger. Moreover, I am satisfied that the plaintiff's backup lights were illuminated, that the defendant ought to have seen them and that he ought to have anticipated the plaintiff's vehicle was in the process of reversing into the space the defendant was attempting to move into. Captain MacPherson saw these backup lights. Had the defendant been keeping a proper look out, he would have seen them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has failed to satisfy me that the plaintiff was contributory negligent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law does not require perfection on the part of the plaintiff to guard himself against every conceivable eventuality. He must only guard himself against those eventualities that a reasonable person ought to have foreseen, within the ordinary range of human experience. The plaintiff was entitled to proceed on the assumption that all other vehicles would do what is there duty, namely observing the rules of traffic: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at para. 11; </w:t>
      </w:r>
      <w:r>
        <w:rPr>
          <w:rFonts w:ascii="arial" w:eastAsia="arial" w:hAnsi="arial" w:cs="arial"/>
          <w:i/>
          <w:color w:val="000000"/>
          <w:sz w:val="20"/>
          <w:lang w:val="en-US" w:eastAsia="en-US" w:bidi="ar-SA"/>
        </w:rPr>
        <w:t>Dechev v. Judas</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2004 BCSC 1564</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checked the area around his vehicle by looking in his side and rear view mirrors and by looking over his right shoulder. He did all that he ought to have done. A reasonably prudent driver should not be expected to anticipate that while in the course of backing up, another vehicle will perform an aggressive and illegal u-turn from the other side of the street in an attempt to occupy the space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had no warning of the impending collision. I do not believe the defendant's evidence that he was stopped and that he honked his horn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Carson v. Henyecz,</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2012 BCSC 314</w:t>
        </w:r>
      </w:hyperlink>
      <w:r>
        <w:rPr>
          <w:rFonts w:ascii="arial" w:eastAsia="arial" w:hAnsi="arial" w:cs="arial"/>
          <w:color w:val="000000"/>
          <w:sz w:val="20"/>
          <w:lang w:val="en-US" w:eastAsia="en-US" w:bidi="ar-SA"/>
        </w:rPr>
        <w:t>, Madam Justice Hyslop stated at para.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imposed on a reversing driver is not just when the driver starts to reverse, but throughout the entire reversing procedure and to its completion. The object is to be aware as reasonably possible to what is behind the driver and in the driver's path while in reverse.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with those comments. I find that, in the circumstances here, the plaintiff conducted himself appropriately and was as aware as reasonably possible to what a reasonable driver should have anticipated would be in his path while reversing his vehicle. He could not have reasonably anticipated that the defendant would do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is 100% liable for the collision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Fox v. Vancouver (City), [2003] B.C.J. No. 2283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S000314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2283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B.C.L.R. (4th)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C.C.L.T. (3d) 123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M.P.L.R. (3d) 236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868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Jeanne Lynn Fox, plaintiff, and City of Vancouver,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25"/>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Fox against the City of Vancouver for damages for personal injuries. Fox fell and injured herself when she stepped on the right-hand edge of the City sidewalk at a point where the boulevard was worn down approximately two inches below the level of the sidewalk. The pavement was not uneven or broken. The city Claimed that it had the authority under the Vancouver Charter and the discretion to exercise its authority or power by prescribing a streets inspection system set out in the Engineering Technician's Manual. The City did not claim that it had adopted a specific policy with respect to the risk which materialized, but claimed that it had adopted a comprehensive policy with respect to sidewalks and boulevards founded upon economic, social and political factors. There was no suggestion that the City had failed to carry out its responsibilities as set out in the Manual.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4" w:name="Holdings of Court_23"/>
            <w:bookmarkEnd w:id="24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made a bona fide policy decision in the exercise of a discretionary power. That decision, as expressed in the Engineering Technician's Manual, was not unreasonable and was a bona fide exercise of discretion based upon economic, social and political factors and not with a view to absolving itself of liability for the harm that Fox sustained when she fell. As such, it was not reviewable by the court other than with respect to its operational aspect. The City had discharged its duty of care and the premises were reasonably safe for Fox and others at the time the accident occurred.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Legislation Cited_21"/>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Rule 18A. Occupiers Liability Act, </w:t>
      </w:r>
      <w:hyperlink r:id="rId807" w:history="1">
        <w:r>
          <w:rPr>
            <w:rFonts w:ascii="arial" w:eastAsia="arial" w:hAnsi="arial" w:cs="arial"/>
            <w:i/>
            <w:color w:val="0077CC"/>
            <w:sz w:val="20"/>
            <w:u w:val="single"/>
            <w:shd w:val="clear" w:color="auto" w:fill="FFFFFF"/>
            <w:lang w:val="en-US" w:eastAsia="en-US" w:bidi="ar-SA"/>
          </w:rPr>
          <w:t>R.S.B.C. 1996, c. 337, ss. 1</w:t>
        </w:r>
      </w:hyperlink>
      <w:r>
        <w:rPr>
          <w:rFonts w:ascii="arial" w:eastAsia="arial" w:hAnsi="arial" w:cs="arial"/>
          <w:color w:val="000000"/>
          <w:sz w:val="20"/>
          <w:lang w:val="en-US" w:eastAsia="en-US" w:bidi="ar-SA"/>
        </w:rPr>
        <w:t>, 3(1), 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6" w:name="Counsel_35"/>
      <w:bookmarkEnd w:id="2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 Hyde, for the plaintiff. B.S. Parkin,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5"/>
      <w:bookmarkEnd w:id="247"/>
      <w:r>
        <w:pict>
          <v:line id="_x0000_s1193"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BROOKE J."/>
            <w:bookmarkEnd w:id="248"/>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on September 14, 1999, when she fell and broke a bone in her foot. Damages have been agreed upon; the only issue in this Rule 18A summary trial is liability. The parties filed an agreed statement of facts (which is attached as Schedule "A"), which sets out the circumstances of the fall this way:</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walking east on the north sidewalk of Comox Street with her adult son on her left. She moved to her right to make room for pedestrians coming from the opposite direction. Her right foot stepped on the right-hand edge of the sidewalk at a point where the boulevard was worn down approximately two inches below the level of the sidewalk. The expectation of the plaintiff was that the boulevard would be roughly level with the sidewalk at the point where they met.</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stepped down on the edge of the sidewalk, her foot rotated over to the right causing her to fall to her right and fracture a bone in her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City of Vancouver (the "City"), is the owner of the sidewalk and boulevard where the accident occurred, and an "occupier" within the meaning of s. 1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framed her claim under s. 3(1) of the Act. Section 3(1) says: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person...on the premise...will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No common law claim is made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city says that it has exercised authority given to it under the Vancouver Charter,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xml:space="preserve"> to provide for the maintenance of sidewalks, and it has implemented an inspection system which it says cannot be reviewed on a private law standard of reasonableness, unless it could be said that the decision was not bona fide or was so irrational that it could not constitute a proper exercise of discretion. Alternatively, the defendant city says that it took reasonable care to see that the plaintiff and others would be reasonably safe in using the sidewalk and that no liability should, in the circumstances, be attached to the defendant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says that the fundamental rationale for the immunity of public authorities, such as the City, from review of policy decisions depends upon the absence of a positive duty which the plaintiff says is expressed in s. 3(1) of the Occupiers Liability Act. The plaintiff relies upon Just v. British Columbia </w:t>
      </w:r>
      <w:hyperlink r:id="rId808" w:history="1">
        <w:r>
          <w:rPr>
            <w:rFonts w:ascii="arial" w:eastAsia="arial" w:hAnsi="arial" w:cs="arial"/>
            <w:i/>
            <w:color w:val="0077CC"/>
            <w:sz w:val="20"/>
            <w:u w:val="single"/>
            <w:shd w:val="clear" w:color="auto" w:fill="FFFFFF"/>
            <w:lang w:val="en-US" w:eastAsia="en-US" w:bidi="ar-SA"/>
          </w:rPr>
          <w:t>(1989), 64 D.L.R. (4th) 689</w:t>
        </w:r>
      </w:hyperlink>
      <w:r>
        <w:rPr>
          <w:rFonts w:ascii="arial" w:eastAsia="arial" w:hAnsi="arial" w:cs="arial"/>
          <w:color w:val="000000"/>
          <w:sz w:val="20"/>
          <w:lang w:val="en-US" w:eastAsia="en-US" w:bidi="ar-SA"/>
        </w:rPr>
        <w:t xml:space="preserve"> where Sopinka J.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starting point for the application of the Anns principle is that there is no statutory duty in favour of the plaintiff to do the thing the lack of which is alleged to have caused the injury to the plaintiff. Many public bodies have the power to carry out a function but no duty to do so. In these circumstances, they have a discretion whether to do the thing or not. Conduct within the limits of that discretion gives rise to no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Kennedy v. Waterloo County Board of Education </w:t>
      </w:r>
      <w:hyperlink r:id="rId809" w:history="1">
        <w:r>
          <w:rPr>
            <w:rFonts w:ascii="arial" w:eastAsia="arial" w:hAnsi="arial" w:cs="arial"/>
            <w:i/>
            <w:color w:val="0077CC"/>
            <w:sz w:val="20"/>
            <w:u w:val="single"/>
            <w:shd w:val="clear" w:color="auto" w:fill="FFFFFF"/>
            <w:lang w:val="en-US" w:eastAsia="en-US" w:bidi="ar-SA"/>
          </w:rPr>
          <w:t>(1999), 175 D.L.R. (4th) 106</w:t>
        </w:r>
      </w:hyperlink>
      <w:r>
        <w:rPr>
          <w:rFonts w:ascii="arial" w:eastAsia="arial" w:hAnsi="arial" w:cs="arial"/>
          <w:color w:val="000000"/>
          <w:sz w:val="20"/>
          <w:lang w:val="en-US" w:eastAsia="en-US" w:bidi="ar-SA"/>
        </w:rPr>
        <w:t>, the defendant school board had erected a vehicle barrier by connecting with chains a row of 22 bollards. The chains were removed in the spring but the bollards were left in place, and the plaintiff was seriously injured when he lost control of his motorcycle as he left the school grounds. His head hit one of the bollards.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its carefully considered decision in Kennedy, supra, the Ontario Court of Appeal held that not only does s. 3(1) of the Occupiers Liability Act impose a duty of care but that it also prescribes the standard of care. However, the statutory standard is measured by what "in all the circumstances of the case is reasonable..." The court goes on to say this at paras. 30 and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3(1) not only imposes a duty of care, it also prescribes the standard of care. In deciding whether the respondent breached the prescribed standard, the court is to consider "all the circumstances of the case". In the case of a government authority such circumstances could include its financial resources, as with a policy decision. It is also to apply a standard of reasonableness both as to the degree of care to be taken and the degree of safety to be provided. However, it was not open to the Board for financial or other reasons, to make a "policy decision" to absolve itself from or reduce its statutory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therefore, the trial judge erred in applying the policy/operational analysis where the Occupiers' Liability Act prescribes the statutory duty and the standard of care and provides civil liability for breach of that duty. The Board could not make a policy decision which would either oblige or allow it to avoid compliance with its statutory obligation. Therefore, if the decision not to remove the bollards when the chains were removed was a breach of the statutory duty on the Board pursuant to its obligations under the Occupiers' Liability Act, it is no defence to say that the Board made a policy decision to exempt itself from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can be seen that the court here is addressing the relationship between the statutory duty and a policy adopted by a government authority to exempt itself from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Here, the defendant city relies upon the Engineering Technician's Manual as an expression of policy but also, as I understand its position, as evidence of the standard of care. In Just v. British Columbia, supra, Cory J. for the majority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manner and quality of an inspection system is clearly part of the operational aspect of a governmental activity and falls to be assessed in the consideration of the standard of care issue. At this stage, the requisite standard of care to be applied to the particular operation must be assessed in light of all the surrounding circumstances including, for example, budgetary restraints and the availability of qualified personnel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Thus, whether the plaintiff's claim is framed in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Occupiers Liability Act, the City can rely upon the Engineering Technician's Manual as evidence of the standard of care. The City does not say that merely by adopting a policy of inspection and repair, and expressing that policy in the Engineering Technician's Manual, that it is then immune from any tortious or statutory liability. That seems to accord with the decision of this court in Lysack v. Burrard Motor Inn Ltd., </w:t>
      </w:r>
      <w:hyperlink r:id="rId810" w:history="1">
        <w:r>
          <w:rPr>
            <w:rFonts w:ascii="arial" w:eastAsia="arial" w:hAnsi="arial" w:cs="arial"/>
            <w:i/>
            <w:color w:val="0077CC"/>
            <w:sz w:val="20"/>
            <w:u w:val="single"/>
            <w:shd w:val="clear" w:color="auto" w:fill="FFFFFF"/>
            <w:lang w:val="en-US" w:eastAsia="en-US" w:bidi="ar-SA"/>
          </w:rPr>
          <w:t>[1989] B.C.J. No. 1910</w:t>
        </w:r>
      </w:hyperlink>
      <w:r>
        <w:rPr>
          <w:rFonts w:ascii="arial" w:eastAsia="arial" w:hAnsi="arial" w:cs="arial"/>
          <w:color w:val="000000"/>
          <w:sz w:val="20"/>
          <w:lang w:val="en-US" w:eastAsia="en-US" w:bidi="ar-SA"/>
        </w:rPr>
        <w:t xml:space="preserve"> and by the Court of Appeal </w:t>
      </w:r>
      <w:hyperlink r:id="rId811" w:history="1">
        <w:r>
          <w:rPr>
            <w:rFonts w:ascii="arial" w:eastAsia="arial" w:hAnsi="arial" w:cs="arial"/>
            <w:i/>
            <w:color w:val="0077CC"/>
            <w:sz w:val="20"/>
            <w:u w:val="single"/>
            <w:shd w:val="clear" w:color="auto" w:fill="FFFFFF"/>
            <w:lang w:val="en-US" w:eastAsia="en-US" w:bidi="ar-SA"/>
          </w:rPr>
          <w:t>(1991), 58 B.C.L.R. (2d) 33</w:t>
        </w:r>
      </w:hyperlink>
      <w:r>
        <w:rPr>
          <w:rFonts w:ascii="arial" w:eastAsia="arial" w:hAnsi="arial" w:cs="arial"/>
          <w:color w:val="000000"/>
          <w:sz w:val="20"/>
          <w:lang w:val="en-US" w:eastAsia="en-US" w:bidi="ar-SA"/>
        </w:rPr>
        <w:t xml:space="preserve">. There the plaintiff's claim was framed both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Occupiers Liability Act. In assessing whether the City had a duty to repair, the trial judge Davies J., referring to Just, said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City can be held negligent in a claim of this kind, it must be determined whether the conduct complained of is in the "operational" category or in the "policy" category, in which case it is not reviewable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Davies J. went on to find that the City's policy for the repair of "trips" was not unreasonable and that its policy was properly followed. In addressing the claim under the Occupiers Liability Act, the trial judge rejected the submission that s. 8(2) of the Act exempted the City from liability, and it was held that the City owed a duty of care as more particularly set out in s. 3(1) of the Act. Davies J. went on to say the following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in determining the duty owed by the City to the plaintiff one must consider the wording of s. 3 of the statute as qualified by the special consideration given to municipalities. (Barratt v. Corporation of the District of North Vancouver </w:t>
      </w:r>
      <w:hyperlink r:id="rId812" w:history="1">
        <w:r>
          <w:rPr>
            <w:rFonts w:ascii="arial" w:eastAsia="arial" w:hAnsi="arial" w:cs="arial"/>
            <w:i/>
            <w:color w:val="0077CC"/>
            <w:sz w:val="20"/>
            <w:u w:val="single"/>
            <w:shd w:val="clear" w:color="auto" w:fill="FFFFFF"/>
            <w:lang w:val="en-US" w:eastAsia="en-US" w:bidi="ar-SA"/>
          </w:rPr>
          <w:t>(1980), 27 B.C.L.R. 182</w:t>
        </w:r>
      </w:hyperlink>
      <w:r>
        <w:rPr>
          <w:rFonts w:ascii="arial" w:eastAsia="arial" w:hAnsi="arial" w:cs="arial"/>
          <w:color w:val="000000"/>
          <w:sz w:val="20"/>
          <w:lang w:val="en-US" w:eastAsia="en-US" w:bidi="ar-SA"/>
        </w:rPr>
        <w:t xml:space="preserve"> and Anns and Others v. Merton London Borough Council, [1978] A.C. 728.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then to be asked is, is the City's programme of annual inspection of the roads, lanes, boulevards and sidewalks in each block, and its policy for the repair of trips reasonable? I have found that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Thus, the court in Lysack, supra, did not end its inquiry after finding a policy of inspection and repair had been adopted but went on to consider whether that policy was reasonable. The Court of Appeal did not interfere with these findings and said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City's operational policy for inspection and repair did not require that it [a "two" trip] be repaired. The trial judge found this City policy to be reasonable and thus he found no duty on the City to repair the trip. There was no legal duty of care to be negligently breached. The trial judge further reasoned that the City, being in possession of the sidewalk, is an occupier within the Occupier's Liability Act...The sidewalk is not exempted from that statute as a public road. However, the provisions of the Act must be read in the light of cases setting standards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municipalities. As the City's policy and program of inspection and repair is reasonable, there is no liability under the Act. Should the manner and quality of the City's inspection system have been found unreasonable then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City's part might have resulted. But the trial judge concluded that this was not the circumstance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Here, the defendant city says that it has the authority under the Vancouver Charter and the discretion to exercise its authority or power by prescribing a streets inspection system set out in the Engineering Technician's Manual (the "Manual"). That manual is a comprehensive program of inspection, maintenance, and repair within the budgetary and manpower limitations of the defendant city. The Engineering Technician's Manual is not an expression of a policy decision to absolve the defendant city or reduce its statutory obligations but rather an expression of its policy for maintenance inspection and repair of its streets, sidewalks and boulevards.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What the plaintiff, in essence, is saying is that there is a distinction between a common law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exercise of statutory powers to maintain and repair streets as against an alleged breach of a statutory duty of care, such as that contained in the Occupiers Liability Act. The plaintiff says that in the first case, the powers are permissive and import a discretion which lends itself to a policy and operational analysis. In the latter case, so says the plaintiff, no such analysis is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now turn to a consideration of the Occupiers Liability Act. In Brown v. British Columbia (Minister of Transportation and Highways) </w:t>
      </w:r>
      <w:hyperlink r:id="rId813" w:history="1">
        <w:r>
          <w:rPr>
            <w:rFonts w:ascii="arial" w:eastAsia="arial" w:hAnsi="arial" w:cs="arial"/>
            <w:i/>
            <w:color w:val="0077CC"/>
            <w:sz w:val="20"/>
            <w:u w:val="single"/>
            <w:shd w:val="clear" w:color="auto" w:fill="FFFFFF"/>
            <w:lang w:val="en-US" w:eastAsia="en-US" w:bidi="ar-SA"/>
          </w:rPr>
          <w:t>(1994), 112 D.L.R. (4th) 1</w:t>
        </w:r>
      </w:hyperlink>
      <w:r>
        <w:rPr>
          <w:rFonts w:ascii="arial" w:eastAsia="arial" w:hAnsi="arial" w:cs="arial"/>
          <w:color w:val="000000"/>
          <w:sz w:val="20"/>
          <w:lang w:val="en-US" w:eastAsia="en-US" w:bidi="ar-SA"/>
        </w:rPr>
        <w:t xml:space="preserve"> (S.C.C.), Cory J. said this at p.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Occupiers Liability Act simply has no place in a consideration of the obligations of the Department of Highways for the repair and maintenance of its highways. The enactment of Occupiers' Liability Acts in common law provinces resulted from two legitimate concerns of the legislator. The first was the desire to do away with the medieval morass of "pigeon-holing" and labelling that governed cases prior to the passage of the Acts. The other was a concern for the increasing risk of liability for occupiers of property arising from accidents occasioned by snowmobilers running into wire fences or wire gates on farm and rural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Brown v. British Columbia (Minister of Transportation and Highways), supra, the court was considering the application of s. 8(2) of the Occupiers Liability Act, which provides that the Act does not apply to the government or to a municipality if the government or the municipality is the occupier of a public road (to paraphrase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mention as well that the defendant city does not rely upon s. 8 of the Occupiers Liability Act and accepts that the sidewalk and boulevard are not exempted from the Occupiers Liability Act as a "public road" (Lysack v. Burrard Motor Inn,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 court in Kennedy v. Waterloo County Board of Education, supra, held that the trial judge erred in applying the policy/operational analysis where the Occupiers Liability Act prescribed both the statutory duty and the standard of care, it also found the trial judge to have erred in failing to consider whether the decision to leave the bollards in place was a true policy decision. In the result, the court held that the conclusion that considerations of policy, financial resources and constraints, and social and economic factors were the basis for the policy decision was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Kennedy v. Waterloo County Board of Education, supra, can be distinguished upon its facts. The defendant school board sought immunity for its decision to leave the bollards in place and argued that was a true policy decision. There was no evidence of the social, political or economic factors considered in reaching that "policy" decision. In this case, the defendant city relies upon the agreed statement of facts which extensively sets out the provisions of the Engineering Technician's Manual, which includes an annual inspection of all streets, a rating of defects and a timeline for the repair of defects, the budget for inspection, the amount available for boulevard maintenance, the workers available, and the process for responding to complaints. The common book of documents sets out the field surveys, with particular reference to the block in which the plaintiff sustained her injury. This is not a case where there was a complaint or a concern with respect to the junction of the boulevard and sidewalk, but rather one where the block in which the accident occurred was routinely inspected and maintained in accordance with the Engineering Technician's Manual. The defendant city is not saying that it adopted a specific policy with respect to the risk which materialized, but rather that it adopted a comprehensive policy with respect to sidewalks and boulevards founded upon economic, social and political factors. It is not a case like Kennedy v. Waterloo County Board of Education, supra, where the defendant board was found to have made a "policy decision" to absolve itself from or reduce its statutory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 defendant city made a bona fide policy decision in the exercise of a discretionary power, and that that decision expressed in the Engineering Technician's Manual is not unreasonable and is a bona fide exercise of discretion based upon social, political and economic factors and not with a view to absolving itself of liability for the harm that the plaintiff sustained when she fell. As such, it is not reviewable by this court other than with respect to its operational aspect. There is no suggestion that the defendant city failed to carry out its responsibilities as set out in the Manual. Accordingly,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I am wrong in finding the defendant city entitled to rely upon the policy defence, then I am satisfied that the defendant city discharged the duty of care cast upon it by s. 3(1) of the Act and took that care that, in all of the circumstances (amongst which are budgetary and manpower considerations), was reasonable to see that the plaintiff was reasonably safe. This is not a case where the pavement was uneven or broken, but one where the plaintiff put her foot on the interface of the sidewalk and boulevard, an interface that was there to be seen. The plaintiff acknowledged her familiarity with the sidewalks and boulevards in the area, and it is plain from the photographs received in evidence that the junction of the sidewalk and the boulevard was uneven. Moreover, on the agreed statement of facts, the City carried out the inspection and maintenance program described in the Manual and had last inspected the location of the plaintiff's fall approximately ten months before the accident. No complaints concerning the site were received from the public between the date of inspection and the fall, and it was not unreasonable that no action was taken. It must be remembered that the effect of the Occupiers Liability Act is not to make an occupier an insurer but only to impose a duty of reasonable care for the reasonable safety of the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all of the circumstances, I am satisfied that the defendant city discharged the duty of care imposed upon it by s. 3(1) of the Occupiers Liability Act and that the premises were reasonably safe for the plaintiff and others at the time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also satisfied that the standard of care demonstrated by the City and as expressed by the Engineering Technician's Manual was a reasonable one. The plaintiff says that a "one size fits all" approach fails to meet the appropriate standard of care and, amongst other things, the defendant city failed to take into account the volume and the nature of the pedestrian traffic in the area and the vulnerable population using the sidewalks and boulevards (Comox Street is adjacent to St. Paul's Hospital and within a densely populated district of Vancouver). The site of the accident in Lysack v. Burrard Motor Inn, supra, was within a block or two from the site of the accident in the case at bar. Similar arguments were made in Lysack v. Burrard Motor Inn that the higher risk imposed a higher duty and required a higher standard of care. That was rejected by the court (page 6) where the court found that the policy for inspection and repair was reasonable and that the policy was properly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result the plaintiff's claim is dismissed. Because this action is in the nature of a "test case", each party will bear her or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French v. Fort St. John (City), [2003] B.C.J. No. 1434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22 - 25,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995666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1434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192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John French and Heather French, plaintiffs, and The City of Fort St. John and Fort St. John Curling Club, defendants, and The City of Fort St. John,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0"/>
      <w:bookmarkEnd w:id="249"/>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Sidewalks, walkways, ramps, etc. — Invitees, liability of particular occupiers (incl. duty and standard of care) — Parking lot, parking garage, etc.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 awards — Injury and death — Leg injuries — Knee — Fracture — General damage awards — Cost of future care and treatment —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26"/>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French against the City of St. John and a curling club for damages for personal injuries. The curling club leased the land, including the parking lot, from the City and had arrangements in place with an individual to clear the lot of ice and snow. As well, the City occasionally cleared the lot. The club had no regular system of inspecting or clearing the lot, and did not use abrasives or salt on the lot or sidewalks because they damaged the ice inside the club. French was a 15-year-old high school student on a field trip to the curling club. He slipped and fell on ice in the parking lot, injuring his knee. The lot was in a particularly slippery condition when the accident occurred. French suffered a full thickness articular fracture of the cartilage of the femur, a grade IV fracture to the patella, a tibial fracture and a crush fracture of the lateral meniscus. He had two surgeries and was left with a progressive degenerative condition that would likely require a total knee replacement in the future. He was bedridden for two months, on crutches for some time after the accident and had permanent ongoing pain. The injury prevented him from engaging in strenuous cardiovascular exercise and he gained weight as a result. Before the accident, he had intended to enter a trade like his father and grandfather, but instead enroled in university training to be a teacher. The club argued that it had taken reasonable steps to prevent the accident, that the City was liable for the accident and that French was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1" w:name="Holdings of Court_24"/>
            <w:bookmarkEnd w:id="25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Given the weather conditions and its knowledge that a busload of adolescents was going to be curling, the club had a duty to ensure that the lot was de-iced. The club did not establish that it had a reasonable program of snow and ice removal in place. The fact that the City occasionally plowed the lot did not give it control or make it liable for French's injury. French's pace was too fast for the conditions and he was 20 per cent liable for his injury, with the club liable for the other 80 per cent. Given his age and the continuing nature of his injuries, French was entitled to $100,000 in non-pecuniary damages. It was not proven that French would have pursued a career in a trade rather than as a teacher. However, his entry into the work force was slightly delayed and he had been rendered less capable overall of earning income. French was awarded $150,000 for loss or impairment of future earning capacity. No past wage loss was established. French also received $10,000 for the cost of future care and $50,000 for past and future loss of housekeeping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2" w:name="Legislation Cited_22"/>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821" w:history="1">
        <w:r>
          <w:rPr>
            <w:rFonts w:ascii="arial" w:eastAsia="arial" w:hAnsi="arial" w:cs="arial"/>
            <w:i/>
            <w:color w:val="0077CC"/>
            <w:sz w:val="20"/>
            <w:u w:val="single"/>
            <w:shd w:val="clear" w:color="auto" w:fill="FFFFFF"/>
            <w:lang w:val="en-US" w:eastAsia="en-US" w:bidi="ar-SA"/>
          </w:rPr>
          <w:t>R.S.B.C. 1996, c. 337, ss. 3</w:t>
        </w:r>
      </w:hyperlink>
      <w:r>
        <w:rPr>
          <w:rFonts w:ascii="arial" w:eastAsia="arial" w:hAnsi="arial" w:cs="arial"/>
          <w:color w:val="000000"/>
          <w:sz w:val="20"/>
          <w:lang w:val="en-US" w:eastAsia="en-US" w:bidi="ar-SA"/>
        </w:rPr>
        <w:t>, 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36"/>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B.J. Flewelling, for the plaintiffs. M.N. Fus,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6"/>
      <w:bookmarkEnd w:id="254"/>
      <w:r>
        <w:pict>
          <v:line id="_x0000_s1198"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GEROW J."/>
            <w:bookmarkEnd w:id="255"/>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John French slipped and fell in the parking lot outside the Fort St. John Curling Club (the "club") on February 25, 1997 injuring his right knee. He was 15 years old at the time and had been to the club on a school outing to learn to curl as part of the physical education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 commenced an action against both defendants; however, he settled with the City of Fort St. John and proceeded to trial only against the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action he is seeking damages resulting from the fall. Both liability and quantum are in issue. As part of the settlement agreement, the plaintiff will not seek recovery against the club for any damages attributable to the city. As a result liability has to be determined with respect to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consent Heather French is no longer a plaintiff as Mr. French is now 21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are to be determined are:</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club liable as an occupier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city liable as an occupier;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contributorily negligent;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including special damages, past wage loss, loss of future earning capacity and loss of opportunity.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ongoing complaints a result of other incidents, either prior to or subsequent to the fall, or his own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club entered into a lease with the city for the property on which the club's building is located on August 1, 1979. The lease describes the lands and premises as Lot 1 Plan 25780 and includes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Holland, the manager of the club, testified that, although the city cleaned the parking lots on occasion, the club had arrangements in place with an individual, Keith Turner, to clear the lot in exchange for free curling.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duty of an occupier is set out in s. 3 of the Occupiers Liability Act. An occupier is under a duty to take steps to keep their sidewalks and parking lots reasonably safe for persons using them. This does not mean that the lot and sidewalks have to be completely clear of snow but rather that the defendant has a system in place to remove snow and ice which is reasonable in light of all the surrounding circumstances including budget, availability of personnel, equipment, geographic location and prevailing weather conditions. Neilson v. Bear and Majestic Management (1981) Ltd., </w:t>
      </w:r>
      <w:hyperlink r:id="rId822" w:history="1">
        <w:r>
          <w:rPr>
            <w:rFonts w:ascii="arial" w:eastAsia="arial" w:hAnsi="arial" w:cs="arial"/>
            <w:i/>
            <w:color w:val="0077CC"/>
            <w:sz w:val="20"/>
            <w:u w:val="single"/>
            <w:shd w:val="clear" w:color="auto" w:fill="FFFFFF"/>
            <w:lang w:val="en-US" w:eastAsia="en-US" w:bidi="ar-SA"/>
          </w:rPr>
          <w:t>[1999] B.C.J. No. 86</w:t>
        </w:r>
      </w:hyperlink>
      <w:r>
        <w:rPr>
          <w:rFonts w:ascii="arial" w:eastAsia="arial" w:hAnsi="arial" w:cs="arial"/>
          <w:color w:val="000000"/>
          <w:sz w:val="20"/>
          <w:lang w:val="en-US" w:eastAsia="en-US" w:bidi="ar-SA"/>
        </w:rPr>
        <w:t xml:space="preserve">, (5 January 1999), Prince George Registry 01996 (B.C.S.C.), Just v. R. in Right of British Columbia </w:t>
      </w:r>
      <w:hyperlink r:id="rId808" w:history="1">
        <w:r>
          <w:rPr>
            <w:rFonts w:ascii="arial" w:eastAsia="arial" w:hAnsi="arial" w:cs="arial"/>
            <w:i/>
            <w:color w:val="0077CC"/>
            <w:sz w:val="20"/>
            <w:u w:val="single"/>
            <w:shd w:val="clear" w:color="auto" w:fill="FFFFFF"/>
            <w:lang w:val="en-US" w:eastAsia="en-US" w:bidi="ar-SA"/>
          </w:rPr>
          <w:t>(1989), 41 B.C.L.R. (2d) 350</w:t>
        </w:r>
      </w:hyperlink>
      <w:r>
        <w:rPr>
          <w:rFonts w:ascii="arial" w:eastAsia="arial" w:hAnsi="arial" w:cs="arial"/>
          <w:color w:val="000000"/>
          <w:sz w:val="20"/>
          <w:lang w:val="en-US" w:eastAsia="en-US" w:bidi="ar-SA"/>
        </w:rPr>
        <w:t xml:space="preserve"> (S.C.C.) and Perrett v. The City of Port Moody, </w:t>
      </w:r>
      <w:hyperlink r:id="rId823" w:history="1">
        <w:r>
          <w:rPr>
            <w:rFonts w:ascii="arial" w:eastAsia="arial" w:hAnsi="arial" w:cs="arial"/>
            <w:i/>
            <w:color w:val="0077CC"/>
            <w:sz w:val="20"/>
            <w:u w:val="single"/>
            <w:shd w:val="clear" w:color="auto" w:fill="FFFFFF"/>
            <w:lang w:val="en-US" w:eastAsia="en-US" w:bidi="ar-SA"/>
          </w:rPr>
          <w:t>[1998] B.C.J. No. 622</w:t>
        </w:r>
      </w:hyperlink>
      <w:r>
        <w:rPr>
          <w:rFonts w:ascii="arial" w:eastAsia="arial" w:hAnsi="arial" w:cs="arial"/>
          <w:color w:val="000000"/>
          <w:sz w:val="20"/>
          <w:lang w:val="en-US" w:eastAsia="en-US" w:bidi="ar-SA"/>
        </w:rPr>
        <w:t xml:space="preserve"> (19 March 1998), New Westminster S0331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is that the weather on the day of the accident was unseasonably warm and there had been considerable snow melt. A freeze/thaw cycle had been occurring for a couple of days prior to the accident and as a result there was a large puddle surrounding the bus which Mr. French had to walk through in order to get on the bus. He could not see the surface of the parking lot under the puddle but says it felt very 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Life, the friend who was right behind him, testified that when Mr. French fell his feet went right out from under him and he fell backwards. Mr. Life commented on how slippery the lot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manager of the club, Mr. Holland also testified that he noticed that "it was definitely a slippery day" when he went out to investigate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Leggett, a forensic engineer, specializing in accident reconstruction, commented in his report that the freeze/thaw cycle of weather reported for the two days leading up to the fall would result in the accumulated snow melting during the day and then refreezing at night. He opined that "The wetter the surface, the lower the coefficient of friction. In essence, the ice becomes lubricated with water to the point where it provides very low traction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report he states that in order to minimize the effect of the ice one can either apply chemicals to de-ice the area or abrasives to provide 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based on the evidence of the slippery state of the parking lot and the description of the fall that Mr. French lost his footing and slipped on ice beneath a large puddle surrounding the school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is that the club did not use abrasives or salt on the parking lot or the sidewalk in front of the building. Apparently abrasives and salt are problematic for curling clubs as they are easily tracked in and cause damage to the curling ice and the rocks. Mr. Holland testified that "they had experimented with lots of different types of de-icers and abrasives over the years and had decided to use nitrogen fertilizer for de-icing as it breaks up the ice and then evaporates." His evidence was that the fertiliser was only used on the sidewalks and nothing was applied to the parking lot. The club had no regular system of inspecting the lot or regular schedule to clear the lot. Mr. Holland said he would contact Mr. Turner or after a big dump Mr. Turner would come and clean the lot without being called, or the city would clear the lot. If the lot got soupy and messy Mr. Holland would contact Mr. Turner to clean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is that the lot had been ploughed the night before the accident, however, no abrasives or de-icers were used on the lot. Mrs. Richter, the acting president, testified that the club had control over the parking lot and she was aware that the rink employees did not use salt, sand or gravel in the parking lot. However, she assumed if there was ice in the parking lot the rink manager would arrange to have it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Titley, an employee of the club, testified that he did not know where the fertilizer was and never used it to de-ice the sidewalks or parking lot. He never used salt because it tracks in and is hard to clean up. Rather he used an ice chipper to remove the ice, but only on the sidewalks, not the parking lot. He thought the city was responsible to chip ice in the parking lot to make it safe for the school children, however there is no evidence that city would have been aware that the club had scheduled high school students to attend that day or evidence of any agreement with the city to be responsible for ice removal in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club argued that anyone who lives in Fort St. John is aware that snow and ice are present in parking lots in the winter and represent hazards which must be dealt with on a daily basis. Mr. French had entered the building from the parking lot only an hour or two before the accident and would have been well aware of the condition of the lot. However, there is no evidence that the bus picked the students up at the same point it dropped them off or that Mr. French had walked across the parking lot when he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Defence counsel referred to a number of cases involving slip and falls where the defendant was found to have a reasonable system in place to remove snow and ice, however, the systems all involved the use of either salt or sand. I agree with Mr. Justice Parrett's comment in Neilson v. Bear that given the freeze/thaw condition the defendant had a duty to make certain the parking lot was either de-iced with nitrogen fertilizer or sanded; especially when the club knew high school students were attending the club. The club made a decision not to use salt and sand because of the potential damage to its ice surface and rocks.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no reason advanced as to why the club did not use the fertilizer which it received for free. The fertilizer could have been spread either by Mr. Titley who was at the club every day or the students who were employed to assist around the club. The club did not present any evidence that lots in the area were not salted and sanded during the winter to make them safer for use. Neither did it present evidence that the cost of taking steps to either salt or de-ice the lot was prohibitive.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Leggett states in his report that the use of sand and gravel dramatically increase the ability of pedestrians to walk in when it is placed on the ice, even if water is present. All of the cases referred to by defence counsel included salt and sanding as part of the system of snow and ice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Knowing the lot was slippery and knowing a bus load of adolescents was coming, the club chose to do nothing to improve traction or melt the ice. The bus was parked in line with front door and it would have taken very little effort and cost to put down some fertilizer or sand where the students were walking. In the circumstances, the club has not satisfied the onus on it to establish that it had a reasonable program of snow and ice removal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club argues that the city was also an occupier and should bear a portion of the liability. The evidence is that the city would plough the parking lot when it ploughed the other civic lots adjacent to the club. Mr. Holland's evidence is that the city would not advise the club of when it was going to plough or ask permission. Both he and Mr. Locher, the city manager, agreed that the snow clearing was on an informal basis. Mr. Locher provided direction to his staff to push the snow from the kids' arena to store it beside the tennis courts. During that process the curling rink parking lot would be cleared.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Gardner v. Unimet Investments Ltd. and DPE Electronics Canada Ltd., </w:t>
      </w:r>
      <w:hyperlink r:id="rId824" w:history="1">
        <w:r>
          <w:rPr>
            <w:rFonts w:ascii="arial" w:eastAsia="arial" w:hAnsi="arial" w:cs="arial"/>
            <w:i/>
            <w:color w:val="0077CC"/>
            <w:sz w:val="20"/>
            <w:u w:val="single"/>
            <w:shd w:val="clear" w:color="auto" w:fill="FFFFFF"/>
            <w:lang w:val="en-US" w:eastAsia="en-US" w:bidi="ar-SA"/>
          </w:rPr>
          <w:t>[1996] B.C.J. No. 886</w:t>
        </w:r>
      </w:hyperlink>
      <w:r>
        <w:rPr>
          <w:rFonts w:ascii="arial" w:eastAsia="arial" w:hAnsi="arial" w:cs="arial"/>
          <w:color w:val="000000"/>
          <w:sz w:val="20"/>
          <w:lang w:val="en-US" w:eastAsia="en-US" w:bidi="ar-SA"/>
        </w:rPr>
        <w:t>, (22 March 1996), Vancouver CA019986 (B.C.C.A), the plaintiff argued that DPE was an occupier because it regularly cleaned the sidewalk. The Court of Appeal agreed with the trial judge who had found that even if DPE unilaterally assumed the responsibility of cleaning the sidewalk it did not have control over the area and was not an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 lease specifically grants control of the parking lot area to the club. The fact that the city ploughs the lot from time to time does not give it control. The club is responsible for maintaining the leasehold.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both Hodgson v. Christensen, </w:t>
      </w:r>
      <w:hyperlink r:id="rId825" w:history="1">
        <w:r>
          <w:rPr>
            <w:rFonts w:ascii="arial" w:eastAsia="arial" w:hAnsi="arial" w:cs="arial"/>
            <w:i/>
            <w:color w:val="0077CC"/>
            <w:sz w:val="20"/>
            <w:u w:val="single"/>
            <w:shd w:val="clear" w:color="auto" w:fill="FFFFFF"/>
            <w:lang w:val="en-US" w:eastAsia="en-US" w:bidi="ar-SA"/>
          </w:rPr>
          <w:t>[1989] B.C.J. No. 2322</w:t>
        </w:r>
      </w:hyperlink>
      <w:r>
        <w:rPr>
          <w:rFonts w:ascii="arial" w:eastAsia="arial" w:hAnsi="arial" w:cs="arial"/>
          <w:color w:val="000000"/>
          <w:sz w:val="20"/>
          <w:lang w:val="en-US" w:eastAsia="en-US" w:bidi="ar-SA"/>
        </w:rPr>
        <w:t xml:space="preserve"> (S.C.) and Goldmanis v. Mador, </w:t>
      </w:r>
      <w:hyperlink r:id="rId826" w:history="1">
        <w:r>
          <w:rPr>
            <w:rFonts w:ascii="arial" w:eastAsia="arial" w:hAnsi="arial" w:cs="arial"/>
            <w:i/>
            <w:color w:val="0077CC"/>
            <w:sz w:val="20"/>
            <w:u w:val="single"/>
            <w:shd w:val="clear" w:color="auto" w:fill="FFFFFF"/>
            <w:lang w:val="en-US" w:eastAsia="en-US" w:bidi="ar-SA"/>
          </w:rPr>
          <w:t>[1991] B.C.J. No. 3049</w:t>
        </w:r>
      </w:hyperlink>
      <w:r>
        <w:rPr>
          <w:rFonts w:ascii="arial" w:eastAsia="arial" w:hAnsi="arial" w:cs="arial"/>
          <w:color w:val="000000"/>
          <w:sz w:val="20"/>
          <w:lang w:val="en-US" w:eastAsia="en-US" w:bidi="ar-SA"/>
        </w:rPr>
        <w:t xml:space="preserve"> (S.C.) the landlord was found not to be an occupier under s. 3 as there was insufficient control over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the landlord is responsible for maintenance then s. 6 of the Occupiers Liability Act imposes a duty on the landlord towards people using the property. Under the lease the city is not responsible for maintenance, rather maintenance is the responsibility of the club. Accordingly, s. 6 has no application. As a result, I find that the city is not liable to Mr.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club also argues that Mr. French caused his own misfortune by failing to take care when crossing the lot. The evidence is that Mr. French came out of the building running to catch up to his friend, Mr. Life. He passed him and then, he says, slowed to a fast walk. The puddle was obvious, however, there was no other way to get into the bus except walking through it. He was wearing running shoes, which Mr. Leggett opines provides the same traction as winter boots on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Life's evidence was that he thought Mr. French's pace was a little quicker than he would go in the circumstances. He described it as a bit rash but qualified that comment by saying Mr. French's pace was a reasonable compromise between speed and stability. There is no evidence that he or anyone else told Mr. French to watch out or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cases referred to in which the plaintiff has been found contributorily negligent are cases where the plaintiff was either told or knew not to proceed or they had an alternate route in order to avoid obvious danger. Stankovic v. Wong, </w:t>
      </w:r>
      <w:hyperlink r:id="rId827" w:history="1">
        <w:r>
          <w:rPr>
            <w:rFonts w:ascii="arial" w:eastAsia="arial" w:hAnsi="arial" w:cs="arial"/>
            <w:i/>
            <w:color w:val="0077CC"/>
            <w:sz w:val="20"/>
            <w:u w:val="single"/>
            <w:shd w:val="clear" w:color="auto" w:fill="FFFFFF"/>
            <w:lang w:val="en-US" w:eastAsia="en-US" w:bidi="ar-SA"/>
          </w:rPr>
          <w:t>[1996] B.C.J. No. 2430</w:t>
        </w:r>
      </w:hyperlink>
      <w:r>
        <w:rPr>
          <w:rFonts w:ascii="arial" w:eastAsia="arial" w:hAnsi="arial" w:cs="arial"/>
          <w:color w:val="000000"/>
          <w:sz w:val="20"/>
          <w:lang w:val="en-US" w:eastAsia="en-US" w:bidi="ar-SA"/>
        </w:rPr>
        <w:t xml:space="preserve">, (20 November 1996), New Westminster S018315 (B.C.S.C.), Scurfield v. Cariboo Helicopter Skiing Ltd., </w:t>
      </w:r>
      <w:hyperlink r:id="rId828" w:history="1">
        <w:r>
          <w:rPr>
            <w:rFonts w:ascii="arial" w:eastAsia="arial" w:hAnsi="arial" w:cs="arial"/>
            <w:i/>
            <w:color w:val="0077CC"/>
            <w:sz w:val="20"/>
            <w:u w:val="single"/>
            <w:shd w:val="clear" w:color="auto" w:fill="FFFFFF"/>
            <w:lang w:val="en-US" w:eastAsia="en-US" w:bidi="ar-SA"/>
          </w:rPr>
          <w:t>[1993] 3 W.W.R. 418</w:t>
        </w:r>
      </w:hyperlink>
      <w:r>
        <w:rPr>
          <w:rFonts w:ascii="arial" w:eastAsia="arial" w:hAnsi="arial" w:cs="arial"/>
          <w:color w:val="000000"/>
          <w:sz w:val="20"/>
          <w:lang w:val="en-US" w:eastAsia="en-US" w:bidi="ar-SA"/>
        </w:rPr>
        <w:t xml:space="preserve"> (B.C.C.A.) and Lawrence v. The City of Prince Rupert and B.C. Hydro and Power Authority, </w:t>
      </w:r>
      <w:hyperlink r:id="rId829" w:history="1">
        <w:r>
          <w:rPr>
            <w:rFonts w:ascii="arial" w:eastAsia="arial" w:hAnsi="arial" w:cs="arial"/>
            <w:i/>
            <w:color w:val="0077CC"/>
            <w:sz w:val="20"/>
            <w:u w:val="single"/>
            <w:shd w:val="clear" w:color="auto" w:fill="FFFFFF"/>
            <w:lang w:val="en-US" w:eastAsia="en-US" w:bidi="ar-SA"/>
          </w:rPr>
          <w:t>[2003] B.C.J. No. 711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Although there was no obvious danger as the puddle covered the ice and no alternate route, there is evidence that Mr. French's pace was too fast for the conditions. Accordingly, some apportionment of liability is appropriate. Even taking into account his age and the fact he was on a school outing where high spirits are normal he was not as attentive as he should have been. However, I am of the view that the major fault lies with the club which failed to take steps to salt and sand the lot. Fault is apportioned 80% to the club and 20% to Mr.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French suffered a serious injury to his right knee. He suffered a full thickness articular fracture of the cartilage of the femur, a grade IV fracture to the patella, a tibial facture and a crush fracture of lateral meniscus. He has had two surgeries to date. He has a degenerative condition which is progressive. It is probable that he will require more surgeries, including a total knee replacement, in the future. The evidence is that he is not a good candidate for surgery as a result of his size. It is recommended that total knee replacement be delayed as long as possible, hopefully until he is in his 60s.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was bedridden for two to three months and on crutches for some time after the accident. The injury has left him with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is restricted in the types of activities he can do. He can not go for long walks, hiking, camping or fishing. He can not stand for long periods of time and has difficulty going up and down stairs. He is not able to participate fully in extracurricular activities or have a full social life at university because of his physical limitations. He is unable to perform manual labour jobs which involve lifting, carrying or any other activity which uses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attempts to exercise however his knee prevents from doing any strenuous cardiovascular exercise. As a result he has had difficult controlling his weight. He has had two incidents of instability when his knee has given out and may have more in the future. If the instability problem continues there is a possibility he may require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was only 15 at the time he was injured but was a large boy at 6'2" and has grown significantly since then. He is now 6'6" and weighs 300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Defence counsel argues that any damages should be reduced because Mr. French has failed to follow his doctors' recommendations that he lose weight and exercise more. She argues that he should have gone to the pool right after the accident. As well, he has said no to all the surgical suggestions.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doctors have all said that Mr. French is a poor candidate for surgery. He cannot, therefore, be faulted for declining further surgeries. I did not understand any of the doctors to recommend surgery except as a last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evidence is that Mr. French was very diligent at the beginning with his physiotherapy. As time went on and he saw no further improvement, he was unwilling to exercise as much with the pain he was experiencing. However he continues to exercise within his pain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Both Mr. French and his mother testified regarding his attempts to lose weight, watch his diet and exercise. He has followed doctors' recommendations. As Dr. Ellis said, Mr. French is in a catch 22 situation, his bulk makes it difficult to exercise and he needs to exercise in order to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two principles that are equally important are that the plaintiff must act reasonably to minimize his loss and the defendant takes his victim as he finds him. Humphrey v. Rancier Estate, </w:t>
      </w:r>
      <w:hyperlink r:id="rId830" w:history="1">
        <w:r>
          <w:rPr>
            <w:rFonts w:ascii="arial" w:eastAsia="arial" w:hAnsi="arial" w:cs="arial"/>
            <w:i/>
            <w:color w:val="0077CC"/>
            <w:sz w:val="20"/>
            <w:u w:val="single"/>
            <w:shd w:val="clear" w:color="auto" w:fill="FFFFFF"/>
            <w:lang w:val="en-US" w:eastAsia="en-US" w:bidi="ar-SA"/>
          </w:rPr>
          <w:t>[1985] B.C.J. No. 835</w:t>
        </w:r>
      </w:hyperlink>
      <w:r>
        <w:rPr>
          <w:rFonts w:ascii="arial" w:eastAsia="arial" w:hAnsi="arial" w:cs="arial"/>
          <w:color w:val="000000"/>
          <w:sz w:val="20"/>
          <w:lang w:val="en-US" w:eastAsia="en-US" w:bidi="ar-SA"/>
        </w:rPr>
        <w:t xml:space="preserve"> (S.C.). I find in the circumstances, given Mr. French's age and size at the time of the accident and his honest attempts to exercise and lose weight, he cannot be said to have acted unreasonably or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injury occurred when Mr. French was very young. He will suffer pain and restrictions throughout his life. The injury has affected his self esteem as a teenager and young adult. Having considered the significance of the injury, his age, the ongoing pain and impact his life and the cases presented by counsel for similar injuries I assess his non-pecuniary damages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French is currently attending University of Northern British Columbia to become a teacher. As a result of the injury he cannot pursue a career in the trades as his family had hoped. Accordingly, he claims a loss of both past wages and future earnings, for the difference between when he could have entered the labour force and the wages he would have received during the course of his career as a tradesman as opposed to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time of the accident Mr. French had not developed any firm career plans. His career plans are still not set although he is currently studying to be a teacher. Since the accident he has considered careers in computers and teaching. He enjoys school and reading. He says that but for the accident he would have considered going into a trade as his father is a tradesman with certification (tickets) in three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Mrs. French testified that the family had hoped Mr. French would go into the mill and obtain a ticket as both her husband and father were involved in trades. However, Mr. French is doing well at university and his prospects for the future are bright. I am not satisfied that Mr. French would have pursued a career in the mill as opposed to pursuing a career which would have required university or technical school training such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Young, an economist, provided a report and testified at trial regarding the appropriate calculation of the loss of future earning capacity and past wage loss. In my view, the underlying assumption of his report, that Mr. French would have pursued a career in the trades and obtained a ticket rather than going to school has not been established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follows that Mr. French is not entitled to recover the cost of his tuition or living expenses while attending school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French has been working at the mill in the summers during university. There is no evidence of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respect to loss of future income earning capacity, I accept that Mr. French was delayed slightly in his education as a result of the injury and, therefore, his entry into the labour force. He is limited in the type of work he will be able to do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have considered the various factors set out in Kmetyko v. Harrison, </w:t>
      </w:r>
      <w:hyperlink r:id="rId831" w:history="1">
        <w:r>
          <w:rPr>
            <w:rFonts w:ascii="arial" w:eastAsia="arial" w:hAnsi="arial" w:cs="arial"/>
            <w:i/>
            <w:color w:val="0077CC"/>
            <w:sz w:val="20"/>
            <w:u w:val="single"/>
            <w:shd w:val="clear" w:color="auto" w:fill="FFFFFF"/>
            <w:lang w:val="en-US" w:eastAsia="en-US" w:bidi="ar-SA"/>
          </w:rPr>
          <w:t>[1998] B.C.J. No. 2918</w:t>
        </w:r>
      </w:hyperlink>
      <w:r>
        <w:rPr>
          <w:rFonts w:ascii="arial" w:eastAsia="arial" w:hAnsi="arial" w:cs="arial"/>
          <w:color w:val="000000"/>
          <w:sz w:val="20"/>
          <w:lang w:val="en-US" w:eastAsia="en-US" w:bidi="ar-SA"/>
        </w:rPr>
        <w:t xml:space="preserve"> (S.C.) and Brown v. Golaiy, </w:t>
      </w:r>
      <w:hyperlink r:id="rId2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 The evidence establishes that Mr. French has been rendered less capable overall of earning income from all types of employment, is less marketable and less attractive to potential employers because of his injury, has lost the ability to take advantage of all job opportunities and is less valuable to himself as a person capable of earning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recognized that assessing awards in this area is a matter of prophecy, but the courts have held that "for a young person at the beginning of his adulthood, the general loss of capacity is the paramount consideration." Morris v. Rose Estate </w:t>
      </w:r>
      <w:hyperlink r:id="rId832"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at 262 (C.A.). Taking into account the fact Mr. French was only 15 at the time when he was rendered unable to pursue a wide range of job options thus limiting his choices of career and the degenerative nature of his condition, it is my view that an appropriate award for loss or impairment of future earning capacity and delay in entering the work force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French is claiming special damages for trips to Dawson Creek for medical treatment of $991.69. As well, he is claiming the amount of $10,000 for the cost of future care including the cost of a brace, its occasional replacement and ongoing physiotherapy. I am awarding those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Finally, I have considered Mr. French's claim for cost of past and future housekeeping. Mr. French's limitations include cleaning low areas, vacuuming, climbing ladders, working on slopes, mowing the lawn and shovelling snow. In McTavish v. MacGillvary, </w:t>
      </w:r>
      <w:hyperlink r:id="rId833"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(C.A.) the replacement cost approach of assessing the amount for the loss of capacity to do unpaid work was favoured. It matters not whether the plaintiff will actually pay for replacement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Young provided calculations of the value of the loss based upon generalist wages at $12.07 per hour as most of Mr. French's limitations are in the domestic work category. The total loss of ability he calculated was $244,800. however, Mr. French's loss of ability is partial. He submits $75,000. would be an appropriate award under this head. The club argues that historically an award under this head of damages is a thousand dollars. No evidence was adduced by the club regarding another amount being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McTavish the Court of Appeal did not find the trial judge's award of $43,170 for future loss and $20,800 for past loss of future housekeeping capacity excessive. The plaintiff in the case was 47 years old and could no longer perform any household services involving lifting or carrying of even moderately heavy objects or stretching, bending or leaning over. She was therefore quite limited in the domestic chores she could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establishes that Mr. French has ongoing limitations that will affect his capability to do household chores as enumerated above. In the circumstances, again taking into account his young age and the degenerative nature of his injury, it is my view an appropriate award for both past and future loss of housekeeping capacity is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summary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271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941"/>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or impairment of</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earning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$ 150,000.00</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1150"/>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991.63</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941"/>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Subject to submissions to the contrary, costs to each party according to the apportionment of fault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Gill v. Bassi, [2016] B.C.J. No. 874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S096680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874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754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86 C.P.C. (7th)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267 A.C.W.S. (3d) 296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1181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Shangara Gill, Harmail Romana, Banta Singh Dhillon, Nirmal Singh Pagely, Jaspreet Kaur Gill, Taranjit S. Pagely, Gurdeep Kaur Romana, Plaintiffs, and Jagjit Singh Bassi, Medallion Realty Ltd. doing business as Sutton Group _Medallion Realty, Garrett Ratther, Veerpal Dhillon and Avtar Singh Gill,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1"/>
      <w:bookmarkEnd w:id="256"/>
      <w:r>
        <w:rPr>
          <w:rFonts w:ascii="arial" w:eastAsia="arial" w:hAnsi="arial" w:cs="arial"/>
          <w:b/>
          <w:color w:val="000000"/>
          <w:sz w:val="20"/>
          <w:lang w:val="en-US" w:eastAsia="en-US" w:bidi="ar-SA"/>
        </w:rPr>
        <w:t>Civil litigation — Civil procedure — Costs — Particular orders — Solicitor and client or substantial indemnity — For improper conduct — Special orders — For reprehensible or inefficient conduct — When not awarded — Ruling regarding costs — Plaintiffs' claims for damages for fraudulent and negligent misrepresentation and misappropriate of funds against realtor defendants were dismissed, and action against Veerpal in separate action was allowed — Realtor defendants were entitled to costs as successful party on party and party basis — Plaintiffs and Veerpal were to bear their own costs — This was not appropriate case for special costs or double costs — There was no reprehensible conduct — Supreme Court Civil Rules, Rules 9-1(6), 14-1(9).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7" w:name="Case Summary_27"/>
            <w:bookmarkEnd w:id="2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regarding costs. The plaintiffs purchased five undeveloped lots. They claimed they were fraudulently induced to pay much more for the lots than the vendors were asking. The plaintiffs' claims for damages for fraudulent and negligent misrepresentation and misappropriate of funds were dismissed. The defendants Bassi, Gill, and Medallion Realty Ltd. (collectively, the "realtor defendants") sought special costs, or in the alternative, double costs from the date of a settlement offer delivered 18 days prior to trial. The offer was for $30,000 and was explicitly stated to be made in respect of the claim for Bassi's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claimed that although the realtor defendants were successful at trial, they should be denied all or part of their costs on their costs. The realtor defendants submitted the plaintiffs pursued claims that they knew or should have known were meritless. The plaintiffs and the defendant Veerpal against whom the plaintiffs succeeded in a separate action sought costs against each other.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8" w:name="Holdings of Court_25"/>
            <w:bookmarkEnd w:id="258"/>
            <w:r>
              <w:rPr>
                <w:rFonts w:ascii="arial" w:eastAsia="arial" w:hAnsi="arial" w:cs="arial"/>
                <w:color w:val="000000"/>
                <w:sz w:val="20"/>
                <w:lang w:val="en-US" w:eastAsia="en-US" w:bidi="ar-SA"/>
              </w:rPr>
              <w:t>HELD: The realtor defendants were entitled to costs as the successful party.</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entitled to a detailed review of costs. The plaintiffs and Veerpal were to bear their own costs. This was not an appropriate case for special costs. It could not be said that the plaintiffs deliberately attempted to mislead the court. The plaintiffs simply did not prove their case on a balance of probabilities because their evidence was not accepted. This did not constitute reprehensible conduct. The claim for doubt costs was also dismissed. The settlement offer was for all practical purposes a nominal or nuisance offer. It made no effort to settle the real and most substantial issues between the parties, and it could not be said that it ought reasonably to have been accepted. The defendants were entitled to their costs on a partial indemnity basis. It could not be said that the defendants gave willfully dishonest evidence. No specific findings were made to differentiate between evidence that was deliberately untrue, evidence that was unreliable and evidence that could not be shown to be true on a balance of probabilities. With respect to Veerpal, this was an appropriate circumstance for the successful plaintiffs to be deprived of their costs. Although the plaintiffs were successful against Veerpal, that result could have been achieved based on the pleadings at any time before trial. No such application was made, and Veerpal was forced to participate in the lengthy trial. Veerpal failed to make a written offer which might have made her participation in trial unnecessary or that would have established a claim for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9" w:name="Legislation Cited_23"/>
      <w:bookmarkEnd w:id="2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7-7</w:t>
      </w:r>
      <w:r>
        <w:rPr>
          <w:rFonts w:ascii="arial" w:eastAsia="arial" w:hAnsi="arial" w:cs="arial"/>
          <w:color w:val="000000"/>
          <w:sz w:val="20"/>
          <w:lang w:val="en-US" w:eastAsia="en-US" w:bidi="ar-SA"/>
        </w:rPr>
        <w:t>(6)(a) (i), Rule 9-1(5)(b), Rule 9-1(6), Rule 14-1(9), Rule 14-1(21)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0" w:name="Counsel_37"/>
      <w:bookmarkEnd w:id="2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 Jarvis.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S.B. Twining, K.S. Garcha.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1" w:name="Judgment_37"/>
      <w:bookmarkEnd w:id="261"/>
      <w:r>
        <w:pict>
          <v:line id="_x0000_s1203" style="position:absolute;z-index:2518456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3,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2" w:name="N.H. SMITH J."/>
            <w:bookmarkEnd w:id="262"/>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reasons for judgment dated October 21, 2014 (indexed at </w:t>
      </w:r>
      <w:hyperlink r:id="rId841" w:history="1">
        <w:r>
          <w:rPr>
            <w:rFonts w:ascii="arial" w:eastAsia="arial" w:hAnsi="arial" w:cs="arial"/>
            <w:i/>
            <w:color w:val="0077CC"/>
            <w:sz w:val="20"/>
            <w:u w:val="single"/>
            <w:shd w:val="clear" w:color="auto" w:fill="FFFFFF"/>
            <w:lang w:val="en-US" w:eastAsia="en-US" w:bidi="ar-SA"/>
          </w:rPr>
          <w:t>2014 BCSC 1972</w:t>
        </w:r>
      </w:hyperlink>
      <w:r>
        <w:rPr>
          <w:rFonts w:ascii="arial" w:eastAsia="arial" w:hAnsi="arial" w:cs="arial"/>
          <w:color w:val="000000"/>
          <w:sz w:val="20"/>
          <w:lang w:val="en-US" w:eastAsia="en-US" w:bidi="ar-SA"/>
        </w:rPr>
        <w:t>), I dismissed the plaintiffs' claims for damages for fraudulent and negligent misrepresentation and misappropriation of funds. I have now heard further submissions on issues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Jagjit Bassi ("Bassi"), Avtar Gill and Medallion Realty Ltd. (collectively, the "realtor defendants") seek special costs or, in the alternative, double costs from the date of a settlement offer. The plaintiffs say that those defendants, although successful at trial, should be denied all or part of their costs. The plaintiffs and the defendant Veerpal Dhillon ("Veerpal"), against whom the plaintiffs succeeded in a separate claim, seek costs against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During the trial of this action, the plaintiffs commenced a separate action and unsuccessfully sought injunctive relief against the defendant Avtar Gill and two others who are not parties to this action. The costs in that matter are dealt with in separate reasons for judgment being released concurrently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concerned five undeveloped lots that the plaintiffs separately bought across the street from the site of a planned new private school. The plaintiffs said they were fraudulently induced to pay more than $200,000 for each lot although the actual price paid to the vendors was much less than that--in most cases less than half. They alleged that their excess payments went directly or indirectly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 plaintiffs signed conveyancing documents that disclosed the true price of the lots, they said they signed those documents without reading them because they trusted the principle defendant, Bassi, and accepted whatever he told them. In some cases, the plaintiffs said they continued to make payments they believed to be for the lots even after they had obtained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make no attempt here to repeat the facts set out in the previous judgment. For these purposes, it is sufficient to say that the case turned entirely on credibility, and I found some of the evidence from all parties difficult to believe. As said at paragraph 171 of the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I return to the need for clear and convincing evidence to support an allegation of fraud. The plaintiffs' evidence of the alleged verbal representations is not sufficiently credible or reliable to be accepted on its own as clear and convincing. The evidence of surrounding circumstances is often ambiguous and not sufficient to overcome that basic credibility problem. Some of the defendants' conduct and evidence arouses suspicion, but as said above, the case is one for the plaintiffs to prove, not for the defendants to disprove. Where the evidence of all parties is unconvincing in significant ways, the consequences must fall on those who bear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also dismissed separate allegations of negligent misrepresentation based on alleged representations about the properties' resale value and development potential and the alleged failure to disclose the existence of a sewer right-of-way that crossed some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realtor defendants seek special costs, arguing that the plaintiffs pursued meritless allegations of fraud against two professional realtors when they knew or should have known those claims to be without merit. They say the plaintiffs' claims were not advanced or assisted by the issues on which defendants, particularly Bassi, were also found not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An award of special costs is intended to chastise a party for reprehensible, scandalous or outrageous conduct, either in the circumstances giving rise to the cause of action or in the course of the litigation: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2012 BCSC 237</w:t>
        </w:r>
      </w:hyperlink>
      <w:r>
        <w:rPr>
          <w:rFonts w:ascii="arial" w:eastAsia="arial" w:hAnsi="arial" w:cs="arial"/>
          <w:color w:val="000000"/>
          <w:sz w:val="20"/>
          <w:lang w:val="en-US" w:eastAsia="en-US" w:bidi="ar-SA"/>
        </w:rPr>
        <w:t xml:space="preserve"> at para. 9, leave to appeal ref'd </w:t>
      </w:r>
      <w:hyperlink r:id="rId843" w:history="1">
        <w:r>
          <w:rPr>
            <w:rFonts w:ascii="arial" w:eastAsia="arial" w:hAnsi="arial" w:cs="arial"/>
            <w:i/>
            <w:color w:val="0077CC"/>
            <w:sz w:val="20"/>
            <w:u w:val="single"/>
            <w:shd w:val="clear" w:color="auto" w:fill="FFFFFF"/>
            <w:lang w:val="en-US" w:eastAsia="en-US" w:bidi="ar-SA"/>
          </w:rPr>
          <w:t>2012 BCCA 481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 failure to prove allegations of fraud will not automatically result in an award of special costs, but may do so when "the totality of the circumstances reveal that allegations of fraud have been made frivolously, are without foundation, or made in circumstances where the alleging party had access to information sufficient to conclude that the defendant was merely negligent or had committed no wrongdoing at all": </w:t>
      </w:r>
      <w:r>
        <w:rPr>
          <w:rFonts w:ascii="arial" w:eastAsia="arial" w:hAnsi="arial" w:cs="arial"/>
          <w:i/>
          <w:color w:val="000000"/>
          <w:sz w:val="20"/>
          <w:lang w:val="en-US" w:eastAsia="en-US" w:bidi="ar-SA"/>
        </w:rPr>
        <w:t>International Hi-Tech Industries Inc. v. FANUC Robotics Canada Ltd.</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2007 BCSC 1724</w:t>
        </w:r>
      </w:hyperlink>
      <w:r>
        <w:rPr>
          <w:rFonts w:ascii="arial" w:eastAsia="arial" w:hAnsi="arial" w:cs="arial"/>
          <w:color w:val="000000"/>
          <w:sz w:val="20"/>
          <w:lang w:val="en-US" w:eastAsia="en-US" w:bidi="ar-SA"/>
        </w:rPr>
        <w:t>,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circumstances under which special costs may be ordered were summarized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a meritless claim and is reckless with regard to the truth;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makes improper allegations of fraud, conspiracy, fraudulent misrepresentation, or breach of fiduciary duty;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has displayed "reckless indifference" by not recognizing early on that its claim was manifestly deficient;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made the resolution of an issue far more difficult than it should have been;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who is in a financially superior position to the other brings proceedings, not with the reasonable expectation of a favourable outcome, but in the absence of merit in order to impose a financial burden on the opposing party;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presents a case so weak that it is bound to fail, and continues to pursue its meritless claim after it is drawn to its attention that the claim is without merit;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brings a proceeding for an improper motive;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maintains unfounded allegations of fraud or dishonesty;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claims frivolously or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realtor defendants argue that all of these circumstances except (e) apply in this case. However, the argument advanced under each category essentially flows from the fact the court rejected the plaintiffs' evidence, including their evidence to the effect that they did not read the documents they signed, which disclosed the true purchase price of the lots, and either did not receive or did not pay attention to an explanation of those documents from the conveyancing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argument may be summarized, and perhaps somewhat oversimplified, as: "(1) The plaintiffs' evidence was not believed; (2) if it was not believed it must have been false; (3) if it was false, the plaintiffs must have known it to be false; and (4) if the plaintiffs knew it to be false, they must have been recklessly indifferent in pursuing unfounded and unmeritorious claims through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last three propositions do not necessarily or automatically flow from the first. Special costs are not awarded based on the acceptance or rejection of testimony. "If it were otherwise, instead of being an extraordinary measure, special costs could be imposed whenever credibility was in issue": </w:t>
      </w:r>
      <w:r>
        <w:rPr>
          <w:rFonts w:ascii="arial" w:eastAsia="arial" w:hAnsi="arial" w:cs="arial"/>
          <w:i/>
          <w:color w:val="000000"/>
          <w:sz w:val="20"/>
          <w:lang w:val="en-US" w:eastAsia="en-US" w:bidi="ar-SA"/>
        </w:rPr>
        <w:t>Grewal v. Sandhu</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2012 BCCA 26</w:t>
        </w:r>
      </w:hyperlink>
      <w:r>
        <w:rPr>
          <w:rFonts w:ascii="arial" w:eastAsia="arial" w:hAnsi="arial" w:cs="arial"/>
          <w:color w:val="000000"/>
          <w:sz w:val="20"/>
          <w:lang w:val="en-US" w:eastAsia="en-US" w:bidi="ar-SA"/>
        </w:rPr>
        <w:t xml:space="preserve"> at para. 107, leave to appeal ref'd </w:t>
      </w:r>
      <w:hyperlink r:id="rId847" w:history="1">
        <w:r>
          <w:rPr>
            <w:rFonts w:ascii="arial" w:eastAsia="arial" w:hAnsi="arial" w:cs="arial"/>
            <w:i/>
            <w:color w:val="0077CC"/>
            <w:sz w:val="20"/>
            <w:u w:val="single"/>
            <w:shd w:val="clear" w:color="auto" w:fill="FFFFFF"/>
            <w:lang w:val="en-US" w:eastAsia="en-US" w:bidi="ar-SA"/>
          </w:rPr>
          <w:t>2012 CarswellBC 1815</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Even if one assumes the plaintiffs' evidence was dishonest as opposed to merely unreliable--and I made no explicit finding on that point--dishonest testimony alone is not sufficient to warrant an order for special costs. There must be something more egregious in the impugned conduct for it to be considered reprehensible: </w:t>
      </w:r>
      <w:r>
        <w:rPr>
          <w:rFonts w:ascii="arial" w:eastAsia="arial" w:hAnsi="arial" w:cs="arial"/>
          <w:i/>
          <w:color w:val="000000"/>
          <w:sz w:val="20"/>
          <w:lang w:val="en-US" w:eastAsia="en-US" w:bidi="ar-SA"/>
        </w:rPr>
        <w:t>Schwabe Estate v. Lisinski</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2005 BCSC 1284</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at para. 13; </w:t>
      </w:r>
      <w:r>
        <w:rPr>
          <w:rFonts w:ascii="arial" w:eastAsia="arial" w:hAnsi="arial" w:cs="arial"/>
          <w:i/>
          <w:color w:val="000000"/>
          <w:sz w:val="20"/>
          <w:lang w:val="en-US" w:eastAsia="en-US" w:bidi="ar-SA"/>
        </w:rPr>
        <w:t>380876 British Columbia Ltd. v. Ron Perrick Law Corp.</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2009 BCSC 1209</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a difference between a party who deliberately attempts to mislead the court and a party who fails to prove a case on a balance of probabilities because his or her evidence is not accepted. This case falls into the latter category and is comparable to </w:t>
      </w:r>
      <w:r>
        <w:rPr>
          <w:rFonts w:ascii="arial" w:eastAsia="arial" w:hAnsi="arial" w:cs="arial"/>
          <w:i/>
          <w:color w:val="000000"/>
          <w:sz w:val="20"/>
          <w:lang w:val="en-US" w:eastAsia="en-US" w:bidi="ar-SA"/>
        </w:rPr>
        <w:t>Crest Realty Westside Ltd. v. W. &amp; W. Parker Enterprises Ltd.</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2014 BCSC 2205</w:t>
        </w:r>
      </w:hyperlink>
      <w:r>
        <w:rPr>
          <w:rFonts w:ascii="arial" w:eastAsia="arial" w:hAnsi="arial" w:cs="arial"/>
          <w:color w:val="000000"/>
          <w:sz w:val="20"/>
          <w:lang w:val="en-US" w:eastAsia="en-US" w:bidi="ar-SA"/>
        </w:rPr>
        <w:t>, where Bowden J. said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Court found that there was no evidentiary foundation for the defendant's allegation of fraud, that finding essentially turned on a finding of credibility. The finding of credibility was only possible after hearing extensive examination and cross-examination of both Ms. Parker and Mr. Yaworski. Until the examination of those witnesses, the allegation of fraud was not obviously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basis of those authorities, I find this is not an appropriate case for special costs and decline to make any such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alternative to the claim for special costs, the realtor defendants seek double costs pursuant to R. 9-1(5)(b)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based on an offer to settle that was delivered on August 28, 2013--18 days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offer was for $30,000 and was explicitly stated to be made in respect of the claim for Bassi's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disclose the existence of the sewer right-of-way and issues relating to soil stability. The offer was based on appraisal evidence indicating the difference between the properties' purchase price and their true value as of the date of purchase. Counsel for the realtor defendants made clear that no offer was being made in respect of the fraud claim, which was the major part of the plaintiff's case. Counsel's letter containing the offer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that most of the discovery evidence has been canvassed, it is evident that (the fraud) claim cannot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the fraud claims are disregarded</w:t>
      </w:r>
      <w:r>
        <w:rPr>
          <w:rFonts w:ascii="arial" w:eastAsia="arial" w:hAnsi="arial" w:cs="arial"/>
          <w:color w:val="000000"/>
          <w:sz w:val="20"/>
          <w:lang w:val="en-US" w:eastAsia="en-US" w:bidi="ar-SA"/>
        </w:rPr>
        <w:t xml:space="preserve">, what remains is a rather ordinary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disclose the existence of a sewer right of way and soil stability issues affecting the subject properties. We anticipate that we will succeed in defending these claims as well, but in the interests of resolving this matter and avoiding a very costly trial, </w:t>
      </w:r>
      <w:r>
        <w:rPr>
          <w:rFonts w:ascii="arial" w:eastAsia="arial" w:hAnsi="arial" w:cs="arial"/>
          <w:color w:val="000000"/>
          <w:sz w:val="20"/>
          <w:u w:val="single"/>
          <w:lang w:val="en-US" w:eastAsia="en-US" w:bidi="ar-SA"/>
        </w:rPr>
        <w:t xml:space="preserve">our clients are prepared to settle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claim</w:t>
      </w:r>
      <w:r>
        <w:rPr>
          <w:rFonts w:ascii="arial" w:eastAsia="arial" w:hAnsi="arial" w:cs="arial"/>
          <w:color w:val="000000"/>
          <w:sz w:val="20"/>
          <w:lang w:val="en-US" w:eastAsia="en-US" w:bidi="ar-SA"/>
        </w:rPr>
        <w:t xml:space="preserve"> based on the appraisal evidence produced.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Rules 9-1(5) and (6)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options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 of court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inquiry under s. 9-1(6)(a)--whether an offer ought reasonably to have been accepted--is based on what was reasonable at the time the offer was made, not on the court's ultimate decision: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27. Even the fact an action is ultimately dismissed in its entirety is not a consideration with respect to double costs: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89.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the Court of Appeal, referring to the predecessor of the current Rule, said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 Virtually all litigation comes with a degree of risk. When faced with settlement offers, plaintiffs must carefully consider their positions. However, they should not to be cowed into accepting an unreasonable offer out of fear of being penalized with double costs if they are unable to "beat" that offer. Put somewhat differently, plaintiffs should not be penalized for declining an offer that did not provide a genuine incentive to settle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should consider whether the offer truly provided an incentive to settle the matter--that is, "whether it gave the plaintiff a problem, something with which it had to grapple": </w:t>
      </w:r>
      <w:r>
        <w:rPr>
          <w:rFonts w:ascii="arial" w:eastAsia="arial" w:hAnsi="arial" w:cs="arial"/>
          <w:i/>
          <w:color w:val="000000"/>
          <w:sz w:val="20"/>
          <w:lang w:val="en-US" w:eastAsia="en-US" w:bidi="ar-SA"/>
        </w:rPr>
        <w:t>P.S.D. Enterprises Ltd. v. New Westminster (City)</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2011 BCSC 1646</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Aujla v. Kaila</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2011 BCSC 466</w:t>
        </w:r>
      </w:hyperlink>
      <w:r>
        <w:rPr>
          <w:rFonts w:ascii="arial" w:eastAsia="arial" w:hAnsi="arial" w:cs="arial"/>
          <w:color w:val="000000"/>
          <w:sz w:val="20"/>
          <w:lang w:val="en-US" w:eastAsia="en-US" w:bidi="ar-SA"/>
        </w:rPr>
        <w:t xml:space="preserve">, aff'd on other grounds </w:t>
      </w:r>
      <w:hyperlink r:id="rId855" w:history="1">
        <w:r>
          <w:rPr>
            <w:rFonts w:ascii="arial" w:eastAsia="arial" w:hAnsi="arial" w:cs="arial"/>
            <w:i/>
            <w:color w:val="0077CC"/>
            <w:sz w:val="20"/>
            <w:u w:val="single"/>
            <w:shd w:val="clear" w:color="auto" w:fill="FFFFFF"/>
            <w:lang w:val="en-US" w:eastAsia="en-US" w:bidi="ar-SA"/>
          </w:rPr>
          <w:t>2013 BCCA 158</w:t>
        </w:r>
      </w:hyperlink>
      <w:r>
        <w:rPr>
          <w:rFonts w:ascii="arial" w:eastAsia="arial" w:hAnsi="arial" w:cs="arial"/>
          <w:color w:val="000000"/>
          <w:sz w:val="20"/>
          <w:lang w:val="en-US" w:eastAsia="en-US" w:bidi="ar-SA"/>
        </w:rPr>
        <w:t>, a case that turned on credibility issues, the Court said at paras. 10 and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my view, each side of this litigation faced significant risks. The outcome turned largely on findings of credibility. The defendants' position was better supported by documentary evidence but it also required credibility findings to be made in their favour.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[T]he plaintiff's case was objectively fraught with risk, but the offer amounted to little more than a nuisance offer given the value of the claim being advanced and the likely importance of the credibility of each of the litigants to the facts to be found in the ultimate result. Although I dismissed the plaintiff's action, in my opinion, her case, as it stood days before trial, could not fairly be described as lacking any real prospect of success no matter what risks it faced. Judgments may reasonably vary concerning the strength of a case and its prospects of success. The defendants also faced risks which reasonably might affect the plaintiff's judgment of her chances.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Aujla</w:t>
      </w:r>
      <w:r>
        <w:rPr>
          <w:rFonts w:ascii="arial" w:eastAsia="arial" w:hAnsi="arial" w:cs="arial"/>
          <w:color w:val="000000"/>
          <w:sz w:val="20"/>
          <w:lang w:val="en-US" w:eastAsia="en-US" w:bidi="ar-SA"/>
        </w:rPr>
        <w:t>, the plaintiffs' case here was objectively fraught with risk and had to confront documentary evidence that supported the defendants. However, the case turned entirely on credibility, and much would depend on how evidence was presented and received at trial, including the impact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principal claim made by the plaintiffs in this case was that they had been fraudulently induced to pay excessive amounts for the property.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distinct, separable and largely peripheral claim. The facts on which it was based are explicitly mentioned in only two paragraphs of the 109-paragraph statement of facts in the notice of civil claim. While that is not determinative, the amount of trial time occupied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of a similar proportion.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separate nature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clearly recognized by the realtor defendants' settlement offer, which explicitly said that nothing was being offered in settlement of the plaintiffs' major claim. In that context, I find that it was for all practical purposes a nominal or nuisance offer. It made no effort to settle the real and most substantial issues between the parties, and I cannot say that it ought reasonably to have been accepted. The claim for double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PARTY AND PARTY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say that, although their claim was dismissed, the realtor defendants should be denied all or part of their costs because they gave false evidence on several points, including the circumstances under which offers to purchase lots were first made to the vendors and the purpose of additional payments that were made to Bassi.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Rule 14-1(9) says that "costs of a proceeding must be awarded to the successful party unless the court otherwise orders." In </w:t>
      </w:r>
      <w:r>
        <w:rPr>
          <w:rFonts w:ascii="arial" w:eastAsia="arial" w:hAnsi="arial" w:cs="arial"/>
          <w:i/>
          <w:color w:val="000000"/>
          <w:sz w:val="20"/>
          <w:lang w:val="en-US" w:eastAsia="en-US" w:bidi="ar-SA"/>
        </w:rPr>
        <w:t>LeClair v. Mibrella Inc.,</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2011 BCSC 533</w:t>
        </w:r>
      </w:hyperlink>
      <w:r>
        <w:rPr>
          <w:rFonts w:ascii="arial" w:eastAsia="arial" w:hAnsi="arial" w:cs="arial"/>
          <w:color w:val="000000"/>
          <w:sz w:val="20"/>
          <w:lang w:val="en-US" w:eastAsia="en-US" w:bidi="ar-SA"/>
        </w:rPr>
        <w:t>, Voith J. said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Rule 14-1(9) is not intended to provide an unsuccessful party with an opportunity to parse through the litigation conduct of the opposing party searching for behaviour that might be criticized. I do not say that the discretion which is conferred in Rule 14-1(9) is limited to exceptional cases. The Rule is not, however, intended to address imperfect or less than optimal conduct. It is generally not intended to address questionable judgment. Instead it provides the court with an objective means of communicating its censure in relation to conduct that manifestly warrants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There is no doubt that costs can be denied to a successful party who has given willfully dishonest evidence: </w:t>
      </w:r>
      <w:r>
        <w:rPr>
          <w:rFonts w:ascii="arial" w:eastAsia="arial" w:hAnsi="arial" w:cs="arial"/>
          <w:i/>
          <w:color w:val="000000"/>
          <w:sz w:val="20"/>
          <w:lang w:val="en-US" w:eastAsia="en-US" w:bidi="ar-SA"/>
        </w:rPr>
        <w:t>Cardwell et al v. Perthen et al,</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2007 BCSC 366</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However, this is a case in which all parties gave some evidence that was not accepted. No specific findings were made to differentiate between evidence that was deliberately untrue, evidence that was unreliable and evidence that simply could not be shown to be true on a balance of probabilities. The plaintiffs essentially ask for all of the evidence to be reviewed in order for those findings to be made and hope that any deliberate falsehoods will all be found to have come from one side. Even if it were practical to do that at this stage, it is precisely the kind of detailed "parsing" referred to in </w:t>
      </w:r>
      <w:r>
        <w:rPr>
          <w:rFonts w:ascii="arial" w:eastAsia="arial" w:hAnsi="arial" w:cs="arial"/>
          <w:i/>
          <w:color w:val="000000"/>
          <w:sz w:val="20"/>
          <w:lang w:val="en-US" w:eastAsia="en-US" w:bidi="ar-SA"/>
        </w:rPr>
        <w:t>Leclair</w:t>
      </w:r>
      <w:r>
        <w:rPr>
          <w:rFonts w:ascii="arial" w:eastAsia="arial" w:hAnsi="arial" w:cs="arial"/>
          <w:color w:val="000000"/>
          <w:sz w:val="20"/>
          <w:lang w:val="en-US" w:eastAsia="en-US" w:bidi="ar-SA"/>
        </w:rPr>
        <w:t xml:space="preserve"> and is not what R. 14-1(9) intends.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will have their costs as the successful party. At the hearing of this application, I indicated that I was not prepared to order costs in a specific amount based on the bill of costs submitted by the defendants. Given the significant amount potentially involved (the costs and disbursements claimed by the realtor defendants exceed $160,000) the plaintiffs are entitled to a detailed review by the Registrar under R. 14-1(21).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agree with plaintiffs' counsel that the costs award should be made only against the principle plaintiffs Shangara Gill, Harmail Romana, Banta Singh Dhillon and Nirmail Singh Pagely. The remaining three plaintiffs were named only because property was acquired in their name. Their actual roles in the respective transactions or at the trial were minimal, and they should not be responsible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COSTS IN THE CLAIM AGAINST VEERPAL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claim against Veerpal Dhillon had a different basis than the claim against the realtor defendants. There was no allegation that she made any representations to the plaintiffs. The claim against her was one of unjust enrichment, based on the fact that she acquired title to one of the lots though all of the money for that purchase came from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her response to civil claim, Veerpal said that she held title to the lot in trust for the plaintiff Shangara Gill and/or the plaintiff Harmail Romana. She gave evidence at trial that she had offered to transfer title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reasons for judgment, I said that the facts would support a declaration that she holds the lot in trust. I did not understand the plaintiffs to have asked for such a declaration, but gave them liberty to apply. At the hearing of these applications, the plaintiffs obtained that declaration and an order for transfer of title. The plaintiffs now seek costs against Veerpal, and she seeks costs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 plaintiffs were ultimately successful in their only pleaded claim against Veerpal, that result could have been achieved based on the pleadings at any time before trial pursuant to R. 7-7(6)(a)(i),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for order on admissions</w:t>
      </w:r>
    </w:p>
    <w:p>
      <w:pPr>
        <w:numPr>
          <w:numId w:val="2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judgment or any other application may be made to the court using as evidence</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admissions of the truth of a fact or the authenticity of a document made</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affidavit or pleading filed by a party,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 such application was ever made, and Veerpal was forced to participate in this lengthy trial. The plaintiffs may have considered some of the evidence involving her to be also relevant to the broader fraud claim against the realtor defendants, but she did not need to remain a defendant for that evidence to be put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is an appropriate circumstance for successful plaintiffs to be deprived of their costs pursuant to R. 14-1(9). However, while that Rule gives the court discretion to deny costs to a successful plaintiff, an award of costs to an unsuccessful defendant is a very different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Davey v. Gruyaert</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2007 BCCA 20</w:t>
        </w:r>
      </w:hyperlink>
      <w:r>
        <w:rPr>
          <w:rFonts w:ascii="arial" w:eastAsia="arial" w:hAnsi="arial" w:cs="arial"/>
          <w:color w:val="000000"/>
          <w:sz w:val="20"/>
          <w:lang w:val="en-US" w:eastAsia="en-US" w:bidi="ar-SA"/>
        </w:rPr>
        <w:t xml:space="preserve"> at para. 5,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 The starting point, of course, is the principle that costs follow the event and that any departure from that rule is usually intended to deprive the successful party of costs rather than to award costs to an unsuccessful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a defendant may establish a potential claim for costs by making an offer to settle under R. 9-1. The court may award costs to the defendant under R. 9-1(5)(d), if the judgment obtained by a successful plaintiff does not exceed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some evidence that Veerpal made a verbal offer to transfer title to her lot pto the plaintiffs but no evidence of such an offer being made in a written form that complied with R. 9-1. Like the plaintiffs who failed to seek judgment based on her admission, Veerpal also failed to take advantage of a procedure that might have made her participation in trial unnecessary or that would have at least established a claim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Veerpal also argues that she was forced to pay property taxes on the property while it was held in her name. Her response to the civil claim alleges that the plaintiffs refused her request to pay the taxes, but her pleadings did not include a counterclaim for those amounts. It is not an issue that is properly the subject of a costs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Therefore, the plaintiffs and Veerpal will each bear their own costs in relation to the claim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claim by the realtor defendants for special costs, or, in the alternative, double costs, is dismissed. The realtor defendants will have party and party costs at Scale B, following assessment of those costs by the Registrar. The plaintiffs and the defendant, Veerpal Dhillon, will each bear their own costs in respect of the issues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N. Smith dated May 2, 2016 have been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front page of the judgment the name of counsel was removed "R. Fernyhough" on May 3, 2016.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Grigor v. Johal, [2008] B.C.J. No. 2651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J.A. Sinclair Prowse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23, 2008.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December 23,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M075497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2651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1823</w:t>
      </w:r>
    </w:p>
    <w:p>
      <w:pPr>
        <w:spacing w:before="120" w:line="260" w:lineRule="atLeast"/>
        <w:rPr>
          <w:lang w:val="en-US" w:eastAsia="en-US" w:bidi="ar-SA"/>
        </w:rPr>
      </w:pPr>
      <w:r>
        <w:rPr>
          <w:rFonts w:ascii="arial" w:eastAsia="arial" w:hAnsi="arial" w:cs="arial"/>
          <w:color w:val="000000"/>
          <w:sz w:val="20"/>
          <w:lang w:val="en-US" w:eastAsia="en-US" w:bidi="ar-SA"/>
        </w:rPr>
        <w:t>Between Gheorghe Grigor, Plaintiff, and Jerry Singh Johal and Ronnie D. Johal,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5"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3" w:name="Keywords_32"/>
      <w:bookmarkEnd w:id="26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for damages for injuries suffered as a result of a motor vehicle accident allowed in part — Defendants argued that the serious lower back injury claimed by plaintiff predated the accident — Evidence proved that the lower back injury was caused by the collision — Plaintiff was awarded damages for past income loss, future loss of income, future costs of care and general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Assessment of damages — Action for damages for injuries suffered as a result of a motor vehicle accident allowed in part — Defendants argued that the serious lower back injury claimed by plaintiff predated the accident — Evidence proved that the lower back injury was caused by the collision — Plaintiff was awarded damages for past income loss, future loss of income, future costs of care and general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4" w:name="Case Summary_28"/>
            <w:bookmarkEnd w:id="26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for injuries suffered as a result of a motor vehicle accident. The plaintiff claimed that he suffered injuries to his neck and back. The defendants argued that the most serious injury claimed, a lower back injury, predated the accident. </w:t>
            </w:r>
            <w:r>
              <w:rPr>
                <w:lang w:val="en-US" w:eastAsia="en-US" w:bidi="ar-SA"/>
              </w:rPr>
              <w:cr/>
            </w:r>
          </w:p>
          <w:p>
            <w:pPr>
              <w:spacing w:before="120" w:line="260" w:lineRule="atLeast"/>
              <w:ind w:left="240"/>
              <w:jc w:val="both"/>
              <w:rPr>
                <w:lang w:val="en-US" w:eastAsia="en-US" w:bidi="ar-SA"/>
              </w:rPr>
            </w:pPr>
            <w:bookmarkStart w:id="265" w:name="Holdings of Court_26"/>
            <w:bookmarkEnd w:id="265"/>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suffered a contusion to his left shoulder and a soft tissue injury to his neck and right shoulder. The evidence proved that the lower back injury was caused by the collision. The plaintiff was awarded $14,000 for past income loss,$120,000 for future loss of income, $1,000 for future costs of care and $90,000 for general damages. </w:t>
            </w:r>
            <w:r>
              <w:rPr>
                <w:lang w:val="en-US" w:eastAsia="en-US" w:bidi="ar-SA"/>
              </w:rPr>
              <w:cr/>
            </w:r>
          </w:p>
          <w:p>
            <w:pPr>
              <w:rPr>
                <w:lang w:val="en-US" w:eastAsia="en-US" w:bidi="ar-SA"/>
              </w:rPr>
            </w:pPr>
          </w:p>
        </w:tc>
      </w:tr>
    </w:tbl>
    <w:p>
      <w:pPr>
        <w:jc w:val="both"/>
        <w:rPr>
          <w:lang w:val="en-US" w:eastAsia="en-US" w:bidi="ar-SA"/>
        </w:rPr>
      </w:pPr>
      <w:bookmarkStart w:id="266" w:name="Counsel_38"/>
      <w:bookmarkEnd w:id="26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6" style="position:absolute;z-index:2517493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M.G. Bolda, J.P. McStravick.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J.M. Naylor, G. Sandhu.</w:t>
      </w:r>
      <w:r>
        <w:rPr>
          <w:lang w:val="en-US" w:eastAsia="en-US" w:bidi="ar-SA"/>
        </w:rPr>
        <w:cr/>
      </w:r>
    </w:p>
    <w:p>
      <w:pPr>
        <w:spacing w:after="240"/>
        <w:rPr>
          <w:lang w:val="en-US" w:eastAsia="en-US" w:bidi="ar-SA"/>
        </w:rPr>
      </w:pPr>
      <w:bookmarkStart w:id="267" w:name="Judgment_38"/>
      <w:bookmarkEnd w:id="267"/>
      <w:r>
        <w:pict>
          <v:line id="_x0000_s1207" style="position:absolute;z-index:25180057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8" w:name="J.A. SINCLAIR PROWSE J. (orally)"/>
            <w:bookmarkEnd w:id="268"/>
            <w:r>
              <w:rPr>
                <w:rFonts w:ascii="arial" w:eastAsia="arial" w:hAnsi="arial" w:cs="arial"/>
                <w:b/>
                <w:color w:val="000000"/>
                <w:sz w:val="30"/>
                <w:lang w:val="en-US" w:eastAsia="en-US" w:bidi="ar-SA"/>
              </w:rPr>
              <w:t>J.A. SINCLAIR PROWSE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18, 2006, a vehicle owned and driven by the Plaintiff, Gheorghe Grigor, was rear-ended by a vehicle owned by the Defendant Jerry Singh Johal and driven by the Defendant Ronnie D. Johal. The Defendants admit this collision arose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in this case pertains to the nature and the extent of the Plaintiff's injuries (and, in particular, to whether he suffered an injury to his lower back) and to the quantum of damages arising from those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With respect to the background circumstances, the Plaintiff is 49 years old. (He will be 50 years old at the end of February 2009.) He and his wife emigrated from Romania in 1990. They have two children, a son and a daughter.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welder. Since 1994, he has been working for his present employer, Fireplace International Products. This company manufactures and assembles fireplaces.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collision occurred on August 18, 2006, as the Plaintiff was driving home from work. He was stopped at 128th Street in Surrey and was waiting to merge onto the King George Highway when, without warning, his vehicle was rear-ended by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vehicle was not driveable after the collision. It was a 1992 Honda Civic and the damage was sufficient enough that it was later written off. The Defendants' vehicle was a Ford Explorer truck. The damage to it included the destruction of the right front headlight; significant damage to the right front side above the front wheel-well; and significant damage to the right front wheel-well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Plaintiff experienced pain in his neck and shoulders immediately and in his lower back shortly after that, he initially declined the paramedic's offer to take him to the hospital. However, as he waited at the scene for the police officer to take him home, he began to feel worse and worse. He called his wife at her work and asked her to come and get him. When she arrived, he was seated on the ground. His whole body was shaking and he was very stiff. By this time, he was unable to sit upright. As a consequence, he lay down on the back seat of her vehicle as she drove him to the hospital. The doctor at the hospital prescribed muscle relaxants for his injuries and recommended that the Plaintiff see his family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too sore to attend work the next day. In fact, he was not able to return to work for two months - that is, until the middle of October 2006, when he returned on a part-time basis working four hours a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Though the Defendants argue that this return to work demonstrated that the Plaintiff was well on his way to recovery when he returned in October 2006, the evidence does not support this argument. To the contrary, though the Plaintiff's symptoms had improved to a modest extent, it was probably financial necessity that drove him back to work. He was not well on the road to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a practical point of view, the timing of this collision and the consequent injuries could not have been worse. Both the Plaintiff and his wife worked, his wife being employed in the housekeeping/laundry department of a long-term care facility. At that time, she was suffering from carpel tunnel syndrome and it was known that she would be off work from January 1, 2007, until June 2007 when she would undergo surgery to relieve this problem. During that period of time, the Plaintiff's family would be relying solely on his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explained in his evidence that although his wife was still working at that time, they needed both incomes to survive financially. The amount that he would receive from Employment Insurance benefits was not sufficient to meet their needs. Although the Plaintiff's symptoms had improved to a modest extent, the evidence does not support the Defendants' argument that his return to work was because he was well on his way to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returned to full-time employment at the beginning of January 2007. Although the Defendants submit that this fact indicates that the Plaintiff's symptoms had essentially been resolved, again, the evidence does not support this submission. Rather, the evidence shows that his symptoms had not significantly improved but that it was financial necessity that caused him to return to work full-time.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the beginning of January 2007, the Plaintiff and his wife had exhausted their savings, as they had used them to cover the shortfall in their income resulting from the fact that the Plaintiff could only work part-time. In addition, the Plaintiff's wife was not working in January because of her upcoming surgery. It is because of this financial necessity that the Plaintiff began to work full-time, including overtime. During the period from January 2007 to April 2007 he worked 72 hours of overtime.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beginning of April, his wife made him stop working overtime. She testified that although they needed the money, the cost to him was too high. He was in too much pain and it was taking a toll on the whole family, including their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Since then to the present, the Plaintiff has only worked two hours of overtime. This is a marked change from previous years, as on average he worked approximately 55 hours of overtime a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is set out subsequently in this judgment, the Plaintiff's most troublesome injury is the injury to his lower back. This injury includes nerve root impingement. Its ongoing symptom is chronic pain which worsens during the day and which is additionally aggravated by such activities as bending, lifting, stooping, carrying and sitting for any length of time. Usually by the end of the day, he is in a great deal of pain. (One of the first things that he does when he gets home is stretching exercises to help relieve his tensed-up lower back muscles.)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Given this situation and the fact that overtime is more labour intensive than the work that he is usually doing, the Plaintiff has found that he is no longer physically capable of working overtime. Consequently, he will only do it in emergency situations.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the Plaintiff's injuries also include a soft tissue injury to his neck and shoulders; although that injury did cause him pain; and although that injury resolved in 18 months to 2 years, as the Plaintiff explained in his evidence, he never considered it to be too serious: It was more of a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Though his back symptoms did improve somewhat during the fall of 2006 and the early winter of 2007, they then plateaued and have not improved noticeably since. Moreover, the prognosis is that it is unlikely that they will ever resolve.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Not only have these injuries (and in particular his back injury) interfered with his capacity to work, they have also lessened the quality and enjoyment of other aspects of his life. For example, prior to the collision the Plaintiff was physically active - ice skating and biking with his children; playing soccer with friends; and performing such household tasks as vacuuming. The Plaintiff is no longer able to do these activities. It is too painful to do them. In addition, with respect to the ice skating and biking, he is concerned that he might fall and injure himself further.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the end of the day, he is exhausted and in pain. His disposition has changed. He is frequently grumpy and no longer has the energy to interact with his children in the meaningful way that he did before the collision. This interaction is not limited to recreational activities but also extends to engaging with them verbally in quality discussions about what is going on in their lives. As his wife put it in her testimony, the children miss their dad - they miss the person that he was before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was set out at the beginning of these Reasons, the issues in this trial are the nature and extent of the Plaintiff's injuries and the quantum of damages arising from those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Before the substantive issues can be determined, there is a preliminary issue to be addressed. That issue is the reliability of the Plaintiff's testimony. This issue is interrelated with the reliability of the evidence of Dr. England, an orthopaedic surgeon who did an independent medical examination of the Plaintiff and who was called to testify by the Defendants in this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To put these issues in context, in this action, the Plaintiff contends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suffered a soft tissue injury to his neck and right shoulder; a contusion to his left shoulder; and a low back injury. Though the Defendants do not dispute that the Plaintiff suffered the contusion and the soft tissue injuries, they do dispute that his low back injury was caused by this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Specifically, with respect to the low back injury, the Plaintiff concedes that prior to the collision, he had some age-related degeneration in the lower back area of his spine (namely, at the S1 level). The Plaintiff now has a disc herniation, or disc protrusion, including an annular tear with some nerve root impingement at that level of his lower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contends that this injury (that is, the disc herniation or disc protrusion, including the annular tear with some nerve root impingement) was caused by the collision in that it caused it entirely or, if this injury predated the collision, the collision caused it to become symptomatic whereas before the collision, it was asymptomatic.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on the other hand, submit that the Plaintiff's back injury predated this collision or, alternatively, if it was caused by the collision, it is minor in nature, leaving the Plaintiff with few, if any, restrictions as a result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making this submission, the Defendants rely upon the evidence of Dr. England and upon some alleged inconsistencies in the Plaintiff's testimony. Dr. England opined that the Plaintiff's lower back injury was not caused by the collision but, rather, predated it and was symptomatic before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Moreover, Dr. England reported that in the medical examination that he did of the Plaintiff, the Plaintiff "did not represent his best, was symptom magnifying or attempted to deceive me." On the basis of that opinion and the alleged inconsistencies in the Plaintiff's testimony, the Defendants further submit that the Plaintiff is not a credible witness and that his evidence should not be relied upon.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far as the Plaintiff is concerned, for reasons which follow, I found him to be a credible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evidence with respect to his low back injury was that, prior to the collision, apart from some low back pain (which was different in kind) that he had suffered in May 2004 for a short time as a result of a soccer injury, he did not have any back pain. Shortly after the collision, however, he experienced low back pain and has suffered from chronic low back pain ever since. As a result of this injury, his physical ability to stoop, bend, lift, carry or sit for any length of time has been compromised. This, in turn, has interfered with his ability to work and with his quality of life generally.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far as his credibility is concerned, I found the Plaintiff to be a reliable witness because he presented in a credible manner when testifying; because his testimony was consistent with his conduct; and because his testimony was consistent with the observation of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his presentation when testifying, the Plaintiff presented as a reserved, unsophisticated, straightforward, honest, and proud man. He was thoughtful in his testimony, thinking about the questions and answering them in a non-exaggerated, complete, balanced and candid manner. He also appeared to be a stoic, which is in keeping with his explanation that he did not really consider his shoulder and neck injury to be too serious. He could handle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apparent when he was testifying that he was a man who had always been able to take care of his family. He had adapted to a new country and learned a new language. However, his work was physical in nature and now he could no longer do the work that he had once done. It was evident in his testimony that this was a significant blow to his pride. This reaction supported the reliability of his description of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His evidence was also consistent with his conduct. For example, his evidence as to the pain that he is experiencing and the limitations that it places on him is consistent with the fact that since the collision, he no longer participates in soccer games with friends and recreational activities such as ice skating and bike riding with his children. He no longer does chores such as vacuuming, chores that he had done throughout his 23-year marriage and chores in which he took some pride. Further, from time to time, he has had to ask his co-workers to assist him with lifting and carrying, assistance that he had never asked for prior to the collision. He has stopped working overtime, an activity that he has done in varying degrees throughout his working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Furthermore, his testimony was consistent with the observations of others. For example, his wife noticed that after the collision, his body movements have been different. He is stiff and sore much of the time. He no longer has the energy he once had. His mood has changed. He is grumpy and inattentive with the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far as his wife was concerned, I found her to be a credible witness and I relied on her testimony. When she was giving evidence she was impressive. She appeared to be a "salt of the earth type of person." She represented as an observant, straightforward and honest person. Her answers were thoughtful and balanced.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the Plaintiff's evidence was consistent with the observation of a person with whom he had worked for 14 years. This person at one time had been his supervisor. Although he does not necessarily interact with him on a daily basis at this time, he did see him after the collision. He attested that he knew that the Plaintiff was in a lot of pain because of the expression on his face and because of the change in his movements. (For example, he was having difficulty bending.) Based on his observations, it was this witness's view that the Plaintiff was not the same worker that he had been before the collision. He did not have the energy and drive that he had had before the occurrence of that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evidence was also consistent with the observations and the opinions reached by Dr. Rosenfeld (the Plaintiff's family doctor) and Dr. van Rijn (the physiatrist who examined the Plaintiff and testified on his behalf).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is set out in more detail later, the Plaintiff did have degenerative disease in his lower spine prior to the collision. The Plaintiff testified that it was asymptomatic and that it did not become symptomatic until after the collision. Both Dr. Rosenfeld and Dr. van Rijn attested that the Plaintiff's injury was the kind of injury that could arise from trauma. (Dr. England also conceded that this type of injury could arise from trauma, although it was his opinion that in this particular instance, it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was also Dr. van Rijn's opinion that but for this collision the Plaintiff would not have had this type of pain. The degeneration in his spine may have made him more susceptible to injury but it did not cause the injury. Both of these doctors also testified that the complaints of the Plaintiff were in keeping with the type of injury that the Plaintiff has alleged that he has sustained. Furthermore, the Plaintiff's injury is in keeping with the MRI that was done on August 2, 2007 (that is, it does not disclose the disc herniation or disc protrusion and the annular tear).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Generally with respect to the consistency of the Plaintiff's evidence in relation to his conduct and the observation of others, the evidence is compelling in this case as, in keeping with his stoic nature, the Plaintiff does not complain about his injuries. (That is, he may from time to time complain, but he is not a person who complains on a regular basis.) It is the profound change in his behaviour and his movements that demonstrate the seriousness of his injury and the reliability of his reporting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reaching his opinion that the Plaintiff's lower back injury predated the collision, Dr. England relied upon the report of Dr. Heran dated November 5, 2007. (Dr. Heran is a neurosurgeon to whom the Plaintiff was referred by Dr. Rosenfeld.) Dr. England also relied upon what he understood to have been pre-existing symptoms of this low back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factors that Dr. England relied upon do not support the conclusion that he reached.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far as his reliance on Dr. Heran's report is concerned, Dr. England opined that Dr. Heran had concluded that the Plaintiff's injury was age-related, not caused by the collision and that there was no neural irritation. To the contrary, although Dr. Heran found the bony changes in the Plaintiff's spine probably predated the collision, he concluded that "it is most likely that the accident resulted in an exacerbation of the underlying problem with nerve root impingement." In other words, it was Dr. Heran's view that the nerve root impingement, which was the injury that was causing the Plaintiff's pain, was probably caused by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referring to this report of Dr. Heran, I am mindful that this report was not tendered for the truth of the contents. However, that is not the purpose for which I am using it. Rather, I am using it to assess the reliability of Dr. England's opinion. As this report does not support the proposition that Dr. England used it for, it does not increase the reliability of Dr. England's conclusions.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his opinion that the Plaintiff was symptomatic prior to the collision, Dr. England relies on the episode in May 2004 and the low back pain that the Plaintiff experienced at that time as a result of a soccer injury. However, I am satisfied that the evidence proves (as is set out in the evidence of Dr. van Rijn) that this prior injury was different in kind from his present injury. Although this prior injury did cause him some low back pain for a short time, it did not interfere with his ability to work or to participate in any of his recreational activities with respect to his children. This prior injury was a muscle injury that was caused when he was playing a soccer game. It was different in kind than the injury from which he now suffers.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was touched upon earlier, Dr. England also concluded that during his examination of the Plaintiff, the Plaintiff "did not represent his best, was symptom magnifying or attempted to deceive me." This conclusion was based on his observation of the Plaintiff during that examination and upon the results of various tests that he administered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this opinion was not reliable because, for example, the tests that he administered were not reliable. That is, Dr. England included in the tests that he gave a squat test. This is a test in which the doctor has the patient attempt to squat. The Plaintiff was only able to do a quarter of a squat. Dr. England concluded that not being able to do at least a half of a squat was hard to explain because the Plaintiff, for example, was doing activities such as getting in and out of a car, which would require such a movement.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van Rijn, on the other hand, opined that he did not use this test (that is, the squat test) because he had found it to be inappropriate and unreliable for people with back injuries because they are reluctant to do it as it causes them pain. This is consistent with the Plaintiff's conduct, as he reports that bending or sitting for any length of time is painful. Although he does squat to get into his vehicle, he does it with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Another example of unreliability is that Dr. England used some tests which are referred to as Waddell tests. In his testimony, Dr. van Rijn explained that these tests are intended to measure pain by people's reaction to that pain. He went on to attest that they are no longer considered reliable. Specifically, it has been ascertained that people have different reactions to pain - that is, there is no consistency in people's reactions. Moreover, these tests have never been validated for people of East European heritage, which is the Plaintiff's heritage.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Furthermore, Dr. England concluded that there were no objective symptoms of neural irritation, which occurred during his examination of the Plaintiff. Dr. van Rijn opined that he was unaware of any objective symptoms that could exist which would support neural irritation. In any event, Dr. England conceded that there could be neural irritation without objective findings. Given this fact, it is unclear to me the reason that Dr. England would choose to rely on their absence in reaching his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These excerpts are simply examples of the type of information on which Dr. England relied. They are not intended to be an exhaustive list. However, given the unreliability of these tests and the findings themselves, I was not satisfied that the opinion that Dr. England drew from these tests could be relied upon.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Moreover, there was a stark contrast between the tests performed by Dr. England and his results and the tests performed by both Dr. Rosenfeld and Dr. van Rijn and their results. The results of the tests performed by Dr. Rosenfeld and Dr. van Rijn supported the Plaintiff's complaints. When they (Dr. Rosenfeld and Dr. van Rijn) explained the nature and purpose of their tests, they appeared to me to be straightforward and unambiguous methods of testing. In my view, this fact also makes them more reliable than the tests performed by Dr. England.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Furthermore, Dr. England's assertion that the Plaintiff would do less than his best and would attempt to exaggerate his injuries is out of keeping with the Plaintiff's general course of conduct and with his character as proven in the evidence in this trial. For example, two witnesses were called from the Plaintiff's place of business. One of these witnesses is a past supervisor and the other his present supervisor. Although these witnesses were called principally to give evidence as to the nature of the Plaintiff's employment, both of them (including the one called by the Defendants) attested to the fact that the Plaintiff has never given less than his best and is completely honest and reliable. They both trusted him and relied upon him completely. As was mentioned earlier, one of these witnesses has known the Plaintiff for 14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Lastly, the Defendants submitted that I should find that the Plaintiff was unreliable because of some minor inconsistencies in his evidence. For example, the Plaintiff testified that the nature of his job changed after the collision. One of the people called from his employment testified that it did change and that management did have a discussion when the Plaintiff was returning to work about him doing lighter duties. Another person from the Plaintiff's employment testified that it was unnecessary to change the nature of his job because he was doing a more supervisory type of job at that time and therefore the continuation of that job coincided with his ability only to do light duties.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Whether the nature of the Plaintiff's employment changed after the collision to what it is now or whether it had changed before the collision, in my view, is not significant. Rather, the significant fact is that the Plaintiff was unable (because of his injuries) to perform the more strenuous "online" work for any period of time, if at all. In my view, whatever alleged inconsistencies there were in the Plaintiff's testimony were minor and did not render his evidence unreliable.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To conclude, for all of the reasons set out above, I have found the Plaintiff to be a credible witness. I also found Dr. Rosenfeld, Dr. van Rijn and the Plaintiff's wife to be credible. Where their evidence conflicted with the evidence of Dr. England, I relied upon their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respect to the Plaintiff's injuries, as was touched upon at the beginning of these reasons, there is no dispute that he suffered a contusion to his left shoulder and that he suffered a soft tissue injury to his neck and right shoulder. Moreover, there is no dispute that those injuries resolved within a relatively short period of time; the contusion in a month or so and the soft tissue injuries in 18 months to 2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far as the injury to his lower back is concerned, I am satisfied that the evidence proves that it was caused by the collision. Specifically, I am satisfied that although the Plaintiff had degeneration in his lower back prior to the collision and may have had a disc herniation or disc protrusion with an annular tear, it was asymptomatic. It was because of the collision that there was nerve root impingement and that it became symptomatic.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Rosenfeld opined in his report dated November 21, 2007,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accident of August 18th, 2006, Mr. Grigor experienced traumatic injury to his lower back where he likely had pre-existing degenerative disease. As he was completely asymptomatic prior to the collision, the accident appears to be the triggering factor that has exacerbated his symptoms and caused his current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was set out earlier in this decision, this was also the opinion of Dr. van Rijn. As he stated in his report dated September 25, 2007, the degenerative changes in the Plaintiff's back "likely predated the accident but caused no particular symptoms. Such findings can be considered as 'normal' in most persons as they age but may increase the susceptibility of an individual to effects of trauma. The type of pain that he now experiences would not likely have otherwise been expected had it not been for the subject accident of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far as a prognosis is concerned, in his report, Dr. van Rijn opined that the "nature of the history, the persistence of his symptoms and the clinical appearance suggests a chronic problem that is likely to persist in the future and to cause activity limitations and participation restrictions consistent with a permanent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the Defendants argue that the Plaintiff had recovered from this injury in October 2006 because he went back to work and at the very most in January 2007, because he went back to work full-time and even worked overtime, the evidence does not support that argument. To the contrary, the evidence shows that the Plaintiff was not recovered in those days and is unlikely to ever recover. As was earlier set out, he went back to work at these various times to assist his family because of their financial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far as the extent of the injury is concerned, the evidence proved that as a result of the nerve impingement, the Plaintiff is limited by pain from doing activities which involve physical effort. As a consequence, as Dr. van Rijn opined, he is restricted in such activities which involve bending, stooping, lifting and carrying. Practically speaking, this limits the home maintenance chores that he can do, the sporting activities that he can participate in and the occupational tasks that he can do. Specifically, Dr. van Rijn found in his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Grigor's symptoms interfere with his sedentary activities and especially those involving increasing physical effort. As a result he has been restricted in his ability to undertake the maintenance chores and to participate in previously enjoyed sporting events. The nature of his history, the persistence of his symptoms and the clinical appearance suggest a chronic problem that is likely to persist in the future and continue to cause activity limitations and participation restrictions consistent with a likely permanent disability.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 went on to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Grigor has demonstrated that he is capable of returning to work, albeit with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then went on to observe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He is not truly competitive in his work as a welder. I am familiar with the job of a welder and how the physical demands can vary depending on the work environment. As a result of his accident, his ability to work as a welder has been compromised as a result of the subject accident. He has likely lost his competitive edge and his ability to be competitive in the work force compared to other able-bodied persons. Practically speaking, Mr. Grigor may have to consider other types of work or employment opportunities that require fewer physical demands if he had to change employers. Given his limitations with respect to bending, stooping, lifting or carrying, as well as difficulty sitting, his job choices are considerably limited compared to types of work that would have been available to him prior to the 2006 MVA based on his interests, education, experience and physical capabilities. Thus, as a result of his injuries, Mr. Grigor is not as 'attractive' to a potential employer, and he has suffered a significant vocational 'handicap' as a result of his injuries.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his cross-examination, Dr. England also acknowledged that there can be a range of pain emanating as a result of neural irritation and that that range of pain extends to pain that is absolutely debilitating.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determining the nature and extent of the Plaintiff's injuries, the Defendants argue that I should draw an adverse inference from the fact that the Plaintiff did not call Dr. Hirsch to give evidence in this trial. There is no dispute that in the course of preparing this case, the Plaintiff consulted Dr. Hirsch for the purpose of securing a medical opinion from him. There is also no dispute that the Plaintiff decided not to call Dr. Hirsch as a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has denied the request of the Defendants that they be permitted to contact Dr. Hirsch for the purposes of ascertaining his medical opinion with respect to the Plaintiff's injuries. The Plaintiff contends that this opinion is protected by litigation privilege and that he (the Plaintiff) is not prepared to waive that privilege. The Defendants submit that even in situations of litigation privilege, the Court retains the discretion to draw an adverse inference from the failure of a plaintiff to call an expert that has been consulted. The Defendants urge me to exercise that discretion in these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was set out by the Supreme Court of Canada in </w:t>
      </w:r>
      <w:r>
        <w:rPr>
          <w:rFonts w:ascii="arial" w:eastAsia="arial" w:hAnsi="arial" w:cs="arial"/>
          <w:b/>
          <w:i/>
          <w:color w:val="000000"/>
          <w:sz w:val="20"/>
          <w:lang w:val="en-US" w:eastAsia="en-US" w:bidi="ar-SA"/>
        </w:rPr>
        <w:t>Blank v. Canada (Minister of Justice)</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[2006] 2 S.C.R. 319</w:t>
        </w:r>
      </w:hyperlink>
      <w:r>
        <w:rPr>
          <w:rFonts w:ascii="arial" w:eastAsia="arial" w:hAnsi="arial" w:cs="arial"/>
          <w:color w:val="000000"/>
          <w:sz w:val="20"/>
          <w:lang w:val="en-US" w:eastAsia="en-US" w:bidi="ar-SA"/>
        </w:rPr>
        <w:t xml:space="preserve"> at para. 8, </w:t>
      </w:r>
      <w:hyperlink r:id="rId866" w:history="1">
        <w:r>
          <w:rPr>
            <w:rFonts w:ascii="arial" w:eastAsia="arial" w:hAnsi="arial" w:cs="arial"/>
            <w:i/>
            <w:color w:val="0077CC"/>
            <w:sz w:val="20"/>
            <w:u w:val="single"/>
            <w:shd w:val="clear" w:color="auto" w:fill="FFFFFF"/>
            <w:lang w:val="en-US" w:eastAsia="en-US" w:bidi="ar-SA"/>
          </w:rPr>
          <w:t>2006 SCC 39</w:t>
        </w:r>
      </w:hyperlink>
      <w:r>
        <w:rPr>
          <w:rFonts w:ascii="arial" w:eastAsia="arial" w:hAnsi="arial" w:cs="arial"/>
          <w:color w:val="000000"/>
          <w:sz w:val="20"/>
          <w:lang w:val="en-US" w:eastAsia="en-US" w:bidi="ar-SA"/>
        </w:rPr>
        <w:t xml:space="preserve">, quoting from R.J. Sharpe, "Claiming Privilege in the Discovery Process", </w:t>
      </w:r>
      <w:r>
        <w:rPr>
          <w:rFonts w:ascii="arial" w:eastAsia="arial" w:hAnsi="arial" w:cs="arial"/>
          <w:i/>
          <w:color w:val="000000"/>
          <w:sz w:val="20"/>
          <w:lang w:val="en-US" w:eastAsia="en-US" w:bidi="ar-SA"/>
        </w:rPr>
        <w:t>Special Lectures of the Law Society of Upper Canada</w:t>
      </w:r>
      <w:r>
        <w:rPr>
          <w:rFonts w:ascii="arial" w:eastAsia="arial" w:hAnsi="arial" w:cs="arial"/>
          <w:color w:val="000000"/>
          <w:sz w:val="20"/>
          <w:lang w:val="en-US" w:eastAsia="en-US" w:bidi="ar-SA"/>
        </w:rPr>
        <w:t xml:space="preserve"> (1984), 163 at 164-165, litigation privilege "applies to communications of a non-confidential nature between the solicitor and third parties and even includes material of a non-communicative nature." It "applies only in the context of the litigation itself," and it is "geared directly to the process of litigation." Its purpose is more particularly related to the needs of the adversarial process. "Litigation privilege is based upon the need for a protected area to facilitate investigation and preparation of a case for trial by the adversarial advocate. In other words, litigation privilege aims to facilitate a process (namely, the adversary process) while solicitor-client privilege aims to protect a relationship (namely, the confidential relationship between a lawyer and a 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was recognized by this Court in </w:t>
      </w:r>
      <w:r>
        <w:rPr>
          <w:rFonts w:ascii="arial" w:eastAsia="arial" w:hAnsi="arial" w:cs="arial"/>
          <w:b/>
          <w:i/>
          <w:color w:val="000000"/>
          <w:sz w:val="20"/>
          <w:lang w:val="en-US" w:eastAsia="en-US" w:bidi="ar-SA"/>
        </w:rPr>
        <w:t>Azuma Foods (Canada) Ltd. v. Versacold Canada Corp.</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2008 BCSC 643</w:t>
        </w:r>
      </w:hyperlink>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84 B.C.L.R. (4th) 296</w:t>
        </w:r>
      </w:hyperlink>
      <w:r>
        <w:rPr>
          <w:rFonts w:ascii="arial" w:eastAsia="arial" w:hAnsi="arial" w:cs="arial"/>
          <w:color w:val="000000"/>
          <w:sz w:val="20"/>
          <w:lang w:val="en-US" w:eastAsia="en-US" w:bidi="ar-SA"/>
        </w:rPr>
        <w:t>, the opinion of an expert consulted in the course of preparing a brief is protected by litigation privilege and is not waived unless the party consulting that expert waives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Upon considering these principles, given that the Plaintiff consulted Dr. Hirsch in the course of this litigation solely for the purpose of securing his expert opinion and that Dr. Hirsch has never acted as a treating physician to the Plaintiff, I am satisfied that his opinion is protected by litigation privilege.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Although there is an exception to the litigation privilege extended to third party opinions, the circumstances to which that exception apply do not exist in this case. Specifically, to fall within the exception, "the party seeking to examine the expert must demonstrate that he is unable to obtain the facts and opinions on the same subject by other means": </w:t>
      </w:r>
      <w:r>
        <w:rPr>
          <w:rFonts w:ascii="arial" w:eastAsia="arial" w:hAnsi="arial" w:cs="arial"/>
          <w:b/>
          <w:i/>
          <w:color w:val="000000"/>
          <w:sz w:val="20"/>
          <w:lang w:val="en-US" w:eastAsia="en-US" w:bidi="ar-SA"/>
        </w:rPr>
        <w:t>Azuma Foods</w:t>
      </w:r>
      <w:r>
        <w:rPr>
          <w:rFonts w:ascii="arial" w:eastAsia="arial" w:hAnsi="arial" w:cs="arial"/>
          <w:color w:val="000000"/>
          <w:sz w:val="20"/>
          <w:lang w:val="en-US" w:eastAsia="en-US" w:bidi="ar-SA"/>
        </w:rPr>
        <w:t xml:space="preserve">, at para. 138, quoting with approval </w:t>
      </w:r>
      <w:r>
        <w:rPr>
          <w:rFonts w:ascii="arial" w:eastAsia="arial" w:hAnsi="arial" w:cs="arial"/>
          <w:b/>
          <w:i/>
          <w:color w:val="000000"/>
          <w:sz w:val="20"/>
          <w:lang w:val="en-US" w:eastAsia="en-US" w:bidi="ar-SA"/>
        </w:rPr>
        <w:t>Sinclair v.</w:t>
      </w:r>
      <w:r>
        <w:rPr>
          <w:rFonts w:ascii="arial" w:eastAsia="arial" w:hAnsi="arial" w:cs="arial"/>
          <w:color w:val="000000"/>
          <w:sz w:val="20"/>
          <w:lang w:val="en-US" w:eastAsia="en-US" w:bidi="ar-SA"/>
        </w:rPr>
        <w:t xml:space="preserve"> March, </w:t>
      </w:r>
      <w:hyperlink r:id="rId868" w:history="1">
        <w:r>
          <w:rPr>
            <w:rFonts w:ascii="arial" w:eastAsia="arial" w:hAnsi="arial" w:cs="arial"/>
            <w:i/>
            <w:color w:val="0077CC"/>
            <w:sz w:val="20"/>
            <w:u w:val="single"/>
            <w:shd w:val="clear" w:color="auto" w:fill="FFFFFF"/>
            <w:lang w:val="en-US" w:eastAsia="en-US" w:bidi="ar-SA"/>
          </w:rPr>
          <w:t>2002 BCCA 65</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97 B.C.L.R. (3d) 17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this case, as was demonstrated through the tendering of the opinion of Dr. England, the Defendants were able to secure a medical opinion of their own regarding the extent of 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Given these circumstances, the present case does not fall within the exception to litigation privilege. As the medical opinion of Dr. Hirsch is protected by that privilege and as the Plaintiff has not waived it, the Defendants' application that I draw an adverse inference from the Plaintiff's failure to call Dr. Hirsch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To conclude, I am satisfied that as a result of this collision, the Plaintiff suffered a contusion to his left shoulder, a soft tissue injury to his neck and right shoulder, and an injury to his lower back. In particular with respect to his lower back, I am satisfied that as a result of the collision, the pre-existing degenerative disease in the Plaintiff's lower back became symptomatic and, in particular, the trauma of this collision caused nerve root impingement in this area of the Plaintiff's lower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Although his contusion and soft tissue injuries have resolved, this back injury, although improved from what it was initially, has not resolved and is unlikely to ever resolve.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a result of this injury, the Plaintiff is in chronic pain of varying degrees. This injury has limited his capacity to perform various physical activities which has, in turn, precluded his ability to participate in recreational and sporting activities that he enjoyed before the collision and to perform the employment tasks that he was able to perform before the collision. Also, as was touched on before, it has interfered with his relationship with his wife and children and has caused profound changes in his disposition.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With respect to damages, as was set out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a defendant is liable for any injuries arising from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to any injuries to which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The general rule underlying damages is that a plaintiff is entitled to be returned to the position he/she would have been in, with all its attendant risks and shortcomings,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not occurred. A plaintiff is not entitled to be put in a better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Applying these principles to a situation in which the plaintiff's alleged injuries or at least one of their injuries are aggravations and/or accelerations of pre-existing injuries (symptomatic and asymptomatic), the defendant is liable for the additional damage to that injury resulting from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need not compensate the plaintiff for any debilitating effects of a pre-existing condition which the plaintiff would have experienced anyway.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b/>
          <w:i/>
          <w:color w:val="000000"/>
          <w:sz w:val="20"/>
          <w:lang w:val="en-US" w:eastAsia="en-US" w:bidi="ar-SA"/>
        </w:rPr>
        <w:t>Athey v. Leonati</w:t>
      </w:r>
      <w:r>
        <w:rPr>
          <w:rFonts w:ascii="arial" w:eastAsia="arial" w:hAnsi="arial" w:cs="arial"/>
          <w:i/>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although the Plaintiff had a pre-existing condition, the evidence falls short of proving that there was a measurable risk that the Plaintiff would eventually become symptomatic regardless of the collision. To the contrary, Dr. van Rijn opined that although the pre-existing degenerative changes in the Plaintiff's lower back were "normal," he went on to explain that the type of pain that he now experiences would not likely have otherwise have been expected had it not been for the subject accident of 2006. Given this evidence, I am satisfied that all of the Plaintiff's injuries, including his lower back injuries, are wholly attributable to this collision and that damages should be assessed in accordance with that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the particular damage claims, the Plaintiff made claims for past income loss, future loss of earning capacity, cost of future care and general damages. He did not make a claim for special damages as the extended medical coverage that he had through his employment covered those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far as his claim for past loss of income is concerned, both parties agree that he suffered a loss for the period extending from the middle of October 2006 until the end of December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claims that that loss after the adjustment is made for the payment of income taxes is $11,519 while the Defendants say that it is $11,699. The difference in these calculations is explained by the fact that the Defendants used the Plaintiff's actual level of taxation in 2006 while the Plaintiff used a percentage recommended in the case of </w:t>
      </w:r>
      <w:r>
        <w:rPr>
          <w:rFonts w:ascii="arial" w:eastAsia="arial" w:hAnsi="arial" w:cs="arial"/>
          <w:b/>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9 B.C.L.R. (4th) 324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Given that it is based on the actual level of taxes paid by the Plaintiff in 2006, I have concluded that I should assess his past income loss at the amount proposed by the Defendants, namely $11,699, not including any loss for overtime.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the evidence showed, the Plaintiff worked some overtime almost every year, but that the amount of that overtime fluctuated dramatically. For example, his overtime hours were 38.75 in 2000, 18 in 2001, 19.5 in 2002, 139 in 2003, 74 in 2004, 38 in 2005, 161.5 in 2006, 72.5 in 2007, and 2 in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can be seen from these records, he was working more overtime in 2006 than he would normally have worked, no doubt because of his wife's injury and upcoming surgery and the loss of her income as a consequence of those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Though the Plaintiff did work a considerable number of overtime hours in 2006 before the collision, given their family's difficult financial circumstances at that time, I am satisfied that he probably would have worked more overtime in the fall of 2006 had he not been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Further, I am satisfied that, again because of their difficult financial circumstances at the time, the Plaintiff would probably have worked more overtime hours in 2007 but for his injuries. In particular, I have concluded that the Plaintiff would probably have worked 20 more hours in 2006 and 70 more hours in 2007, for a total of 90 hours. Given that his overtime hourly rate is $32.32, I have concluded that but for the collision, the Plaintiff would have earned $2,908.80 inclusive of income tax during that period. Applying the same income tax rate as was used above, this loss is $2,504.48.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past income loss is therefore assessed at $14,203.48. In the early fall of 2006, the Defendants' insurer made an advanced payment to the Plaintiff in the amount of $2,000. As this amount has already been paid and as it was intended to compensate the Plaintiff for his loss of income, this past income award should be adjusted to reflect that advanced payment. Therefore, the award made to the Plaintiff for past income loss is reduced to $12,203.48.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respect to his claim for future loss of capacity to earn income, the Plaintiff is seeking an award of $150,000, not including overtime loss. The Defendants take the position that there should be no award for this claim as the Plaintiff has not suffered a loss of that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To prove entitlement to this type of award, the Plaintiff must establish that, as a result of the injuries he sustained in his collision, he has been rendered less capable overall from earning income from all types of employment; he is less marketable or attractive as an employee to potential employers; he has lost the ability to take advantage of all job opportunities which might otherwise have been open to him had he not been injured; and he is less valuable to himself as a person capable of earning income in a competitive labour market: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6 B.C.A.C. 314</w:t>
        </w:r>
      </w:hyperlink>
      <w:r>
        <w:rPr>
          <w:rFonts w:ascii="arial" w:eastAsia="arial" w:hAnsi="arial" w:cs="arial"/>
          <w:color w:val="000000"/>
          <w:sz w:val="20"/>
          <w:lang w:val="en-US" w:eastAsia="en-US" w:bidi="ar-SA"/>
        </w:rPr>
        <w:t xml:space="preserve"> (C.A.), quoting with approval from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Given the physical limitations that the Plaintiff now has as a result of his injuries, his limited marketable skills, and his age, I am satisfied that as a result of his injuries, the Plaintiff has suffered a loss in his capacity to earn income. This was clearly set out in the opinion of Dr. van Rijn which I have referred to earlier in this decision and which was supported by the other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As far as the calculation of this loss is concerned, it is the loss of the capital asset of the capacity to earn income and not the lost earnings that is to be valued and compensated: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Because it is the degree of the reduction in the plaintiff's capacity to earn income given his or her skills, education and abilities that is to be compensated, it is recognized that this type of award cannot be calculated in accordance with a mathematical formula, but rather must be assessed: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xml:space="preserve">. One method of accomplishing this assessment is to compare the likely future income of a plaintiff if the collision had not occurred with the likely future income of the plaintiff now that it has occurred. In addition, the overall fairness and reasonableness of the award must be considered: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Applying this method to the circumstances of this case, aside from the loss of the overtime income, the Plaintiff is presently earning the same income that he would have earned had the collision not occurred. That is, he is not presently incurring a loss other than overtime.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the continuation of that situation is far from certain. The Plaintiff has a sympathetic and supportive employer who will accommodate his disability as long as he is reasonably able to do so. If this employment situation changes (for example, if that employer has to downsize), the Plaintiff does not have the versatility that he had before he was injured and therefore is not able to do the jobs that might come available in that circumstance. That is, even if his employer wanted to retain the Plaintiff as an employee, it may not be able to accommodate his limitations. As has been set out previously, there are a number of functions that the Plaintiff is no longer capable of doing, particularly for any length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the Plaintiff loses this present employment, as was recognized by Dr. van Rijn, his options are very limited. His training and work experience are as a welder, but now he can no longer perform many of the functions associated with that kind of work - such as bending, lifting, stooping and carrying, particularly for any length of time. Further, his retraining options are limited because his injuries even limit sedentary job options as he cannot sit for any length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addition to these considerations, given the degree of pain that the Plaintiff experiences each day, there is a real possibility that he will be unable to continue working (at least on a full-time basis) for the next 15 years (that is, until he is 65 years 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Upon balancing all of these considerations and upon considering the various contingencies (both negative and positive), I have concluded that an award of $100,000 (exclusive of overtime earnings) is fair and reasonable in the circumstances. (This averages out to about three years of income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was touched upon earlier in this judgment, the Plaintiff no longer has a capacity to generate income through overtime. Although he may perform this work in an emergency, generally he will no longer earn this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was set out in a previous section in this judgment, the amount of overtime that the Plaintiff worked fluctuated from year to year. To calculate this loss, I have averaged his overtime hours from 2000 through 2005, which is about 55 hours per year. I have not included 2006 as in my view, there were exceptional circumstances in that year (namely, his wife's surgery), resulting in unusually high overtime hours. Assuming 55 hours of overtime at a rate of $32.32 per hour for the next 15 years and without considering any contingencies (either negative or positive), the amount is $26,664.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Upon considering contingencies over that 15-year period (including positive contingencies such as a higher hourly rate and negative contingencies such as layoffs), I have concluded that the award for loss of capacity to work overtime should be assessed at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summary, the Plaintiff is awarded $120,000 for his loss of future capacity to earn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respect to the claim for his future costs of care, the Plaintiff is seeking an award in the amount of $1,000, while the Defendants contend that there should be no award made. The Defendants' position is based not only on their characterization of the Plaintiff's injuries (namely, a soft tissue injury that has resolved and a low back injury one that is very minor in nature if it ever actually happened) but also on the fact that these costs are presently covered by the extended medical coverage provided to the Plaintiff through his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There is no dispute that a plaintiff is entitled to be compensated for future expenses that are medically justified and reasonably necessary as they will help to promote his or her mental or physical health: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 184 (S.C.), aff'd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making this award, the Court must consider the evidence and determine the care that is likely in the Plaintiff's best interests and calculate his present costs with appropriate adjustments for contingencies in the circumstances of the case: </w:t>
      </w:r>
      <w:r>
        <w:rPr>
          <w:rFonts w:ascii="arial" w:eastAsia="arial" w:hAnsi="arial" w:cs="arial"/>
          <w:b/>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37 B.C.L.R. (4th) 222</w:t>
        </w:r>
      </w:hyperlink>
      <w:r>
        <w:rPr>
          <w:rFonts w:ascii="arial" w:eastAsia="arial" w:hAnsi="arial" w:cs="arial"/>
          <w:color w:val="000000"/>
          <w:sz w:val="20"/>
          <w:lang w:val="en-US" w:eastAsia="en-US" w:bidi="ar-SA"/>
        </w:rPr>
        <w:t xml:space="preserve">. It is recognized that the award for these costs is notional and imprecise in nature: </w:t>
      </w:r>
      <w:r>
        <w:rPr>
          <w:rFonts w:ascii="arial" w:eastAsia="arial" w:hAnsi="arial" w:cs="arial"/>
          <w:b/>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39 C.C.L.T. (3d) 79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proven through the evidence of Dr. Rosenfeld and Dr. van Rijn, to manage his symptoms in the future, the Plaintiff will require medication (such as analgesics, muscle relaxants, and anti-inflammatories), as well as medication specifically directed to neuropathic pain. In addition, he should continue physical therapy in the form of exercise, physiotherapy and/or massage therapy for the alleviation of his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Although these costs are presently covered through his employment, as his present symptoms are unlikely to change in the future, he will continue to require these medications and therapies after retirement.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Having regard for that fact and the various contingencies (both positive and negative) that I must consider, I am satisfied that $1,000 is a reasonable amount to award the Plaintiff as a present value for these upcoming expenses. Therefore, the Plaintiff is awarded $1,000 to cover his future costs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With respect to general damages (that is, the award to which the Plaintiff is entitled to be compensated for the loss that he has suffered to his quality and enjoyment of life), the Plaintiff seeks an award in the range of $90,000, while the Defendants argue that it should be in the range of $25,000 to $35,000.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difference in their position arises from their respective positions of the Plaintiff's injuries, $25,000 to $35,000 being the general range for mild to moderate soft tissue injury and in one case for a low back injury with nerve impingement. (In my view, however, the nerve root injury in the case cited by the Defendants was less severe than the injury that the Plaintiff has sustained.) An award of $90,000 is an appropriate amount if, in addition to such a soft tissue injury, a plaintiff has also suffered a low back injury that has left him/her in chronic pain such that it has had a significantly adverse effect on that plaintiff's quality and enjoyment of life and has placed restrictions on their ability to perform functions as well as participate in various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As has been recognized in numerous cases and as was recently recognized by the British Columbia Court of Appeal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leave to appeal ref'd </w:t>
      </w:r>
      <w:hyperlink r:id="rId873"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because a general damage award is to be tailored to meet "the specific circumstances of the individual case," the amount of these awards will vary in each case. Included in the factors to be considered are the age of the plaintiff; the nature of the injury; the severity and duration of the pain; the disability; the emotional suffering; the loss or impairment of life; impairment of family, marital and social relationships; impairment of physical and mental abilities; and the loss of lifestyle. Further, a plaintiff's stoicism should not, generally speaking, penalize them: </w:t>
      </w:r>
      <w:r>
        <w:rPr>
          <w:rFonts w:ascii="arial" w:eastAsia="arial" w:hAnsi="arial" w:cs="arial"/>
          <w:b/>
          <w:i/>
          <w:color w:val="000000"/>
          <w:sz w:val="20"/>
          <w:lang w:val="en-US" w:eastAsia="en-US" w:bidi="ar-SA"/>
        </w:rPr>
        <w:t>Stapley</w:t>
      </w:r>
      <w:r>
        <w:rPr>
          <w:rFonts w:ascii="arial" w:eastAsia="arial" w:hAnsi="arial" w:cs="arial"/>
          <w:color w:val="000000"/>
          <w:sz w:val="20"/>
          <w:lang w:val="en-US" w:eastAsia="en-US" w:bidi="ar-SA"/>
        </w:rPr>
        <w:t>, at para. 46.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Applying these considerations to the facts in this case, the Plaintiff is 49, almost 50 years old.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has suffered a mild to moderate soft tissue injury that resolved within 18 months to two years. However, most significantly, he has suffered a low back injury which has left him with chronic pain of varying degrees, usually worsening as the day progresses. This injury is unlikely to resolve.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the evidence disclosed, his back injury has adversely affected all aspects of his life, including his sleep, his personal life with his wife, his relationship with his children, his involvement in sporting and recreational activities, his work life, and his ability to contribute to household maintenance. Although the financial consequences of this injury have been addressed through the pecuniary income loss claims, the change to his employability has caused him stress and the ongoing pain has reduced the enjoyability of his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Given all of these circumstances and having reviewed the authorities presented by counsel, I am satisfied that general damages should be assessed at $90,000. In my view, this is a reasonable assessment for the injury that the Plaintiff has suffered and therefore, the award is made in that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 respect to costs, barring any exceptional circumstances of which I am not aware, the Plaintiff is awarded costs, those costs to be calculated at Scale B. If there are exceptional circumstances and if the parties cannot reach an agreement with respect to costs, they are granted liberty to set down an application to address those issues at any mutually convenient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Counsel, unless you have any questions, those are my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MCSTRAVICK: My Lady, just on the issue of interest on the specials. I think that goes automatically, but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COURT: He did not have a claim for special damages. He had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MCSTRAVICK: That would include I think the past wage loss, the interest on the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COURT: Do you have any submission with respect to interest on the past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NAYLOR: I hadn't even prepared for it, My Lady. I would need some time to think about that. I don't think that's appropriate though, it seems an unusual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COURT: I do not think it 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MCSTRAVICK: I didn't hear that, My Lady; I'm sorry.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COURT: Counsel just said that he just had not been prepared for that issue. But unless I am mistaken, with respect to past claims, there is usually an award for interest because it is in the past.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NAYLOR: On just the past wage loss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MCSTRAVICK: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NAYLOR: No, I don't have an issue with that, My Lady.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COURT: All right. No, your friend does not have an issue with respect to that, so interest is awarded with respect to that claim. There was no claim made with respect to special damages because there was no loss. They are all covered by the extended health coverage that the Plaintiff receives through his employment, and then the other awards are as set out. Unless there is anything else, I think we are finished for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MCSTRAVICK: I understand there have been formal offers made, My Lady, but perhaps that's better left to Mr. Bolda to deal with and my friend.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COURT: Well, the award that I made for costs is barring exceptional circumstances and formal offers to settle would fall within that category. I am sure that if there is an argument to be made, that counsel will make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MCSTRAVICK: It will be made, My Lady, if there is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COURT: So I will leave it to the parties that if there are exceptional circumstances and if they cannot reach an agreement with respect to costs, they will set down an application and I will hear it at the earliest mutually convenient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MCSTRAVICK: Thank you, My Lady.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NAYLOR: Thank you, My Lady.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COURT: We will adjourn.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J.A. SINCLAIR PROWSE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Harrison v. Stephany, [2002] B.C.J. No. 2648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23 - 27,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S046431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2648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295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Gloria Pauline Harrison, plaintiff, and Dr. Harold E. Stephany, Dr. Judith Ilona Arato carrying on business as Dr. Judith Ilona Arato Inc., and the said Judith Ilona Arato,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9"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9" w:name="Keywords_33"/>
      <w:bookmarkEnd w:id="269"/>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Failure to diagnose an illness — Failure to inform patient of uncertainties of treatment — Consent of patient.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0" w:name="Case Summary_29"/>
            <w:bookmarkEnd w:id="2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Harrison against the defendant Arato for damages for medical malpractice. Harrison was a 65-year old woman who liked to sing. In the spring of 1996 she had been suffering from a persistent cough for two years. She was hoarse and could not raise her voice. Her general physician tried various medications, with no success. The general physician referred her to Arato, who was an otolaryngologist. Harrison claimed that she was briefly examined by Arato. She was told she had a nodule on her larynx and that its removal would cure her cough. She was not warned of any risks. Harrison claimed that if she was warned of the risks she would not have proceeded with the surgery. She also claimed that Arato was negligent because she failed to diagnose that she had reflux. She was also negligent because she failed to treat the reflux before she dealt with the vocal modules. Arato's opinion was that there was no risk of a worsened condition if the surgery was performed by a properly trained surgeon. Before this operation Harrison had 20 surgeries. She had pursued surgery that involved more likely and serious consequences.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1" w:name="Holdings of Court_27"/>
            <w:bookmarkEnd w:id="27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not satisfied that Arato was not alert to the possibility of reflux. Arato acted as an otolaryngologist of ordinary skill, who possessed a reasonable level of knowledge, would have done. A reasonable person in Harrison's position, properly advised, would have agreed to the surgery, since it was likely it could have improved her condition. She also would have pursued the surgery, based on her past history.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2" w:name="Counsel_39"/>
      <w:bookmarkEnd w:id="2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S.J. Henshaw, for the plaintiff. C.E. Hinkson, Q.C., and K.P. Serné,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39"/>
      <w:bookmarkEnd w:id="273"/>
      <w:r>
        <w:pict>
          <v:line id="_x0000_s1211" style="position:absolute;z-index:2518016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BROWN J."/>
            <w:bookmarkEnd w:id="274"/>
            <w:r>
              <w:rPr>
                <w:rFonts w:ascii="arial" w:eastAsia="arial" w:hAnsi="arial" w:cs="arial"/>
                <w:b/>
                <w:color w:val="000000"/>
                <w:sz w:val="30"/>
                <w:lang w:val="en-US" w:eastAsia="en-US" w:bidi="ar-SA"/>
              </w:rPr>
              <w:t>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Mrs. Harrison claims that Dr. Arato was negligent in performing surgery to Mrs. Harrison's vocal cords. Mrs. Harrison's claim against her family doctor, Dr. Stephany, has been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Harrison is 65 years old. Until this spring, she had two jobs; one with Langley Memorial Hospital as an assistant lab technician, one selling jewellery with the Bay. She was forced to give up her job at the Bay to look after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Harrison has always taken great pleasure in singing. She has sung in the choir since she was a child, 33 years with her current choir. She was a particularly gifted singer, at one point considering a professional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spring of 1996, Mrs. Harrison had been suffering from a persistent, irritating cough for some two years. She had attended her general physician, Dr. Stephany, for this complaint. She had tried various prescription cough medications without success. In March 1996, Dr. Stephany suggested that Mrs. Harrison be referred to an otolaryngologist for an opinion with respect to her cough. She agreed and was referred to Dr. Arato, an otolaryngologist with an office close to Dr. Stephany's.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Harrison saw Dr. Arato in March 1996. Mrs. Harrison says that the examination was very brief. She was asked to open her mouth, say "Aw", told that she had a nodule on her larynx and that removal would cure her cough. She was not warned of any risks of the procedure. She was left with the understanding that it was a very straightforward procedure, involving day surgery, that her cough would be fixed and "that's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Harrison has had various other surgeries during her life and says that on these other occasions she received very full descriptions of the procedure and the risks. She understood that this procedure was very straightforward and hence the lack of a detailed explanation by Dr. Arato.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Harrison is adamant that had she been advised of the risks of the surgery she would not have proceeded. She says that her voice, particularly for singing, was so important to her, that she would not have considered the surgery, had she been advised of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Harrison alleges:</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Dr. Arato taken a proper history, she would not have been mistaken as to Mrs. Harrison's complaint;</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Dr. Arato conducted a proper examination, or taken a proper history, she would have learned of gastro-esophageal complaints which should have been treated, avoiding surgery;</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Dr. Arato properly advised her of the risks of surgery, Mrs. Harrison would not have agreed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are substantially agreed as to the law which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medical practitioner ... is bound to exercise that degree of care and skill which could reasonably be expected of a normal, prudent, practitioner of the same experience and standing, and if he holds himself out as a specialist, a higher degree of skill is required of him than one who does not profess to be so qualified by special training and ability. (Kassabian (Litigation Guardian of) v. Attersley, </w:t>
      </w:r>
      <w:hyperlink r:id="rId881" w:history="1">
        <w:r>
          <w:rPr>
            <w:rFonts w:ascii="arial" w:eastAsia="arial" w:hAnsi="arial" w:cs="arial"/>
            <w:i/>
            <w:color w:val="0077CC"/>
            <w:sz w:val="20"/>
            <w:u w:val="single"/>
            <w:shd w:val="clear" w:color="auto" w:fill="FFFFFF"/>
            <w:lang w:val="en-US" w:eastAsia="en-US" w:bidi="ar-SA"/>
          </w:rPr>
          <w:t>[1994] O.J. No. 2841</w:t>
        </w:r>
      </w:hyperlink>
      <w:r>
        <w:rPr>
          <w:rFonts w:ascii="arial" w:eastAsia="arial" w:hAnsi="arial" w:cs="arial"/>
          <w:color w:val="000000"/>
          <w:sz w:val="20"/>
          <w:lang w:val="en-US" w:eastAsia="en-US" w:bidi="ar-SA"/>
        </w:rPr>
        <w:t xml:space="preserve"> (Ont. Gen. Div.) at para. 1 quoting from E. Picard, Legal Liability of Doctors and Hospitals in Canada, 2d ed. (Toronto: Carswell, 1978 at 153-54).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Ter Neuzen v. Korn, </w:t>
      </w:r>
      <w:hyperlink r:id="rId882"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the Supreme Court of Canada said at 693: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Belknap v. Meakes </w:t>
      </w:r>
      <w:hyperlink r:id="rId883"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our Court of Appeal considered the exercise of judgment by a physician and said at 473: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are matters of judgment, not care or skill: see Wilson v. Swanson </w:t>
      </w:r>
      <w:hyperlink r:id="rId884" w:history="1">
        <w:r>
          <w:rPr>
            <w:rFonts w:ascii="arial" w:eastAsia="arial" w:hAnsi="arial" w:cs="arial"/>
            <w:i/>
            <w:color w:val="0077CC"/>
            <w:sz w:val="20"/>
            <w:u w:val="single"/>
            <w:shd w:val="clear" w:color="auto" w:fill="FFFFFF"/>
            <w:lang w:val="en-US" w:eastAsia="en-US" w:bidi="ar-SA"/>
          </w:rPr>
          <w:t>(1956), 5 D.L.R. (2d) 113</w:t>
        </w:r>
      </w:hyperlink>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quite clear from the evidence that there are several schools of thought on this and other issues in this case. The trial judge apparently thought that Dr. Hew's school was the better one. That was not the issue that was before him. It is one that can only be resolved by the medical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Maynard v. West Midlands Regional Health Authority, [1984] 1 W.L.R. 634, the House of Lords dealt with a case in which the evidence of the medical experts disagreed as to the wisdom of the steps taken by the defendants....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realm of diagnosis and treatment there is ample scope for genuine difference of opinion and one man clearly is not negligent merely because his conclusion differs from that of other professional men ...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has been proved to be guilty of such failure as no doctor of ordinary skill would be guilty of if acting with ordinary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in the realm of diagnosis and treatment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established by preferring one respectable body of professional opinion to another. Failure to exercise the ordinary skill of a doctor (in the appropriate speciality, if he be a specialist)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has been confirmed by the Supreme Court of Canada in Ter Neuzen v. Korn, supra, at p. 695: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action raises the following issues: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Mrs. Harrison's complaint in March/April, 1996;</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Dr. Arato was negligent in failing to sufficiently investigate reflux esophagitus, or gastro-esophageal reflux disorder, ("GERD"), or in otherwise failing to pursue conservative treatment.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Mrs. Harrison was sufficiently warned of the risks in the surgery;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she was not sufficiently warned respecting the risks, whether the failure to warn caused her injury in the sense that, properly warned, she would not have undergone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Harrison says that she was not complaining of hoarseness to her general physician, Dr. Stephany, or to Dr. Arato. She says that she had been troubled by a cough, that on occasion her throat would be sore and her voice somewhat hoarse when she awoke, but that she was not complaining of a sore throat or hoarseness.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medical professionals are agreed that no one would have operated on Mrs. Harrison's vocal cords for a cough alone. The allegation is that Dr. Arato failed to take a proper history, failed to elicit the nature of the complaint, and was negligent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Dr. Stephany and Dr. Arato say that Mrs. Harrison was complaining of sore throat and hoarseness. Dr. Stephany's note of March 8, 1996 is "sore throat, hoarseness, persistent cough".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Arato's office notes are brief: "can't raise her voice!" Dr. Arato explained that she uses exclamation points to indicate the degree of the complaint, in this case quite severe. She said that she prepared her report to Dr. Stephany within 48 hours of the consultation, while the attendance was fresh in her mind. In that report she says that Mrs. Harrison complained of several months of a husky voice, that her voice broke if she tried to raise it and that the treatment she had received to date did not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Harrison is adamant that both doctors are mistaken as to the gravamen of her complaint. She says that her real complaint was cough; that neither doctor properly attended to what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Neither of the doctors recalls their attendance with Mrs. Harrison in March/April 1996. They rely on their notes and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Harrison's recollection of events surrounding the surgery was shown to be faulty. She said that she was told by Dr. Arato that the surgery would be by laser. Dr. Arato testified that there was no laser at Langley Memorial Hospital, so she could not have told Mrs. Harrison that it would be laser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Harrison testified that she told the nurse in admitting at the hospital that she had received no advice of the risks of the surgery from Dr. Arato, that the nurse had been hurried, had told her that they were late for the surgery, that it was a simple surgery and the lack of advice from Dr. Arato did not matter. The admitting nurse, Ms. Dunphy, gave evidence that if a patient expressed any concerns about the surgery, she would stop the admitting procedure and call the surgeon. She said that she would not proceed with admission if a patient said that they had not been advised of the risks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Harrison said that she had returned to Dr. Arato's office shortly after the surgery to complain about the outcome, an unscheduled visit. Dr. Arato and her office assistant both deny that this could have happened. Dr. Arato has a very busy practice, patients are waiting and no one would be admitted without an appointment. Had Mrs. Harrison arrived unexpectedly, she would have been given an appointment for another day. There would be a note of the attendance in the record. There is no such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Mrs. Harrison was trying to give her evidence truthfully, as she now recalls events. However, her recollection of events has been coloured by the poor result and by advice that she has received after the fact. The intervening six years have also dimmed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prefer the evidence of Drs. Stephany and Arato as to Mrs. Harrison's complaint. Their attendance was documented, while Mrs. Harrison's recollections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Diagnose Reflux, Pursue Conservative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asserts that Dr. Arato was negligent in failing to diagnose reflux or GERD, and in failing to treat the reflux before dealing with the vocal nodules.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Mrs. Harrison asserts that Dr. Arato was negligent in recommending immediate surgery. Mrs. Harrison says that Dr. Arato should have recommended conservative treatment as a first step, that surgery should have been pursued only after all other avenues had been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involves a consideration of the role of gastro-esophageal reflux, also referred to as reflux or GERD, in Mrs. Harrison's cough. GERD is often a factor when a person has nodules or polyps of the vocal cords. GERD can cause a person to cough and can contribute to the formation of nodules or polyps on the vocal 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Morrison gave evidence for Mrs. Harrison. He is an otolaryngologist, with recognised expertise relating to the larynx and voice disorders. As he described it, there are sub-specialties within otolaryngology; that his sub-specialty is the larynx and vocal problems; that other otolaryngologists may specialize in cancers of the throat or other complaints, or may be 'general' otolaryngologists. Dr. Morrison is known internationally for his work respecting the diagnosis and treatment of disorders of the larynx. Each of the otolaryngologists before me acknowledged his expertise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Morrison has campaigned for several years to have otolaryngologists move more conservatively, to operate not as a first choice, but only after more conservative treatment has been tried and failed. In his experience, GERD or reflux, voice misuse, or some combination often causes voice complaints. The treatment of the GERD, speech therapy, or treatment of stress may alleviate the problem, avoiding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his view, surgery should be undertaken only after voice therapy has been tried without success, the nodules remain and the voice is not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Drs. Anderson and Ross were called to provide opinion evidence for Dr. Arato. They, too, are recognised otolaryngologists, although neither of them specializes in voice disorders, as does Dr.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Each of these doctors considered himself to be a 'general' otolaryngologist when dealing with voice disorders. In other words, each would have a similar level of expertise in this area to that of Dr. Arato.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Drs. Ross and Anderson were of the view that surgery to remove nodules or polyps from the vocal cords can be an appropriate first step in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Harrison had asymmetrical changes to her vocal cords. She had a nodule on the left cord and thickening or a polyp on the right cord. This was significant in the view of Drs. Ross and Anderson. Symmetrical changes are more amenable to conservative treatment. Drs. Ross and Anderson were of the view that the course of conservative treatment for a condition such as Mrs. Harrison's would require months if not years. In the end, surgery may still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their view, where no reflux is demonstrated (as it was not on Dr. Arato's examination) it may be preferable to remove the polyps, followed by voice therapy. This may be a more successful course of treatment, in a shorter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Anderson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asymmetry of findings on indirect laryngoscopy...argues in favour of surgical treatment. ...The common treatments for laryngeal nodular formation due to voice abuse are nodular removal and voice therapy. Dr. Arato recommended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Ross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vocal cord nodule is sufficiently well developed and fibrotic, it is not going to respond to voice therapy for many weeks or months, if at all. The surgeon has to examine the nodule with a mirror or fibreoptic scope and come to an opinion as to whether it is more practical to remove the polyp, or to institute speech therapy... .On examining the larynx the surgeon has to make a choice on which way to proceed, and the decision is a matter of judgment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Vocal abuse is the commonest cause of vocal nodules and if speech therapy is not instituted subsequent to their removal, there is a high chance of recurrence. In her consultation ... Dr. Arato specifies that she would arrange for postoperative speech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Harrison had a history of reflux and related disorders. She had surgery for hiatus hernia in 1980. In October 1995, Dr. Stephany prescribed Losec, a reflux medication, which apparently had no effect on the cough. Mrs. Harrison testified that she also had access to the Losec prescribed for her husband, and took it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Yet, when asked by Dr. Arato, Mrs. Harrison said that there was nothing wrong with her general health and that she was not taking any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Nor did Dr. Arato find any signs of reflux on examination. The larynx was not reddened as one would expect if reflux were then affecting the 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specialists are agreed, however, that reflux is a condition that waxes and wanes, it can worsen and improve. Many of the doctors to whom Mrs. Harrison has been referred have not found evidence of reflux on examination, including those in Dr. Morrison's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Thus, while it is agreed that reflux is often implicated in voice disorders and that otolaryngologists should be alert to it, the evidence does not satisfy me that Dr. Arato was not alert to it or did not investigate to determine whether it was causing or contributing to Mrs. Harrison's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Should Dr. Arato have pursued conservative treatment and advised Mrs. Harrison against surgery in the first instance, without finding evidence of reflux?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clear that Dr. Morrison would have all otolaryngologists adopt his practice and proceed to surgery only after more conservative treatment has been tried and failed. However, based on the evidence of Drs. Anderson and Ross, I conclude that Dr. Arato acted as an otolaryngologist of ordinary skill, possessing a reasonable level of knowledge would have done (Ter Neuzen v. Korn).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the Court of Appeal said in Belknap v. Meakes, the court is not to prefer one school of medical thought to another. That is a matter to be resolved by the medical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Disclosure of the Risks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Arato removed a nodule from the left cord and a small polyp from the right. The amount of tissue removed was the smallest possible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Arato was of the view that there was no risk of a worsened condition if the surgery was performed by a properly trained surgeon. She did not advise Mrs. Harrison of any risk of a worsening of her condition. She advised Mrs. Harrison that it was very likely that she would improve with surgery; that there was a possibility that her condition would be unchanged; that her condition was unlikely to improve without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Morrison estimated the likelihood of improvement at 85%, worsening at 2% and remaining the same at 13-15%. Drs. Ross and Anderson did not take issue with this assessment. I accept this as the correct assessment of the risk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Had Mrs. Harrison been so advised, would she have refused surgery? In other words, did Dr. Arato's failure to adequately disclose the risks cause the injury to Mrs.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Causation is an objective test: what a reasonable person in the patient's position would have done if there were proper disclosure of the attendant risks (Riebl v. Hughes, </w:t>
      </w:r>
      <w:hyperlink r:id="rId514"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a reasonable person in Mrs. Harrison's position, properly advised would likely agree to the surgery. Mrs. Harrison had been suffering from a cough for several months. Various medications, including medication for reflux, had not alleviated the cough. She was now hoarse and could not raise her 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was important to Mrs. Harrison to be able to sing. It was her pastime, a source of great pleasure to her and her main social outlet. In my opinion, a reasonable person in that position, advised that surgery would likely improve her condition would have agreed to it, even if advised of a 1-2% risk of a worsened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surgery had a very small risk of worsening her condition, the chances were much greater that her condition would be improved. Medication hadn't worked. She wanted something else, as Dr. Arato's records indicate. In my view, Mrs. Harrison would have agreed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is particularly so, given Mrs. Harrison's past surgical history. She has had between 15 and 20 surgeries. She has pursued surgery when that surgery involved more likely and more serious consequences. She has pursued surgery over the advice of her general physician and over the advice of the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Harrison did not follow the course of voice therapy recommended by Dr. Vargas and by Dr. Morrison's voice clinic after the surgery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view, Mrs. Harrison would not have chosen conservative treatment over surgery, were this offered, and would not have refused surgery if advised of the risk of a worsened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Hiscott v. Canaccord Capital Corp., [2011] B.C.J. No. 509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20-24, 27-30 and October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M083758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509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199 A.C.W.S. (3d) 1365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706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Hiscott, Plaintiff, and Canaccord Capital Corporation and Alan Ferguson Hackett,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3"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34"/>
      <w:bookmarkEnd w:id="275"/>
      <w:r>
        <w:rPr>
          <w:rFonts w:ascii="arial" w:eastAsia="arial" w:hAnsi="arial" w:cs="arial"/>
          <w:b/>
          <w:color w:val="000000"/>
          <w:sz w:val="20"/>
          <w:lang w:val="en-US" w:eastAsia="en-US" w:bidi="ar-SA"/>
        </w:rPr>
        <w:t>Employment law — Implied duties of employer — Liability for acts of employee — Action against employer for failing to monitor and supervise employee dismissed — Plaintiff invested funds with investment advisor employed by corporate defendant — Funds were not invested with corporate defendant but offshore — Plaintiff had incurred no damages — Employee's conduct was not conduct that the employer should have noticed and taken steps to investigate — Employer not vicariously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Professions — Investment professions — Investment advisors — Action against Hackett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trust, breach of fiduciary duty, and deceit and for judgment on a promissory note dismissed in part — Hackett, an investment advisor and plaintiff's friend invested some funds for plaintiff — Plaintiff believed funds were invested with plaintiff's employer but funds were invested offshore — Alleged investment fund never existed — Amounts plaintiff received from Hackett over years exceeded returns plaintiff would have received if funds had been properly invested — Further submissions required on Hackett's liability on promissory note for plaintiff's share in non-existent investment.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0"/>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against the defendants Hackett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trust, breach of fiduciary duty, and deceit and for judgment on a promissory note. The plaintiff also sued Hackett's employer on the basis that the employer was vicariously liable in failing to properly supervise Hackett. Hackett was an investment advisor employed by the corporate defendant. The plaintiff and Hackett were friends. The plaintiff had given Hackett corporate shares to invest, and the parties then opened a joint investment funds. The plaintiff alleged that he was under the impression that the funds were invested with the corporate defendant. Over the years he estimated that he had received about $1.4 million from Hackett as returns from the fund. The plaintiff claimed the funds should be worth several million. Hackett eventually told the plaintiff that the money had been invested in an offshore fund with two individuals rather than with the corporate defendant.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28"/>
            <w:bookmarkEnd w:id="277"/>
            <w:r>
              <w:rPr>
                <w:rFonts w:ascii="arial" w:eastAsia="arial" w:hAnsi="arial" w:cs="arial"/>
                <w:color w:val="000000"/>
                <w:sz w:val="20"/>
                <w:lang w:val="en-US" w:eastAsia="en-US" w:bidi="ar-SA"/>
              </w:rPr>
              <w:t>HELD: Action against corporate defendant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incurred no damages. The investment fund was a fiction. The plaintiff's funds were lost at inception when it was sent to the two individuals to invest offshore. The court did not accept that the investment ever reached the value of $10 -- $12 million. Even if the plaintiff's shares had been invested, the amount he received from Hackett over the years was well in excess of the amount the plaintiff might have received if Hackett had properly invested the finds. The corporate defendant was not negligent and did not fail to supervise Hackett. It was not vicariously liable for Hackett's actions. Hackett did not disclose his activities to the company. Hackett's conduct, even taken collectively, was not conduct that the employer should have noticed and taken steps to investigate. The conduct took place after the plaintiff's investment was lost. Any failure by the corporate defendant at that point in time did not cause any damage to the plaintiff. The court did not grant judgment on the promissory note which reflected the plaintiff's share of an investment which did not exist as the parties did not address this issue. The parties were granted leave to make further submissions on this issue.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Counsel_40"/>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V.J.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Canaccord Capital Corporation: D.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Alan F. Hackett: Appearing on his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40"/>
      <w:bookmarkEnd w:id="279"/>
      <w:r>
        <w:pict>
          <v:line id="_x0000_s1215" style="position:absolute;z-index:2518026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B. BROWN J."/>
            <w:bookmarkEnd w:id="280"/>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Mark Hiscott, brings this action against Canaccord Capital Corporation ("Canaccord") and Alan Hackett. Mr. Hiscott seeks damages from Mr. Hackett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trust, breach of fiduciary duty, and deceit. He also seeks judgment on a $5 million promissory note made in his favour by Mr. Hackett.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Hiscott also seeks damages from Canaccord as Mr. Hackett's employer. These damages are sought from Canaccord on two bases: vicarious liability for alleged breaches of duty by Mr. Hackett, and direct liability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supervise Mr. Hackett.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Hiscott says that in 1993 he invested his funds with Mr. Hackett, who was an investment advisor with Canaccord. Mr. Hiscott says that he demanded in 2007 that Mr. Hackett deliver his share of the funds to him, but that Mr. Hackett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Hackett acknowledges that he was handling funds on behalf of Mr. Hiscott, but says that he was acting in the best interests of Mr. Hiscott at all times. Mr. Hackett also acknowledges granting Mr. Hiscott a promissory note in the amount of $5 million as partial payment of monies due to Mr. Hiscott for his fifty percent interest in a joint investment fund shared with Mr. Hackett. He says that he told Mr. Hiscott that the promissory note would be honoured as soon as possible and that Mr. Hiscott would receive whatever monies were due to him from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Canaccord acknowledges that Mr. Hackett was an investment advisor employed by Canaccord from October 1, 1992 to March 12, 2007. However, Canaccord denies that Mr. Hackett became Mr. Hiscott's investment advisor, or that Mr. Hackett did so in the course of his employment with Canaccord. Canaccord says that Mr. Hiscott was not a client of the firm, and that it owed no duty to him. It denies that it is vicariously liable for any of Mr. Hackett's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Much of the evidence in this case is disputed. I will summarize Mr. Hiscott's evidence to provide background for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Acquisition of Investment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Hiscott is now 56 years old. In 1973, he moved to Vancouver, where he worked in the back shop at the Shaughnessy Golf Club. There, he met Mr. Hackett, who was a member of the golf club. Mr. Hackett and Mr. Hiscott developed a friendship. Mr. Hackett, who is now 80 years old, is significantly older than Mr. Hiscott.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Hackett and other members of the golf club helped Mr. Hiscott obtain a golf scholarship to the University of British Columbia. In 1980, Mr. Hiscott graduated from the university with a degree in physical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Hackett, who is now retired, had a career as a broker or investment advisor. He started working with Canaccord in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graduating from university, Mr. Hiscott went to California and worked in the health club industry for eight years. He returned to British Columbia in 1988 and tried to start an athletic centre in Whistler. The business did not succeed. During this period, he again met Mr. Hackett who put him in touch with a Canadian company called Sportsight. That company had developed a technology for tracking moving objects. Sportsight hired Mr. Hiscott to market its technology. He was to be compensated in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Hiscott worked for Sportsight from 1990 until 1992, when his employment was terminated. Mr. Hiscott said that he received, as part of his termination package, 300,000 Sportsight shares, plus a further 30,000 shares for reimbursement for business expenses that he had incurred. Mr. Hiscott said that he discussed with Mr. Hackett what should be done with the Sportsight shares, and that he decided to open an account at Canaccord in which the shares would be deposited.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Accordingly, he instructed Sportsight to deliver the 300,000 shares to Mr. Hackett at Canaccord. He also instructed Sportsight to deliver the remaining 30,000 shares to his brother-in-law, Carl Gustafson, a Vancouver solicitor. Mr. Gustafson then transferred the 30,000 Sportsight shares to Mr. Hackett.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Investment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Hiscott said that he thought at the time that the Sportsight shares were worth $0.50 each. He told Mr. Hackett that he wanted to retain them until their value reached between $2.50 and $3.00 per share. In response, Mr. Hackett made a business proposal. Mr. Hackett suggested that:</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open a joint account for the two of them;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Hiscott contribute his shares, along with his knowledge and contacts in the sports world;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return, Mr. Hackett would match the value of the shares and manage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Hackett suggested that he and Mr. Hiscott would share in the account equally. He also proposed that they would look at different ventures or stocks to build a portfolio. Mr. Hiscott agreed with this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their agreement was oral. Mr. Hackett was to be responsible for the day-to-day management of the fund. He was to have authority to buy and sell securities, and to invest sale proceeds or cash contributions at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2006, Mr. Hiscott and Mr. Hackett prepared a written agreement with an effective date of February 1, 1993. They both signed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Subsequent Revelations and Events Concerning Investment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Hiscott did not receive any documentation from Canaccord concerning the investment fund account. He said that he did not find this strange. Mr. Hiscott also said that Mr. Hackett gave him printouts and various hand-written documents showing where the fund stood and what had occurred. The two of them discussed trades, and Mr. Hiscott gave Mr. Hackett information about companies that he was familiar with. He also took Mr. Hackett to Newport, California to attend a promotional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Hiscott said that he would sometimes go to Mr. Hackett's office every day, but on average two to three times each week, especially between 1993 and 1996. He estimated that he had attended Mr. Hackett's office as many as 200 times. Often, Mr. Hackett would give him stock charts and once or twice per week he would take them home. Periodically, Mr. Hackett would give Mr. Hiscott a list indicating the stocks that they had in their joint account, which assets had been bought and sold, and the balance of the account in shares and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late 2001, Mr. Hiscott was interested in buying a property at Del Mar, California. He told Mr. Hackett that he wanted to take approximately $1 million out of the fund. Mr. Hackett gave him a promissory note in that amount, and told Mr. Hiscott that if he wanted to buy a property he should bring the note back to Mr. Hackett, who would then give him the money out of the fund. Mr. Hiscott ultimately decided not to buy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Hiscott said that in April 2002 he and Mr. Hackett discussed starting to purchase blue chip investments for the fund. Mr. Hiscott told Mr. Hackett that he wanted to walk away with at least $2 million from the fund for various purposes that he had in mind. He went to the Canaccord office the next day and met with Mr. Hackett who prepared a note for $2 million in his favour. Mr. Hackett had someone in the office, Ms. Grey-Hewett, act as witness to Mr. Hackett's signature. Mr. Hiscott said that she told him that Mr. Hackett was doing a good job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Hiscott said that in 2005 he told Mr. Hackett that he wanted to get out of the fund and wind it up and buy a farm. The securities were then worth, according to Mr. Hackett, $11 or $12 million. Mr. Hackett wrote Mr. Hiscott a promissory note for $5 million. Again, an employee of Canaccord, Jordann Nettles, witnessed Mr. Hackett's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Hiscott testified that over the years he estimated that he had received in the order of $1.4 million from Mr. Hackett as returns from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Hiscott said that he received his last payment from the fund in October 2006. In January 2007, Mr. Hackett asked him to accompany him to meet with two investors. Mr. Hackett told him that he had invested their money, but the return of the money had been delayed. He wanted Mr. Hiscott to reassure the investors that he and Mr. Hackett had a joint investment account and that Mr. Hackett was good for the money. At that meeting, Mr. Hackett told one of the investors that Mr. Gustafson was holding money in trust. Mr. Gustafson told Mr. Hiscott that this was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Hiscott said that he demanded that Mr. Hackett prepare and sign a document stating that Mr. Hiscott had nothing to do with Mr. Hackett's deal with the investors. Mr. Hiscott and Mr. Hackett gave this document to the first investor. Mr. Hackett managed to smooth things over with the first investor, but the other investor, an old friend, sued him to recover his investment. When Mr. Hiscott learned of this in February 2007, he called Mr. Hackett, who told him that there was nothing to worry about, and that he was getting Mr. Hiscott's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April 2007, when Mr. Hackett had still not delivered Mr. Hiscott's money to him, Mr. Hiscott contacted Canaccord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Hackett eventually told Mr. Hiscott that the money had been invested in an offshore fund rather than at Canaccord. Mr. Hackett said that he would be receiving the money by a certain date, at which point he would then repay his creditors. In 2008, after various promises to repay had been left unmet, Mr. Hiscott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Hiscott said that from 1993 to 2007 the investment was his only source of income. Since 2007, he has been living on assistance provided by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are two issues: whether Canaccord is liable to Mr. Hiscott and, if so, the amount for which it is liable; and whether Mr. Hackett is liable to Mr. Hiscott and, if so, the amount for which he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Liability of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Hiscott submits that: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Hackett owed Mr. Hiscott a fiduciary duty;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Hackett deceived Mr. Hiscott;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Hiscott was a client of Canaccord;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Canaccord was negligent in its supervision of Mr. Hackett;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Canaccord afforded Mr. Hackett the opportunity to perpetrate the loss by Mr. Hiscott;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Canaccord is vicariously liable because the wrongful acts are sufficiently related to conduct authorized by the employer to justify the imposition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Hiscott says that his damages are $7,440,950 as of October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Mr. Hiscott has lost nothing. Accordingly, Canaccord would not be liable,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view, the investment is a chimera, a shared fantasy, or a delusion of Mr. Hackett and Mr. Hiscott. I accept Mr. Hackett's evidence that as soon as, or very shortly after, he received the shares in Sportsight from Mr. Hiscott, the funds, whatever they may have been, were invested offshore with two gentlemen known as "James" and "John". Mr. Hackett says that it was essential that the identities of James and John be kept confidential. This was apparently so because they were highly placed within the US government or business circles.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Hackett still refuses to disclose the identities of James and John. This confidentiality also apparently explains the absence of documents. Mr. Hackett from time to time told James and John what he would like the funds to be invested in. He has no documents to reflect this investment and has not received any proceeds from this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Hackett has for several years maintained the belief that the investment exists and that he will be paid by James and John. Remarkably, he continues to maintain this belief even after numerous deadlines have passed without payment from James and John. The only rational conclusion is that James and John have disposed of whatever was 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lists of shareholdings that Mr. Hiscott prepared are simply lists of shares. There is no documentary evidence and no rational basis to believe that those shares were held in the fund. Accordingly, I have concluded that the fund is a fiction. Whatever Mr. Hiscott gave to Mr. Hackett to invest was lost in 1992 or 1993 when it was sent to James and John to invest.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What did Mr. Hiscott lose? He says that he gave Mr. Hackett 330,000 shares in Sportsight, which were then worth $.50/share, for a total value of $165,000. Canaccord challenges the fact that 330,000 shares were transferred. There is, in fact, no documentary evidence of more than 30,000 shares. Nevertheless, both Mr. Hackett and Mr. Hiscott say that there were 330,000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Even assuming that there were 330,000 shares and that Mr. Hackett made a similar contribution, I do not accept that Mr. Hackett and Mr. Hiscott ever invested in the blue chip stocks that they say they had. I also do not accept that the value of the investment ever reached $10 - $12 million as that they suggest. As I have indicated, that value is mere conjecture that is based on the idea that James and John were investing the funds in particular shares. I do not accept that the investment, whatever it may have been, generated that amount. There is no documentary evidence that James and John invested what they were given, and no documents to satisfy me as to the value of the supposed investment. Indeed, as I have indicated, the funds were, in my view, lost at inception.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Using the Toronto Stock Exchange index as a measure, $165,000 invested in 1993 would be worth $577,500 by 2007. Mr. Hiscott received payment from time to time from Mr. Hackett well in excess of the $577,500 that he might have received had Mr. Hackett properly invested $165,000 for Mr. Hiscott. As I noted above, Mr. Hiscott testified that over the years he estimated that he had received in the order f $1.4 million from Mr. Hackett as returns from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Alternatively, Mr. Hiscott says that he first suggested that Mr. Hackett hold the Sportsight shares until they reached between $2.50 and $3.00 per share. Sportsight shares did trade at that amount, briefly. If they had been sold at $3.00 per share, Mr. Hiscott would have realized $990,000. Again, Mr. Hiscott received more than this from Mr. Hackett.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am not satisfied that Mr. Hiscott has suffered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any event, I am not satisfied that Canaccord was negligent or failed to supervise Mr. Hackett, or that Canaccord is vicariously liable for Mr. Hackett's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Hiscott says that he was a naive investor. He says that he genuinely believed that his investment was with Canaccord, and that his account was opened and operated in a perfectly normal fashion. I do not accept this evidence. Mr. Hiscott has a university degree and business experience. He was the general manager of two fitness facilities in California, and the general manager and part owner of a large fitness and recreation facility in Whistler. He was a part owner with his brother of Planet Ice in Coquitlam. He started a business called All Star Baseball Academy. He promoted Sportsight.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Yet, despite all of this, Mr. Hiscott says that he was not concerned that he received no account opening documents and no statements for the account which he thought that he had with Canaccord. He signed promissory notes in favour of Mr. Hackett, and Mr. Hackett signed promissory notes in favour of Mr. Hiscott, apparently to record their investment. Moreover, although Mr. Hiscott received funds from time to time from Mr. Hackett, he did not file a tax return since at least 1993. The payments that he received came directly from Mr. Hackett rather than from Canaccord. Mr. Hiscott maintains that he saw nothing unusual in all of this. In light of this evidence, I do not accept that Mr. Hiscott thought that this was a normal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Hackett quite candidly said that he did not disclose his activities to Canaccord and that he did not open an account at Canaccord because there was "no way" that Canaccord would permit him to have a joint account or to invest with a client. Mr. Hackett acknowledged that, had Mr. Hiscott thought that the account was at Canaccord, he may not have disabused Mr. Hiscott of that mistaken belief. He thought that he might have told Mr. Hiscott as early as 1999 that the account was offshore.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Mr. Hiscott was not at all concerned about whether he had an account at Canaccord until 2006 or 2007, which is when he realized that Mr. Hackett was in difficulty. At that point, he turned to Canaccord with the hope that it would accept some responsibility. Mr. Hackett and Mr. Hiscott apparently documented their agreement in a document entitled "Agreement and Declaration of Trust", which was signed in June 2006. In 2007, they signed a document entitled "Acknowledgement", which was incorrectly dated January 23, 2006. Neither of these documents suggests that the investment was made through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light of all of the evidence, it is my view that Mr. Hiscott was not a client of Canaccord. Accordingly, it does not owe him the duties that it owes to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accept that Canaccord was negligent and failed to properly supervise Mr. Hackett, resulting in a loss to Mr. Hiscott. First, as I have found, Mr. Hiscott sent whatever he received to James and John almost immediately after he received it. He intentionally kept the entire matter hidden from Canaccord because he knew that Canaccord would not permit the activity. Anything that Canaccord did or did not do after that point did not affect Mr. Hiscott.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theory is that Canaccord had a "corporate culture of non-compliance" amongst its staff and registrants. The plaintiff submits that this caused Mr. Hackett to act as he did to Mr. Hiscott's detriment. However, the evidence does not support this theory. Mr. Hackett, shortly after he joined Canaccord in October 1992, intentionally acted in a way that he knew Canaccord would not permit. Mr. Hackett had been a broker or investment adviser since 1964. He had no disciplinary history. He was well-respected in the industry. As such, it could not have been the corporate culture at Canaccord which led him to act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I have concluded that nothing done or not done by Canaccord affected Mr. Hiscott, the plaintiff points to a number of specific failures by Canaccord as evidence of his theory. I will address each of these in turn.</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Failure to Monitor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submits that there was a failure to properly supervise Mr. Hackett and to monitor his outside accounts. The plaintiff argues that if Canaccord had monitored Mr. Hackett's outside accounts, it would likely have questioned the source of funds and securities that were transferred into those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not satisfied that Canaccord had the ability to monitor Hackett's accounts on a transaction by transaction basis, or that, had Canaccord done so, it would have been alerted to a problem. Mr. Hackett says that he deposited 330,000 Sportsight shares to his account with the Bank of Bermuda before transferring the investment to James and John. If this happened, Canaccord would only have seen 330,000 shares enter and exit Mr. Hackett's trading account. That alone would not have raised a concern. Moreover, although Mr. Hackett paid large sums to Mr. Hiscott from his personal bank account, I am not satisfied that Canaccord could have monitored it.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Wire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points to the fact that Canaccord allowed brokers to make wire transfers on Mr. Hackett's behalf to an individual in the United States. The plaintiff submits that other brokers, who were aware of loans between Mr. Hiscott and Mr. Hackett, should have been concerned by this, and should have reported the matter to Canaccord. The plaintiff says that Canaccord should therefore have known of these wire transfers and put a stop to them, and was negligent in failing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my view, regardless of the nature of the wire transfers and whether or not Canaccord should have known of them and stopped them, it is clear that they had no effect on Mr. Hiscott. The wire transfers occurred in the period between 2004 and 2006. However, I have found that Mr. Hiscott's investment was lost by 1993. Assuming that Canaccord was negligent with respect to the wire transfers (which is a conclusion that I have not reached),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connected to any loss suffered by Mr. Hiscott.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Witnessing of Signatures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points to evidence that Mr. Hackett's and Mr Hiscott's signatures on certain promissory notes were witnessed by other Canaccord employees. I accept the evidence of various Canaccord employees that employees would frequently witness signatures, the practice would not attract attention, and employees may well have witnessed signatures on documents without knowledge of their contents. The evidence demonstrates there was nothing about the practice that should have alerted Canaccord to any problems.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Plaintiff's Frequent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submits that the plaintiff's frequent attendance at Canaccord's offices should have alerted Canaccord to a potential problem. Again, I accept the evidence of various Canaccord witnesses that people who are not clients - such as friends, family, prospective clients - attend at Canaccord's offices regularly in the ordinary course of business. That type of behaviour would not attract anyone's attention. I do not accept the suggestion that Mr. Hiscott frequented Canaccord's offices so often that someone must have wondered why he was there and should have inquired.</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Ashton Mining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takes issue with a transaction involving Ashton Mines. In early 2002, Mr. Hackett asked Mr. Brown, a principal of Canaccord, if he could lend Mr. Hackett $40,000 for a short period of time. Mr. Brown preferred to make Mr. Hackett a gift. He decided to give him 10,000 shares which he had purchased in Ashton Mines. Rather than simply transfer the shares he utilized a "cancel and correct" process. By this process, the original purchase in the name of Mr. Brown's company was cancelled and "corrected" to reflect a purchase by Mr. Hackett. Granted, this procedure was technically incorrect. However, the fact that the gift was made by a "cancel and correct" process instead of some other method caused no damage to Mr. Hiscott.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Loans to Mr. Hackett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points to the fact that Mr. Hackett borrowed money from others at Canaccord, notably Mr. Turton and Mr. Hewett. The plaintiff says that Canaccord should have known of these loans, as well as the funds that he borrowed from clients, and should have been alerted to Mr. Hackett's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Ironically, by Mr. Hackett's accounting, the funds that he borrowed went largely to Mr. Hiscott. The loans occurred between 2004 and 2006. I am not satisfied that Canaccord could be negligent with respect to Mr. Hiscott even if Canaccord could be said to be at fault in failing to know of or stop this activity. This activity did not cause a loss to Mr. Hiscott.</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Hackett's Low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says that Canaccord should have had regular performance reviews and should have been alerted to Mr. Hackett's financial difficulties by reason of his unusually low commission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accept the opinion of Mr. Boyce who testified that high commission earnings would be a cause for concern because they might be evidence that the investment adviser is "churning" investments, or buying and selling more often than appropriate, in order to generate commissions and drive up his or her personal income. However, there is no evidence that low commission earnings would have been a cause for concern in the circumstances of this case. Mr. Hackett was of retirement age, and his portfolio was being wound down and transferred to other employees. I do not accept that low commission earnings in these circumstances should have alerted Canaccord to the problems.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essence, the plaintiff argues that Canaccord failed to properly monitor and supervise Mr. Hackett. The plaintiff submits that Mr. Hackett's conduct was unusual in a variety of ways and that, collectively, this conduct should have alerted Canaccord and caused it to look more closely at Mr. Hackett's activities. However, I am not satisfied that the conduct, even taken collectively, was conduct that Canaccord should have noticed and taken steps to investigate. In any event, the conduct took place after Mr. Hiscott's investment was lost. Accordingly, any failure by Canaccord at that point in time did not cause any damage to Mr. Hiscott.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Liability of Mr. Hackett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seeks damages from Mr. Hackett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trust, breach of fiduciary duty, and deceit. There is little doubt on the evidence before me that Mr. Hackett breached his duties to Mr. Hiscott as trustee and fiduciary. However, I am not satisfied, as set out above, that Mr. Hiscott suffered a loss because of this breach, or because of any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deceit on the part of Mr. Hackett. As I have indicated, it is my view that Mr. Hackett paid Mr. Hiscott more than Mr. Hiscott would have received had Mr. Hackett properly invested the Sportsight shares. Accordingly, Mr. Hiscott is in a better position than he would be in had the funds been properly invested. The value of the purported investments is not a proper measure of damages because those investments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Hiscott also seeks judgment on a $5 million promissory note made in his favour by Mr. Hackett. This promissory note was apparently signed to provide evidence of the value of Mr. Hiscott's share of the joint fund. It recites that it was given for consideration. I do not know what consideration might have been given. I am reluctant to grant judgment on the promissory note which reflects Mr. Hiscott's share of an investment which does not exist. The parties did not address these concerns in their argument. If Mr. Hiscott wishes to pursue judgment against Mr. Hackett on the promissory note, he may schedule further argument before me to address these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action against Canaccord is dismissed, with costs. Mr. Hiscott may schedule further submissions before me with respect to judgment and costs against Mr. Hackett.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Hoskin v. Trisevic, [2002] B.C.J. No. 1326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25 - 27 and April 2 - 5,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B981137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903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B.C.L.R. (4th) 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237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 Hoskin, plaintiff, and Miroslav Trisevic,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35"/>
      <w:bookmarkEnd w:id="28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Damage awards — Injury and death — Body injuries — Back — Neck injuries.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31"/>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Hoskin for damages arising from an automobile accident in April 1996. The defendant Trisevic admitted liability for the accident and for Hoskin's neck and shoulder injuries but denied the extent of lower back injuries claimed by Hoskin. He stated that Hoskin's low back injuries and need for spinal fusion were caused by pre- existing disc degeneration complicated by other injuries and conditions. Immediately following the accident, Hoskin's neck, upper back and shoulder pain were most acute. These resolved themselves by the fall of 1996. Hoskin's lower back problem manifested itself several months after the accident and persisted until fusion surgery in May 2000. He had had continuing pain and treatment in the lower spine, thoracic, and cervical regions prior to the accident. He had subsequent injuries that caused him to complain of lower back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3" w:name="Holdings of Court_29"/>
            <w:bookmarkEnd w:id="28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Hoskin was entitled to non-pecuniary damages of $20,000 for his moderate soft tissue injuries. His claim that his lower back condition was caused or worsened by the accident was not borne out by the evidence. He was entitled to special damages up to November 1996.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Counsel_41"/>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B.D.S. Garside,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Collins,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41"/>
      <w:bookmarkEnd w:id="285"/>
      <w:r>
        <w:pict>
          <v:line id="_x0000_s1219" style="position:absolute;z-index:2518036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6" w:name="SATANOVE J."/>
            <w:bookmarkEnd w:id="286"/>
            <w:r>
              <w:rPr>
                <w:rFonts w:ascii="arial" w:eastAsia="arial" w:hAnsi="arial" w:cs="arial"/>
                <w:b/>
                <w:color w:val="000000"/>
                <w:sz w:val="30"/>
                <w:lang w:val="en-US" w:eastAsia="en-US" w:bidi="ar-SA"/>
              </w:rPr>
              <w:t>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44 year old man who is married with two teenage children. On April 16, 1996 he was rear ended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he was a construction worker and enjoyed the privilege of being an extreme, or elite athlete. Today he cannot perform heavy physical labor and his athletic pursuits have been significantly curtailed.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admits liability for the accident and for the neck and shoulder injuries suffered by the plaintiff. However, the defendant denies liability for the 4 years following the accident during which the condition of the plaintiff's lower back gradually worsened until he underwent a spinal fusion in May 2000. The defendant submits that the pain experienced by the plaintiff in his lower back and the need for the spinal fusion was caused by the plaintiff's pre-existing disc degeneration complicated by later intervening events, such as a work related accident, epididymitis and epidydectomy, and injury while removing a seat from his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Thus the main issue is whether the accident caused or contributed to injuries to the plaintiff's lower back. This in turn will have a major effect on the quantum of damages to which the plaintiff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had been waiting to merge on to McBride Avenue in New Westminster. He had his left arm out the open window and his upper body was twisted to the left as he checked for oncoming traffic. His Econoline van was stopped when the defendant's Toyota pick-up truck impacted with it and caused the plaintiff's van to jolt back and forth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able to drive to the New Westminster police station to report the accident, but he felt nauseous and faint. After he drove home he went to see his family doctor's locum, Dr.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Immediately after the accident the plaintiff had pain in his neck and shoulders. He also testified that he had immediate pain in his lower back. There is mention of his back in Dr. Chan's notes, but nowhere in the I.C.B.C. claim form signed by him on April 18, 1996, nor in the clinical records of his family physician, Dr. Braun, dated April 20 and April 23, nor in the Scottsdale Massage Therapy records of April 26 or May 2 is there any reference to a complaint about the plaintiff's lower back. I also note that the plaintiff's wife, Erica Barr testified in examination in chief that the day he came home from the accident the plaintiff said he had pain in his neck and upper back on the right hand side. She did not mention any complaint from the plaintiff about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the clinical records, it appears that the lower back pain was not reported to Dr. Braun until June 4, 1996 at which time Dr. Braun described it as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submitted that the plaintiff's recollection was not trustworthy and that the contemporaneous clinical records should be preferred over the historical reconstruction provided by the plaintiff. After hearing the viva voce evidence and reviewing the documentary evidence I agree that in this case the clinical records must carry greater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 1996 the plaintiff reported to his family doctor that his neck had improved but he was experiencing lower back pain radiating to both knees. He described it as aggravation of a previous back injury. Examination revealed tenderness at L5-S1. The plaintiff returned to Dr. Braun on October 22, 1996, complaining of persistent low back pain. In Dr. Braun's records there is no further mention of back pain until April 24, 1997 after the epididymectomy.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the plaintiff his low back pain continued, and by June, 1997 Dr. Braun was calling it chronic. In April, 1998 Dr. Braun noted that the low back pain was improving with steroid treatment. In February, 1998 Dr. Richard Chan, Neurosurgeon, found no nerve damage and concluded there had been further ligament injury to the lower back since the plaintiff's martial arts incident and that this was causing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July 1998 the plaintiff complained of chronic low back pain to Drs. Braun, Kokan and Bowlsby. The plaintiff testified that the pain in his lower back seemed to be worsening throughout 1998 and 1999. It was only upon recovery from the back fusion surgery that he finally had significant relief from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Immediately after the accident Dr. Chan, General Practitioner, prescribed an anti-inflammatory medication, ice and heat, and stretching exercises. He advised the plaintiff to continue working because the physical activity would keep him strong and prevent him from becoming deconditioned.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attended Scottsdale Massage Therapy Clinic for 9 treatments between April 26th and June 15th, 1996. The clinical records show that the treatments were with regard to the plaintiff's neck and upper back symptoms. However, there is a reference on May 16, 1996, that the plaintiff reported to the massage therapist that his lower back was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had 18 chiropractic treatments with Dr. Canil following the accident through to July 1996. In early June 1996 he was referred for physiotherapy for low back pain. The therapist reported that the neck pain improved but progress was poor with respect to the lower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July 1996 the plaintiff started a rehabilitation program with the Canadian Back Institute. The program appears to have lasted less than a month and upon his discharge the Institute reported some improvement in the neck and upper back, but ongoing lower back symptoms. In May 1997 Dr. Braun referred the plaintiff to Sunwood Orthopaedic Physiotherapy Clinic for further treatment for continuing low back pain. Between May and October 1997 the plaintiff attended ll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early summer of 1997 the plaintiff was referred to orthopaedic surgeon Dr. Cecil Caines and anti-inflammatories were still being prescribed. At this time Dr. Caines did not consider surgery to be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also received 11 chiropractic treatments from Dr. Canil in June through October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November 1997 the plaintiff was referred to another physiotherapist, Diane Lee for traction treatment for chronic low back pain. Between November 24 and December 19, 1997, the plaintiff attended Delta Orthopaedic Physiotherapy Clinic for 20 sessions of VAX-D Traction Therapy. This provided some temporary benefit but the low back pain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January 1998 Dr. Braun referred the plaintiff to Dr. Chan, Neurosurgeon. On April 27, 1998 the plaintiff saw Dr. Goldberger for acupuncture and intra-muscular stimulation treatments through to June 23, 1998. In September 28, 1998 the plaintiff started seeing Dr. Shah who treated him with trigger point injections (injections of anaesthetic into paraspinal lumbar glutial muscles). Once again this provided temporary relief, but no permanent benefit. In April 1999 the plaintiff was assessed by sports medicine specialist Dr. Schamberger and he was referred back to Delta Physiotherapy for more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7, 1999 Dr. Shah referred the plaintiff to the Neurosurgeon, Dr. Porayko, who in turn referred him to the Orthopaedic Surgeon, Dr. Dommisse. Dr. Dommisse arranged for a discogram which was carried out on December 29, 1999. During this time the plaintiff was undergoing prolotherapy treatments from Dr. Schamberger.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May 2000 the plaintiff underwent fusion surgery by Dr. Dommisse.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summary, the clinical records establish that in the period immediately following the accident, the plaintiff's neck, upper back and shoulder pain was most acute. The plaintiff's neck and upper back problems seemed to have resolved themselves by the fall of 1996. The lower back problem seemed to manifest itself a couple of months after the accident, and to have persisted and increased from time to time until the fusion surgery in May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PRE-EXISTING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Some years prior to the accident, the exact date of which was never clear on the evidence, the plaintiff injured his lower back while participating in martial arts training. The plaintiff testified that the injury caused only occasional pain and never interfered with his work. He only saw his family doctor once regarding his back and he relied on the chiropractor to resolve the pain when it did flare up. He took no time off work or his athletic pursuits for any lower back problems before the accident. He never received any medication, massage or physiotherapy for his lower back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the clinical records show a more significant low back problem than that described by the plaintiff and one which required medical intervention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clinical records of Dr. Canil, Chiropractor, are telling. They start in July 1994 and indicate that the plaintiff's chief complaint was of low back pain for one and half years duration. There is a reference to the radiation of pain occasionally going into the leg, paralumbar muscle tenderness, hypomobile sacroiliac joints, and aberrant joint motion of L3 and L5.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was seen by Dr. Canil in January and February 1995 for central lower back pain. He attended at Dr. Canil's office in June 1995 with lower back pain that had lasted for a week. Dr. Wong examined the plaintiff on October 19, 1995. He noted the plaintiff was involved in martial arts and had injured his back with consequent chronic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attended on March 9, 1996 because of an acute central lower back pain of several months duration. He was treated on March 9, 12, 15, 19, 26, April 1, 3, 10, 1996. During this time treatments were also administered to his temporo-mandibular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reported at Care Place Medical Centre in March 16, 1996 complaining of pain in his lower back in the middle going down to both legs. He advised that he had been seeing a chiropractor for years who was suggesting that the plaintiff receive x-rays. On March 25 the plaintiff was referred to physiotherapy treatments. There is also reference to x-ray results of the L3 disk narrowing and acute pain. The x-ray report referred to moderate thinning of the L4-5 disk interval.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Braun's records indicate that on April 9, 1996 the plaintiff was suffering from jaw pain and was prescribed naprosen.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note that neither Dr. Canil, Dr. Wong, nor any of the doctors from Care Place Medical Centre, nor any physiotherapists who treated the plaintiff both prior to and after the accident, were called upon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summary, just before the accident the plaintiff had continuing pain and treatment in the lower spine, thoracic and cervical regions. He had already been prescribed the anti-inflammatory naprosen by April 9, 1996, for temporomandibular pain which had been present several months. He had already been referred to physiotherapy as of March 25, 1996. Most importantly, he had already been referred for x-rays of his lower back and hip. These x-rays were taken March 16, 1996, a month before the accident, and reported a moderate thinning or narrowing of the L4-5 disc interval.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All the medical experts were in agreement that the mere existence of disc narrowing does not translate into pain symptoms. However, in light of the records of Dr. Canil, Dr. Braun and Care Place Physiotherapy Clinic it was obvious that the plaintiff's lower back condition was already symptomatic prior to and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About 5 weeks after the accident, on May 22, 1996, the plaintiff sustained a work related accident when a piece of plywood flew up from his saw and struck him in the abdomen and left hip area. The plaintiff's Workers Compensation Board records indicate that he was knocked to the ground where his wife later found him before she took him for medical assistance. It is interesting to note that the first mention by Dr. Braun of lower back pain appears after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early 1997 the plaintiff developed a condition which led to an epididymectomy in May 1997. The plaintiff testified that while his lower back problems were temporarily subsumed in the attention to his epididymitus, the back problem remained and the pain continued. He worked in heavy construction right up until the time of his epididymectomy, although he was in quite a bit of pain so he reduced his exercises. After this surgery he was not able to work or exercise for a number of weeks. Following the operation, Dr. Braun found the plaintiff had limited range of motion with radicular pain down his right thigh to the knee. Dr. Aitken described this condition as decompensation resulting from being unable to protect his lower back when he was under anaesthetic for the surgery. Dr. Andreou's report states that the plaintiff's epididymitus and epididymectomy were attributable to his running of marathons and long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April 4, 1998 the plaintiff attempted to lift a seat out of his mini-van when he felt a pull in his lower back. He testified that he carried on loading the van and drove up to Whistler, but he did not ski. He missed a week of work as a result of this incident and was unable to return to the same level of activity for about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characterization of this incident was that it caused a temporary aggravation of his low back problems lasting a few weeks. However, Dr. Goldberger's report states that the incident made the pain very much worse. The plaintiff experienced spasms from his neck down through his hamstrings. Prior to this incident, there is no reference in the clinical records to any spinal spasm being experienced by the plaintiff. The defendant submitted that this incident introduced a new source of pain which was superimposed upon his pre-existing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notable that despite the motor vehicle accident the plaintiff did not miss work until he had the unrelated epididymectomy. He missed work again after the van seat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alternative explanations for the plaintiff's lower back problem put forward by the defence all arise from non-tortious incidents. The interplay between tortious and non-tortious causes of a loss was once a thorny area of the law, but has now been settled by the Supreme Court of Canada in Athey v. Leonati </w:t>
      </w:r>
      <w:hyperlink r:id="rId27"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at 238: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long been established that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defendant's conduct is found to be a cause of the injury, the presence of other non-tortious contributing causes does not reduce the extent of the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must prove on a balance of probabilities that the defendant has caused or contributed to his injuries. The plaintiff must prove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in that it falls outside the de minimus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Causation need not be determined by scientific precision; it is essentially a practical question of fact which can be answered by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has never been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non-tortious causes contributing to the injuries. If these non-tortious events occur or manifest themselves after the plaintiff is injured, thereby worsening the plaintiff's condition, then the defendant is only liable for the difference between the plaintiff's position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and the plaintiff's injured position. To the extent that the plaintiff's original position is affected by intervening events or non-tortious causes, which would have happened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the defendant is not liable for this measure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case also invokes the law pertaining to thin skull and crumbling skull. If the injuries resulting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unexpectedly severe owing to a pre-existing condition then the defendant is still liable for the full extent of the injuries (thin skull). However, if the pre-existing condition was inherent in the plaintiff's original position and would have manifested debilitating effects anyway, then the defendant is not liable to compensate the plaintiff for these debilitating effects (crumbling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Therefore, if the plaintiff's chronic lumbar pain and need for disc fusion likely would have occurred without the injuries sustained in the motor vehicle accident, causation is not proven. If it was necessary to have both the accident and the pre-existing condition for the pain and fusion to occur, then causation is proven because the accident was a necessary contributing cause. If the accident alone could have been a sufficient cause and the pre-existing back condition alone could have been a sufficient cause, then it is unclear which was the cause in fact of the pain and the need for 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Regrettably for the plaintiff in the case before me, I cannot find the evidence sufficient to show, on a balance of probabilities,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plaintiff's back injury. It could have been the cause, but it is equally likely, if not more so on the medical evidence before me, that his pre-existing disc degenerative disease combined with the physical strains of his work, athletic activities, and subsequent injuries to his back were sufficient on their own to have caused the plaintiff's chronic back pain and need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expert medical evidence in support of the plaintiff's theory that the accident caused his chronic back pain and need for surgery was inconclusive.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Braun in his report of February 16, 1999 stated that in his opinion the motor vehicle accident exacerbated a previous back problem. However, in the body of his report he stated that prior to the motor vehicle accident the plaintiff was seen on only one occasion with low back pain. In his report of February 26, 1999 he stated again that according to his records the plaintiff's previous back pain was inconsequential because there was only evidence of one visit to his office on June 2, 1993 with a complaint of back pain. Then he wrote that he based his earlier statement about the accident exacerbating a previous back problem from comments that the plaintiff made to Drs. Caines and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have a concern about Dr. Braun's evidence for two reasons: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proceeded on the assumption that the plaintiff's back was fine and asymptomatic at the time of the motor vehicle accident, which is plainly wrong in light of the other medical records; and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opinion was not an independent opinion, but rather an assumption based on what the plaintiff told other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Similarly, the plaintiff's subsequent family physician, Dr. Shah, stated in his report of December 15, 1999 that prior to the accident the plaintiff did not have any history of pain syndromes, depression, or poor exercise tolerance. Dr. Shah's opinion was that the plaintiff had muscle damage in the lumbar paraspinal muscles and the gluteal muscles. He opined that although the plaintiff appeared to have some disc degeneration, he "suspected" that it did not contribute to the pain because it did not appear significant on the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Shah was under the impression the plaintiff was a long distance runner and skier who had to stop all this activity as soon as the accident occurred. However, the plaintiff testified to having run a marathon three weeks after the accident, in which he achieved his best time 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Dr. Shah described the plaintiff as being "in excellent health prior to the accident" it appeared that he had not been fully apprised of the problems that the plaintiff was experiencing close to the time of the accident. Dr. Shah's false assumption and lack of understanding of the plaintiff's previous health was reinforced during cross examination in the video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Kokan, Orthopaedic Surgeon, found no evidence of structural damage to the plaintiff's spine but found evidence of degenerative changes in the lumbar disc. In his report of July 27, 1998 he opined that the accident probably contributed to the pre-existing degenerative process of the lumbar spine, but the extent of this aggravation was difficult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Once again, Dr. Kokan did not appear to be in possession of accurate facts relating to the plaintiff's pre-accident condition. Contrary to the clinical records, he understood only that the plaintiff injured his lower back in 1992 and continued to have occasional soreness in the form of a minor ache. He also understood that the plaintiff lost 10 days from work on account of the accident, which was incorrect. He stated that since the accident the plaintiff curtailed all physical activities such as running and martial arts, whereas in fact the plaintiff had stopped martial arts a long time prior to the accident and he continued running marathons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le Nobel, Rehabilitation Specialist, ventured into the area of causation and concluded that "it is certainly conceivable, and probably likely, that the motor vehicle accident aggravated his back, causing further injury to the disc and lumbar facets".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le Nobel also suffered under false assumptions. In his report of March 10, 1999 he stated that the plaintiff indicated that he had no complaints of leg pain prior to the motor vehicle accident. This is contrary to the clinical records. Dr. le Nobel described the martial arts incident as having occurred in 1994, which is contrary to the other records which show it being much earlier. Most importantly however, there was no reference by Dr. le Nobel to the problems the plaintiff was having with his back in the months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Hunt, Neurological Surgeon, opined in his report of March 16, 1999 that as a result of the acceleration and deceleration forces applied to the plaintiff's vehicle at the time of the accident, he suffered injuries to his back, neck and shoulders. He concluded that the plaintiff's ongoing difficulties with his lower back pain and bi-lateral leg pain arose from injured muscles and ligaments which could not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Hunt's understanding of the plaintiff's pre-accident condition seemed no more accurate or comprehensive then the experts to which I have already alluded. He referred to the plaintiff performing martial arts and other forms of aggressive physical activities until the accident, but made no mention of the plaintiff continuing to run marathons after the accident. He made the statement that in the interval between March 16, 1996 and February 19, 1999 the degenerative changes at the L4/5 level were quite significant. On cross examination he admitted that at the time of writing this report he did not have the x-rays before him to review. Upon review of the x-rays he conceded that the narrowing of the L4/5 space between March 19, 1996 and May 22, 1997 was slight. Therefore, I infer that any significant degenerative changes must have taken place after May 22,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not clear to me why the plaintiff relied so heavily on Dr. Hunt's opinion, as he was a Neurosurgeon and the prevailing opinion of all the experts was that the plaintiff did not suffer any neurological damage. The plaintiff suffered from mechanical back pain which was in the domain of orthopaedic medicine and surgery. Dr. Hunt tried very hard at trial to persuade me that the plaintiff suffered from "subluxation", or the shifting of one vertebrae on another as a result of torn or stretched joints, which he attributed to the accident. He measured the degree of subluxation as being about 2 millimetres between the March 16, 1996 x-rays and the x-rays of March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However Dr. Nugent, Neuroradialogist, explained that the degree of subluxation was minimal, about .5 of a millimetre, and what Dr. Hunt had been looking at was the effect of an osteophyte (or bone growth). Dr. Nugent opined that the further narrowing of the L4/5 disk space between March 1996 and March 1999 was expected in any event, regardless of trauma. The degree of pre-existing degeneration was moderate even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have chosen to rely on Dr. Nugent's opinion over that of Dr. Hunt's, because Dr. Nugent is vastly more experienced in the area of reading radiography. Dr. Nugent also appeared to be more impartial than Dr. Hunt. He was not prepared to opine on the degree of symptomology to be associated with the plaintiff's degeneration, because he could not assess this from the radiography.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was no other evidence of subluxation even though the x-rays and CT scans were reviewed by other radiologists who found no abnormalities apart from the disc narrowing and some osteophyte 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Aitken, Orthopaedic Surgeon, opined in his report of March 2002, that the plaintiff suffered from something affecting the structural performance of the junction between the lumbar spine and the pelvis, as confirmed by the discogram. He believed that in retrospect there probably was some relationship between the pre-existing degeneration and the post-accident aggravation of the plaintiff's condition. He was not able to say whether the accident caused or contributed to the development of the lumbar disc bulges, but he answered in the affirmative when asked whether the accident caused or contributed to a progression of the prior degenerative condition. In his report he stated that the L4-5 disc space degeneration was a source of pain. He graded the pain before the accident as grade 1 (recurrent minor mechanical dysfunction which usually responded to manual therapy), but increasing to grade 2 after the accident (not responding to manual therapy and resulting in a disability such that the individual is not able to participate in extra-curricular activities). He concluded that the effect of the accident was to convert the plaintiff from grade 1 to grade 2 level of symptoms, followed later on with 2 other intercurrent events, to becoming a grade 3 case of degenerative disc disease (severe incapacity back pain where the patient cannot go to work or take part in sports and ultimately comes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Aitken's report and opinion was based on a number of false assumptions. He stated under cross examination that he had been asked to focus on the low back problem and he felt that the neck was not an issue. However, in the list of assumptions in his report he stated that as a consequence of the impact the plaintiff experienced transient compression of the cervical spine resulting in spinal pain which manifested itself in chronic involving the right side of the neck and shoulder girdle. The only reference to lower back in his assumptions was that as a consequence of the general anaesthetic required for the epidymectomy the plaintiff suffered acute decompensation causing aggravation of his already existent low back pain. As a result of a lifting and twisting episode while removing a seat from the family van, he suffered a further aggravation of his low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Given these assumptions it was not reasonable for Dr. Aitken to conclude that the accident was the cause of the plaintiff's chronic back pain, nor did he actually reach that opinion. He conceded that the dizziness and nausea which the plaintiff experienced right after the accident was because of the cervical spine problem, not the lower back. He also agreed that the wrenching incident where the plaintiff lifted out the bench seat of the van and fell to the ground would have put him more in the grade 2 level of pain. He agreed that if the plaintiff had undergone the epididymectomy or the incident with the van seat before the accident he may have suffered the same consequences to his back. Finally, he made the same erroneous assumption as Dr. le Nobel that the plaintiff attended the chiropractor in March of 1996, but not because of any acute flair up or significant worsening of back pain of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surgeon who performed the spinal fusion, Dr. Dommisse, was not called upon to testify nor to submit an expert report. It appears from the discogram methodology that it was the disc itself which was causing the plaintiff the most pain. The nuclear medicine report stated that the bone scan of the plaintiff's lower back showed a pattern more consistent with degenerative change than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summary, my review of the plaintiff's expert evidence leaves me unsatisfied. It does not appear that any of these experts really investigated the condition of the plaintiff's lower back prior to the accident in order to properly compare it after the accident. Their focus was on post-accident condition and activities, as reported by the plaintiff, at times inaccurately. In their effort to find a theory that would explain why the plaintiff did not seem to have significant lower back pain until months after the accident they conveniently ignored the intervening events or the full extent of his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expert, Dr. Sovio, was also not provided with complete information. For example, the plaintiff did not inform him that he had run a marathon within three weeks after the accident or that he had injured his back while attempting to move a bench seat from his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Sovio explained that when a disc narrows, the facet joints may overlap or misalign and be capable of irritating the adjacent ligaments and other soft tissue structures when the patient is involved in certain twisting actions or excessive loading. He said that on the review of all the documentation provided to him it would be extremely difficult to state that the motor vehicle accident had caused any significant increase in the patients problems as far as pain and degeneration is concerned. He would not have expected this. In his opinion the symptomology of the plaintiff was best explained in terms of the pre-existing degeneration. This is further confirmed by the fact that the fusion operation was successful in alleviating the majority of the plaintiff's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conclusion then, as I have stated before, the plaintiff's submission that the accident caused or contributed materially to his lower back condition was not born out by the evidence. It was equally likely, if not more so, that the plaintiff would have suffered the chronic pain and disc degeneration leading to the fusion surgery in any event,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the soft tissue injuries and strain suffered by the plaintiff in the accident had more or less cleared up within 7 or 8 months and that the plaintiff is entitled to have his damages assessed for any losses incurred by him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a reasonable award of non-pecuniary damages for the plaintiff's moderate soft tissue injuries is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he incurred no income loss, past or future, from the injuries suffered in the accident. No future costs of care or household services are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award the plaintiff special damages as claimed up to and including November 1996, but not beyond. I was not provided with a consolidated list at tab 12 of Exhibit 3 as suggested in the plaintiff's submissions, but only copious copies of invoices, so I cannot set out the total of the plaintiff's reward. I leave it to counsel to determine the quantum of special damages in accordance with my instruction that any special damages beyond November 30, 1996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is entitled to pre judgment interest on his special damages only, as the non-pecuniary damages are awarded in current dollars. The plaintiff is entitled to his party/party costs on scale 3, subject to any offers of settlement of which I am not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Jasmine Construction Ltd. v. Adam, [2008] B.C.J. No. 1495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12-16 and 19, November 26-30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3-5, 2007; February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05-0315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1495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C.L.R. (3d) 258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1657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593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Jasmine Construction Ltd., Comino Carpets Ltd., and Crescent Moon Forge and Ironworks Ltd., Plaintiffs, and Diana Joan Adam, Jagit Dhanowa, Chris Adam, Crescent Moon Forge and Iron Works Ltd. and Antonio Tavares, Defendants, and Jagit Dhanowa, George Holland and Gary Miller, Third Parties, and Diana Joan Adam and Chris Adam, Fourth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7" w:name="Keywords_36"/>
      <w:bookmarkEnd w:id="287"/>
      <w:r>
        <w:rPr>
          <w:rFonts w:ascii="arial" w:eastAsia="arial" w:hAnsi="arial" w:cs="arial"/>
          <w:b/>
          <w:color w:val="000000"/>
          <w:sz w:val="20"/>
          <w:lang w:val="en-US" w:eastAsia="en-US" w:bidi="ar-SA"/>
        </w:rPr>
        <w:t>Construction law — Liability — Grounds — Defective workmanship — Defendants awarded $50,000 in damages against the plaintiff construction company Jasmine and Holland, a mason involved in the project, who were jointly and severally liable — As between the two, fault was apportioned 70 and 30 per cent — Jasmine was liable in contract and in tort, for failing to perform its supervisory duties in insuring the work ensured adequate protection against water ingress, etc. — Holland owed a duty to install the stone tile in a good and workmanlike manner — Taking into consideration the absence of reasonable steps to mitigate, the net assessment of damages was $50,000.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8" w:name="Case Summary_32"/>
            <w:bookmarkEnd w:id="2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construction company, Jasmine, seeking $150,000 in payment for the construction of a custom-designed home in Victoria, B.C., for the defendant couple. The defendants counterclaimed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related to remediating deficiencies in the construction of the house. The defendants also claimed against Holland and Miller, two masons involved in the installation of cultured stone tiles to the exterior of the house, claiming they had improperly installed the stone cladding, leading to significant water ingress. Many issues were settled, including an acknowledgement by the defendants that they were indebted to the plaintiff for $120,184 for materials, labour and payments made to subcontractors. Issues remaining included: (1) whether the weeping wall had been properly designed and constructed; (2) whether the water ingress was a result of improper work by Jasmine and/or Holland and Miller; and (3) whether the screens for the windows were properly fit for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9" w:name="Holdings of Court_30"/>
            <w:bookmarkEnd w:id="289"/>
            <w:r>
              <w:rPr>
                <w:rFonts w:ascii="arial" w:eastAsia="arial" w:hAnsi="arial" w:cs="arial"/>
                <w:color w:val="000000"/>
                <w:sz w:val="20"/>
                <w:lang w:val="en-US" w:eastAsia="en-US" w:bidi="ar-SA"/>
              </w:rPr>
              <w:t>HELD: Defendants entitled to $50,000 in damages from Jasmine and Holland, jointly and severally.</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between the two, fault was apportioned 70 and 30 per cent, respectively. The claims regarding the weeping wall and the window screens were dismissed. The wall assembly had suffered a systematic failure with regard to water ingress, as a result of various factors, including the lack of sealing between the stone tiles and the windowframe. Jasmine, Holland and Miller failed in their responsibilities to the defendants. Jasmine was liable in contract and in tort, for failing to perform its supervisory duties in insuring the work ensured adequate protection against water ingress, etc. Holland owed a duty to install the stone tile in a good and workmanlike manner. A reflection of the defendants' failure to take any basic prophylactic measures upon noting the leakage was warranted in the assessment of damages. Taking into consideration the absence of reasonable steps to mitigate, the net assessment of damages was $50,000. The claim regarding the weeping wall was denied, as the wall itself was adequate, and it was simply the water delivery system that required adjustment. The defendant had not permitted Jasmine or the plumbers to complete the work. The claim for the window screens was subsumed in the consent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0" w:name="Legislation Cited_24"/>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Building Code, s. 5.6.1.1, s. 9.20.11, s. 9.20.13.3, s. 9.20.13.4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19(15)(b)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1" w:name="Counsel_42"/>
      <w:bookmarkEnd w:id="2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3"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Jasmine Construction Ltd. to February 19, 2007: W.S.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Jasmine Construction Ltd. from November 26, 2007: G.N. Harney.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Diana and Chris Adam: E.C. Drown.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for Crescent Moon Forge and Iron Works Ltd.: G. Clossen.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Acting on their own behalf: G. Holland and G. Miller.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2" w:name="Judgment_42"/>
      <w:bookmarkEnd w:id="292"/>
      <w:r>
        <w:pict>
          <v:line id="_x0000_s1224"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3" w:name="D.M. MASUHARA J._1"/>
            <w:bookmarkEnd w:id="293"/>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relates to claims arising from the construction of the defendants', Mr. and Mrs. Adam, custom-designed home located in Victoria, B.C. (the "House"). Their experience includes the demise of the relationship with their contractor/consultant; the loss of a best friend over the project; the separation of the Adams for a period of time; a host of claims against them from suppliers of services and products; and a home that has had significant water ingress along with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Adam is a registered owner of the property upon which the House exists but Mr. Adam was the primary decision maker regarding the construction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Jagit Dhanowa is also a registered owner of the property but was uninvolved in the construction of the House. He sold the property to the Adams. He also introduced the Adams to his brother Mr. Harminder Dhanowa, the principal of the plaintiff company, Jasmine Construction Ltd. ("Jasmine").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House is a three-story wood frame building that sits at the top of a hill and is south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Jasmine, at the start of the trial, sought payment from the Adams for services provided in the construction of the House in the approximate amount of $150,000. The sole shareholder of Jasmine is Mr. Harminder Dhanowa. In these reasons, I will refer to Harminder Dhanowa as "Mr. Dhanowa".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Initially, this was a consolidated action that included claims by Comino Carpets, who sought payment for the provision and installation of carpets for the House, and by Crescent Moon Forge and Iron Works Ltd., who sought payment for the manufacture and installation of a steel staircase and railing. As will be discussed, both of these actions have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Adams counterclaim against Jasmine for damages related to remediating deficiencies in the construction of the House. These deficiencies, they allege, arose as a result of Jasmine's failure to ensure materials supplied and work performed for the construction of the House met established industry standards and that the work would be performed to a good and workmanlike standard. The Adams point to Jasmine's contractual obligations to supervise the overall construction of the House as well as in its direct contract to frame the House as well as install windows and siding to the House. They also pursue their claim against Jasmine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Adams also claim against Mr. Holland and Mr. Miller, the two masons who were involved in the installation of cultured stone tiles to the exterior of the House (the "stone cladding"). The Adams allege that Mr. Holland and Mr. Miller improperly installed the stone cladding, which led to significant water ingress. Further, several of the tiles have fallen off the face of the House. They are suing them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start of the trial I was advised by counsel that the claims against Jagit Dhanowa, Antonio Tavares, and against Diana Adam and Chris Adam, as fourth parties, had all been discontinued. After the fifth day of trial, I was advised that the Adams, Jasmine and Comino Carpets Ltd. had reached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trial was then adjourned generally. All matters were settled except for issues relating to deficiencies in the design and construction of a water wall called the "weeping wall", the fireplace assembly, and water ingress. Subsequently, I was advised that certain parts of the settlement had failed and the parties wished to continue with the trial. In the consent order, the Adams acknowledged that they were indebted to Jasmine for $120,183.81 for materials, labour and payments made to subcontractors regarding the construction of the House. Their obligation to pay however, was subject to the outcome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some point, Jasmine and its counsel Mr. Johnson terminated their relationship. Mr. Harney was then retained to conduct the trial on Jasmine's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Jasmine and the Adams jointly sought leave to add to the trial the issue of whether those aspects of the settlement that had failed had been breached. After receiving joint submissions from these parties, which referenced s. 10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McKenzie v. McKenzie</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(1975), 55 D.L.R. (3d) 373</w:t>
        </w:r>
      </w:hyperlink>
      <w:r>
        <w:rPr>
          <w:rFonts w:ascii="arial" w:eastAsia="arial" w:hAnsi="arial" w:cs="arial"/>
          <w:color w:val="000000"/>
          <w:sz w:val="20"/>
          <w:lang w:val="en-US" w:eastAsia="en-US" w:bidi="ar-SA"/>
        </w:rPr>
        <w:t xml:space="preserve"> (BCSC) aff'd </w:t>
      </w:r>
      <w:hyperlink r:id="rId907" w:history="1">
        <w:r>
          <w:rPr>
            <w:rFonts w:ascii="arial" w:eastAsia="arial" w:hAnsi="arial" w:cs="arial"/>
            <w:i/>
            <w:color w:val="0077CC"/>
            <w:sz w:val="20"/>
            <w:u w:val="single"/>
            <w:shd w:val="clear" w:color="auto" w:fill="FFFFFF"/>
            <w:lang w:val="en-US" w:eastAsia="en-US" w:bidi="ar-SA"/>
          </w:rPr>
          <w:t>(1976), 69 D.L.R. (3d) 765</w:t>
        </w:r>
      </w:hyperlink>
      <w:r>
        <w:rPr>
          <w:rFonts w:ascii="arial" w:eastAsia="arial" w:hAnsi="arial" w:cs="arial"/>
          <w:color w:val="000000"/>
          <w:sz w:val="20"/>
          <w:lang w:val="en-US" w:eastAsia="en-US" w:bidi="ar-SA"/>
        </w:rPr>
        <w:t xml:space="preserve"> (BCCA), I agreed to have the issue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Midway through this second stage of trial, I was advised that as a result of Mr. Adam finally agreeing to permit Mr. Dhanowa into the House, Mr. Dhanowa was able to turn the fireplace on without any difficulty. As a result, the deficiency related to the fireplace was dropped by the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resumption of the trial, counsel for the principal parties advised that the key remaining issues for determination related to the following:</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landing at the top of the large staircase had been properly constructed.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weeping wall had been properly designed and constructed.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water ingress at the front of the House from the middle windows and from the deck off the master bedroom was as a result of improper work by Jasmine and/or Mr. Holland and Mr. Miller.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screens for the windows were properly fit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beginning of the last day of evidence, I was advised that the parties had resolved their dispute with respect to the staircase landing, the decking, and certain other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start of final submissions by the two principal parties, I was advised by their counsel that the dispute with respect to the window screens was not being pursued in this case. However, during the course of further submissions, I was informed that the Adams were maintaining their claim related to the screens.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Therefore, I am left to determine the last three of the four issues (except the ingress from the deck) that I specified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witnesses at the trial were: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Adam, signatory to the Consulting Agreement with Jasmine and principal behind the design of the House as well as an owner.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Adam, registered owner of the property on which the House is built, and signatory to the Consulting Agreement with Jasmine.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Dhanowa, a building contractor and the principal of Jasmine.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Holland, a mason of over 30 years, who supervised the installation of cultured stone to a portion of the exterior of the House.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Clossen, the owner of Crescent Moon Forge and Ironworks Ltd. His company designed, produced and installed the spiral stair rail, guard rails and other miscellaneous iron work for the House.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McDonald, the owner of MAC Renovations. This company does residential renovations in the Victoria area. He provided quotes for work to remediate the problems identified in the Levelton reports.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Jones, an electrical contractor and owner of Jones Electrical Service. Mr. Jones testified to his attempts to install and operate the weeping wall system.</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Ribeiro, a professional engineer with the firm of Levelton Consultants Ltd., who prepared a report regarding water ingress at the House.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Beaveridge, a structural engineer who prepared a report on the structural issues related to the stairway.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Youell, a plumber of twenty-five years, who had been engaged by Jasmine to install the plumbing for the House. He was also involved in installing the plumbing for the weeping wall.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Pennock, an electrician of twenty-five years who installed the electrical system for the House. He provided a quote to Mr. Dhanowa and was paid in cash by Mr. Adam.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Philipchalk, a principal of Harbour City Kitchens. This company does millwork and provided the kitchen cabinetry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Miller did not appear as a witness. His only presence during the trial was on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and Mrs. Adam purchased vacant land in late 2003 with the intention of building a house on it. Mrs. Adam was registered on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Adam is a businessman who has run various businesses in Manitoba, Las Vegas, and Vancouver. Several of the businesses involved coin-operated machines. It is his vision that is embodied in the House design. He had never constructed a house and has limited knowledge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Adam has experience in retail sales. She had no involvement in the actual construction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Dhanowa has been a builder of custom homes since 1978. He incorporated Jasmine in 1985. He estimated having built 5 to 12 homes annually since 1985, and stated that Jasmine is one of the biggest R2000 builders in the region. He is a trained electrician and welder. He is registered with the New Home Warranty Program. Mr. Dhanowa has taken courses in home building every year from 1985 until 1998. He has also taken courses in water ingress and building envelopes.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Holland and Mr. Miller are masons who have each worked in the industry for some 30 or more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Adams were introduced to Mr. Dhanowa, at a social gathering hosted by Mr. Jagit Dhanowa, who was Mr. Adam's best friend and Mr. Dhanowa's brother. There, they had a brief and general discussion of what would be entailed in building a home that the couple were contemplating. Over the course of several social encounters the discussions between Mr. Dhanowa and the Adams progressed from the general to the specific regarding the House. This occurred as the Adams obtained more specific plans from their architect, Mr. Ron McNeil, who had been recommended to the Adams by Mr. Dhanowa.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Dhanowa explained to them that he offered two types of contracts for his services. The first was called a turnkey contract where he would undertake all of the steps in building the entire house for a set price, which would typically include the costs for labour and materials. In essence, the Adams could expect all matters to be attended to by Mr. Dhanowa and simply have the keys to their home handed to them upon completion. The second was a consulting agreement where the homeowner is the builder. Under this arrangement, the owner is responsible for the construction. Mr. Dhanowa would act as project manager, provide advice to the Adams on the project and would attend to obtaining trades and materials for the project. This would entail obtaining bids or quotes from two or more suppliers for the homeowner/builder. He would also attend to scheduling and coordinating the project, inspect the materials and work, and call for inspections as required. Under this type of contract the project manager would be paid a set fee for his services and would not be responsible for the cost of materials or trades. These costs would be the responsibility of the owner/builder. The Adams chose the latter type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Dhanowa provided the Adams with his form of contract. On December 10, 2003, Mr. and Mrs. Adam entered into a Consulting Agreement with Jasmine wherein Jasmine would supervise and provide services for the construction of the House. Jasmine's fee for its services was stated to be $16,050, inclusive of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Paragraph 3 of the Consulting Agreement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Builder agrees to ensure that all contractors, trade contractors and others involved in the construction of the new home on the Lands provide a dwelling house built to the B.C. Building Code standards in effect at the date of this Agreement, and to the standards of workmanship required by established industry practice and governing Municipal by-laws and regulations, on the Lands. The Builder also agrees to ensure that all the materials supplied and the work performed for the construction are in accordance with Plans attached hereto and with Construction Specifications attached hereto, signed, and dated by the parties to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Paragraph 6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agrees that the Purchaser shall pay all expenses associated with the construction of the dwelling house on the Lands, including without limiting the generality of the foregoing, the costs of all labor and materials used in the construction of the said dwelling house, whether the costs are incurred in the name of the Purchaser or in the name of the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Paragraph 7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agrees to indemnify and save the Builder harmless of and from all claims, demands, suits and actions in respect of the non-payment of any accounts which are in the name of the Builder but which relate to the construction of the dwelling house on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Paragraph 8 stated:</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dwelling house is ready for occupancy, the Builder shall provide a notice to the Purchaser advising that on a date to be specified in the notice the dwelling house is ready for occupancy and further advising the Purchaser that an inspection shall take place on the date specified. The Purchaser shall make an inspection of the dwelling house on the date specified in the notice together with a representative of the builder at which time any omissions or defects will be noted in writing. The Builder or his representative and the Purchaser shall determine the cost of correcting all of the deficiencies and the said cost shall be held back (herein called the "Deficiency Holdback") from the final payment made to the Builder until such time as all of the deficiencies are corrected pursuant to sub-clause 8(b). In the event the Builder or his representative and the Purchaser are unable to agree on the said cost of correcting all of the deficiencies, the Purchaser shall engage the services of an independent third party who shall be a qualified residential contractor and who shall be acceptable to the Builder or his representative, to provide an estimate of the cost of correcting all of the said deficiencies. Taking occupancy will be deemed to conclusively prove the dwelling house is then complete and in full compliance with this Agreement except as to matters noted at the time of inspection.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Builder will cause to be corrected, as soon as practical, and to the reasonable satisfaction of the Purchaser, all the omissions and deficiencies noted and agreed to in sub-clause 8(a). Provided that the Builder shall not be responsible to correct any deficiencies which result from work carried out directly by the Purchaser or by trades hired directly by the Purchaser (without [consultation with] and express written consent of the Builder) or by materials supplied directly by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10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Builder agrees to ensure that the dwelling house is constructed in accordance with clause 3 of this Agreement in a proper and workmanlike manner and with all due diligence and dispatch and that the said dwelling house shall be completed within 120 days from the date of commencement of construction provided that the Builder does not guarantee the completion or possession of the dwelling house to the Purchaser on this date in the event delays occur for which the Builder may not be responsible or caused by unfavorable weather, strikes, fires, shortages of material, acts of God, or any other causes beyond the control of the Builder. The Purchaser agrees that if items chosen by the purchaser such as floor coverings, tile, plumbing fixtures, bricks or countertops, are not available for installation in time of the Builder's scheduled installation date, they shall choose alternate items that are available to be installed in time, otherwise the Builder reserves the right to make such alternate selections, which selections shall be final and binding on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Paragraph 11(a)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additions, removals, corrections, variations or price changes to the plan and specifications referred to in clause 3 shall be effected only by a further agreement in writing signed by the Builder and the Purchaser and attached to this Agreement or an initialled amendment in writing to Schedule "A" by the Builder and the Purchaser and both shall be subject to acceptance by any mortgages (attach schedule). If any additions, removals, corrections, variations or price changes should result in an increase in the Management Fee, the amount of such increase shall be paid for no later than the next scheduled draw after the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 13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payment of any of the amounts herein agreed to be paid to the Builder at the times and in the manner provided are not so made, or in the event that payment of any accounts in the name of the Builder which relate to the construction of the dwelling house on the Lands are not made in accordance with the credit terms of the said accounts, or in the event that Purchaser should default in any of the other covenants or agreements herein, the Builder may at its option, and upon giving to the Purchaser fifteen (15) days written notice, cease work and treat the contract as repudiated forthwith on the occurrence of such default, and the Builder may recover payments for the work already completed proportionately to the total contract price plus damages, including loss of profit together with interest thereon at the rate of TWELVE (12.00%) percent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 18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strictly agreed between the Builder and the Purchaser that the dwelling house provided by the Builder may not be occupied by the Purchaser until all monies payable to the Builder, except any Deficiency Holdback funds pursuant to clause 8(a), have been received by the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Adam's father, who is a lawyer, reviewed the contract for Mr. and Mrs. Adam. The contract was signed by the Adams on February 27, 2004 and provided to Mr. Dhanowa.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meantime, Mr. Dhanowa had assisted the Adams in obtaining a building permit for the House. On December 17, 2003 a building permit was issued by the Municipality of Saanich. At the same time, Mrs. Adam executed an Owner/Builder Declaration and Disclosure Notice that declared that the House was not covered by home warranty insurance. Mr. Adam chose not to purchase this warranty to save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plan as drawn by Mr. McNeil included the following general specifications: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construction shall conform to the requirements of the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 1998.</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laws of the place of the building shall govern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terms of masonry, the specifications included:</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work shall be weather and water tight.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Build in all flashings, bolts, lintels, etc. required to complete masonry work or by other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construction started with excavation, and pouring of the foundation. However, this work was interrupted by a stop work order issued by the Municipality as the land developer of the subdivision had not approved the Adams' plan. The height of the House was too high. With the assistance of Mr. Dhanowa, a solution was found through a revision to the building plan, and work was 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hiring trades, Mr. Dhanowa's normal practice was to obtain two or three bids from the various trades and present them to Mr. Adam for approval; however, given the high demand for trades, he was not always able to follow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Adams hired Jasmine under a contract dated December 27, 2003 to frame the House as well as to install the windows. Jasmine also undertook the responsibility to affix the black building paper to the exterior framing and to affix the exterior Hardi-Plank siding. Jasmine attended to the installation of flashings and caulking to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Dhanowa also attended to obtaining trades to install the initial plumbing and electrical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All of the necessary inspections for plumbing, electrical and framing were conducted and eventually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March or early April 2004, when the Hardi-Plank installation was in its early stages, Mr. Adam and Mr. Dhanowa discussed the idea of installing stonework on the upper portion of the House fronting the living room. Mr. Dhanowa advised Mr. Adam that it was viable. As a result, Mr. Dhanowa instructed his siding crew not to affix Hardi-Plank over this area and left the area open for stonework.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During the last week of June 2004, Mr. Holland, who was installing masonry on several houses in the same development, met with Mr. Dhanowa. The two had worked on projects together in the past. Mr. Dhanowa told Mr. Holland that an installer was needed to apply a cultured stone facing to portions of the front of the House and introduced him to Mr. Adam. Mr. Dhanowa told Mr. Adam that Mr. Holland was a low cost installer. Mr. Holland proceeded to take measurements of the area to cost the work. He testified that he measured 400 square feet which was for the lower portion of the House. Mr. Adam testified that Mr. Dhanowa and Mr. Holland negotiated a price for the work of $17,000. Mr. Dhanowa testified that Mr. Adam negotiated with Mr. Holland directly and that he did not participate as he did not engage in "cash" deals. Mr. Holland testified that he negotiated with Mr. Adam and arrived at a price of $10,000 "cash" for labour and materials. Mr. Adam chose a product called Belleville Stack Stone from a brochure provided by Mr. Holland. Mr. Adam then immediately went to his supplier and made the order for the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Belleville Stack Stone arrived one month later. Mr. Adam rejected the stone. A new product called Croatia Stone was selected by Mr. Adam and delivered to the site. By this time a scratch coat had been applied to the front of the House where the stone was to be applied. The scratch coat had been applied by a Mr. Gee whom Mr. Holland had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Dhanowa called the Municipality of Saanich to have the scratch coat inspected. Mr. Dhanowa met with the inspector at the House at which time he was advised that an inspection was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Holland hired Mr. Miller to install the stone tiles to the front of the House. Mr. Adam contributed some labour as a "gofer" for this work to keep costs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Over the course of the construction of the House, Jasmine paid for a good number of trades for the work they provided in the construction of the House. Jasmine invoiced the Adams for the various bills that it received from trades and other suppliers for the project. These bills and additional work performed amounted to $130,538.18 plus interest as of July 30, 2004. Jasmine performed additional work and rendered accounts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77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1, 2004</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$11,323.18</w:t>
            </w:r>
          </w:p>
        </w:tc>
        <w:tc>
          <w:tcPr>
            <w:tcW w:w="512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28, 2004</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3,370.07</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673"/>
        <w:gridCol w:w="52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27, 2004</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3,376.71</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Adams' refusal to pay the account led Jasmine to file liens against the property. The total of the outstanding sums alleged to be outstanding was in the order of $150,000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Over the fall of 2004, the question of deficiencies in the construction of the House remained unresolved between the Adams and Jasmine. Mr. Dhanowa brought in one of his former employees, Mr. Metcalfe, who was a finishing carpenter, to mediate their dispute with respect to the painting of the House. Mr. Metcalfe inspected the work on September 11, 2004 and wrote a report dated September 23, 2004 regarding the painting. He concluded that the quality and workmanship did not meet acceptable industry standards for a custom home. A holdback of $5,720 was recommended. Mr. Dhanowa accepted this finding that the painting had been deficient and the painter was not paid and has not claimed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September 27, 2004, Mr. Adam wrote to Jasmine stating that Jasmine had abandoned the construction work and if he did not hear from Jasmine within 24 hours that he would consider the contract breached and he would find another contractor to finish the outstanding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September 29, 2004, Mr. Mulroney, Jasmine's then counsel, wrote to the Adams advising that Jasmine did not wish to abandon the job. He acknowledged on behalf of Jasmine that there were deficiencies and that Mr. Dhanowa was in the process of rectifying those of which he was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Adam, around this time, sought out further advice from Mr. Metcalfe regarding other deficiencies in the House. On October 30, 2004, Mr. Metcalfe attended at the House to inspect the premises. Mr. Metcalfe provided a seven-page report dated November 10, 2004 to Mr. Adam. It identified a large number of deficiencies, such as poorly installed fixtures; missing, cracked or torn components both interior and exterior; and components that required adjustment. Mr. Metcalfe recommended a further $17,000 holdback for the deficiencies identified as well as a further $10,500 for the incomplete water wall and fireplace.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Dhanowa was not consulted in the writing of the November 10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An occupancy permit for the House was issued on October 29,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December 13, 2004, Mr. Adam wrote to Mr. Mulroney advising that he was formally releasing Jasmine from the job and that he would be hiring another contractor to correct the deficiencies and deduct the cost from Jasmine's final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December 14, 2004, Jasmine wrote a detailed letter to Mr. Metcalfe setting out a response to Mr. Adam's complaints and the list of deficiencies set out in Mr. Metcalfe's report. In the letter a schedule was set out for repairing the deficiencies. However, it appears that Mr. Adam would not agree to the repairs unless certain conditions were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February 2005, Mr. Adam wrote to Mr. Mulroney and stated that he was giving Jasmine 15 days to complete all of the deficiencies that existed in the House as set out in Mr. Metcalfe's report. He again stated that failure to comply would lead to hiring others to complete the work at Jasmine's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problem of water ingress appeared subsequent to the deficiency report and occupancy by the Adams, but was not reported to Mr. Dhanowa until a few weeks prior to trial. The ingress became apparent to the Adams around May 2005. Water was found to be entering into the House from around the second level windows and from a beam over the living room which sits below an exterior deck. Furthermore, stone tiles began to fall off at various spots on the exterior of the home. Mr. Adam videotaped the water ingress as well as the locations where the stone tiles had become dislodged. The plaintiff does not dispute that water ingress has occurred or that stone tiles have become dislodged from the face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February 3, 2006, Mr. Adam asked Mr. McDonald, principal of MAC Renovations Ltd., to attend the House and provide a quotation to fix the water ingress problem. The work encompassed:</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the existing stone from the front of the House;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cleaning off the mortar from the stone tiles for reuse;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the paper, mortar, wire, and windows affected by the stone removal;</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papering the exposed sheeting;</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strapping out a drain screen with pressure treated plywood on the exposed sheeting;</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reinstalling the windows with waterproof flashing pan at the sill and up the side of window framing;</w:t>
      </w:r>
    </w:p>
    <w:p>
      <w:pPr>
        <w:numPr>
          <w:numId w:val="3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installing new flashing and trims;</w:t>
      </w:r>
    </w:p>
    <w:p>
      <w:pPr>
        <w:numPr>
          <w:numId w:val="36"/>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installing wire and mortar and install the existing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cost was set at $72,265.66. A reduction of $3,476 would be provided if new cultured stone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Ribeiro of Levelton Consultants Ltd. was retained to opine as to the likely cause of the water ingress problem and to recommend a course of action regarding remediation. He provided a report dated May 26, 2006. The contents of the report are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McDonald reviewed his quotation for remediating the water ingress problem on February 8, 2007. He again attended the House, reviewed the Levelton Report and revised his proposal to $101,581.20. The revision included the installation of a rain screen as now required by the </w:t>
      </w:r>
      <w:r>
        <w:rPr>
          <w:rFonts w:ascii="arial" w:eastAsia="arial" w:hAnsi="arial" w:cs="arial"/>
          <w:b/>
          <w:i/>
          <w:color w:val="000000"/>
          <w:sz w:val="20"/>
          <w:lang w:val="en-US" w:eastAsia="en-US" w:bidi="ar-SA"/>
        </w:rPr>
        <w:t>British Columbia Building Code, 1998,</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B.C.Reg. 295/98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 A rain screen was not required under the code as at the time of the construction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One change to the original plan for the House, which has been identified as contributing significantly to water ingress, was the installation of cultured stone tiles to the face of the House above the first level of the House. The original plan indicated unspecified masonry to be installed to portions only on the first level of the House. Most of those portions were under overhangs.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Another feature, not drawn into the original plan, was a wall in the living room called the "weeping wall". It is a wall that is to be made of tile or stone which water, transported to the top of the wall, would continuously drip. In the middle of the wall would be a gas fireplace.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Dhanowa agreed to design and install the "weeping wall" with fireplace. He investigated various designs with Mr. Adam over the internet. Mr. Dhanowa was confident that he could design the wall and hired a plumber to do the installation. The piping was partially installed as well as the reservoir to capture the water at the bottom of the wall. The gas fireplace assembly with its necessary wiring and piping had also been installed. The stone tile was supplied and installed by Mr. Holland. The water wall piping mechanism was not completed due to issues regarding the entire project and neither the plumber nor Mr. Dhanowa were permitted back to complete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Levelton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Ribeiro attended the site with a technologist from his firm. The specific areas of concern pointed out to Mr. Ribeiro included a location at the living room window where water ingress had occurred as well as the stone cladding on the wall to the right of the front entrance of the House. Exploratory openings were made above the living room and on the wall to visually determine if there had been water ingress and/or water-related damage to the sheathing membrane or framing.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Ribeiro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exposure of the stone-clad walls located at the living room and to the right of the front entrance (except that portion protected by the second-floor balcony) is considered to be severe. This is due to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 wall-height-to-overhang projection ratio;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lack of protection from surrounding structures;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wall orientation with respect to the prevailing winds.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respect to the stone clad wall to the right of the front entrance, Mr. Ribeiro reported that the stone tiles had fallen off because of a poor bond between the mortar bed and the base scratch coat. He stated further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lack of scoring of the scratch coat provide evidence that the stone was poorly bonded to the mortar and base coat. The poor adhesive bond may have been exacerbated by the ingress of water at the top of the wall as well as the stone tile joints which would have caused the mortar bed and base scratch coat to absorb excessive water, swell and contract thereby inducing stresses on the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drip flashing at the top of the wall was not installed correctly and would not have properly deflected water away from the top of the wall assembly. The flashing terminated on the inside face of the stone tile and would have directed water directly into the vertical edge joint (Photo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Contrary to common practice, there was no sheathing on the outside of the studs (Photo 8). This could have contributed to the loss of the stone tiles as the substrate under the scratch coat, mortar base, and tiles could have provided inconsistent support. This would cause differential stresses between the areas supported on the studs and those areas with no support or supported by the building paper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report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spite of the deficiencies found the wall framing was found to be in good condition and there was no evidence of any significant water ingress and/or retention in the framing. However the stone tile cladding system was failing, this wall had a high weather exposure rating, and the details did not provide adequate protection against water ingress. Therefore the prognosis for this wall is for continued water ingress, further loss of stone tiles, and eventual damages to the framing unless the cladding system is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the stone clad living room wall, the following damage or conditions were noted during the field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mortar bed and base scratch coat were found to be saturated at the interface with the building paper. The water would then saturate the paper, then the sheathing, and ultimately enter the wall cavity.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building paper was deteriorating and would no longer provide the protection normally expected. This was evidence that water had been retained within the wall assembly for extended periods of time without drying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moisture content of the sheathing was 37.3% on the front and 40% on the back. This was well above 28% or the level which typically indicates a loss of structural integrity of the sheathing and the establishment of mould colonies.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sheathing was soft and mould fungi were found both on the front and back of the sheathing. Once a mould colony is initiated it will continue to grow until the moisture content of the wood falls to 19%. It could temporarily go dormant but the growth would continue when the moisture content exceeds 19%. Samples of the mould were not taken for analysis although the owner did retain the section of sheathing with the mould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bottom of the fibreglass batt insulation and the framing were wet in one of the stud cavities. The moisture content of the framing was 34.3%. The framing was soft from the high moisture content but was not yet decayed.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mould found on the sheathing was not tested and the extent of it is not known. If remediation is to be delayed a significant length of time and if mouldy conditions are evident inside the house, it is recommended that an indoor air quality test be done. Fungal contamination in the wall assembly does not always imply airborne mould, but it would be prudent to measure the air quality in case precautionary measures are required. Specific protocols exist for the removal or treatment and that work should be carried out under the direction of a mould-remediation specialist.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evidenced by the damage to the building paper, the wall sheathing and the wet 2x6 framing, we conclude that the wall assembly in this area has suffered a systemic failure with regard to water ingress. Because of the high weather exposure rating and the inappropriate details employed, the long-term prognosis is for continued water ingress and subsequent increased damage to the wall assembly. Other exploratory openings were not cut on the front elevation however the details appeared to be similar on the other areas of the stone-clad wall, and, although water ingress to the interior has not yet been reported, similar conditions would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Ribeiro opined that the following factors separately or together allowed or contributed to the water ingress: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stone tiles were proud of the window sill frame and there was no sill flashing to deflect water over the tiles. The deflection of water is the first level of protection against water ingress. This would have been particularly important in this case with the stone tiles being proud of the window frame (forming a ledge) and with the large unsealed gap between the window frame and the stone tile.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an unsealed gap of approximately 1/2" to 3/4" between the window sill frame and the stone tiles. This is a vulnerable area as the water running down the face of the window will run into this gap and under wind pressure will be absorbed into and penetrate the water-permeable mortar and scratch coat that cover the building paper and wall sheathing.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window head flashing had a minimal downleg and provided little protection or water deflection. Wind-driven rain could easily be forced back under the flashing due to he short downleg.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end dam on the window head flashing to prevent water from running off the end into the vertical joint along the window jamb. Water on the head flashing that runs sideways due to slope or wind will enter the unsealed joint at the window jamb.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window frame was not sealed to the stone tiles along the jambs. This could have prevented some of the water from entering the wall assembly.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joints between the stone tiles were not sealed. These joints were probably left unsealed for cosmetic reasons. However under the exposure conditions of this wall this would have allowed further water ingress as each joint would have provided a small reservoir of water that, under wind pressure, could have been driven further into the wall assembly.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building paper was not applied over the window jamb flanges and water could run down the vertical jamb joint between the window and stone tile and enter behind the window frame and into the window rough opening.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building paper was tape sealed to the head flashing and was not allowing ingressed water to escape. Water could pool behind the tape and either saturate the building paper behind it or enter the wall assembly through the nail holes holding the head flashing.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two layers of building paper between the window head and the window sill above but the two layers were stopped just short of a vulnerable joint in the wall sheathing. The area above the joint was covered with a single layer of prestrip building paper. Water could have entered along this boundary where there was only one layer of protection.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Voids were found between the stone tiles and the base scratch coat and the mortar bed appeared not to have been applied consistently. This would reduce the thickness of material through which water would be absorbed or forced through under wind pressure.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Delamination between the mortar bed and the base scratch coat was evident. This along with the voids noted above raises the concern of the how well the tiles were secured. Some of the tiles in this area were easily removed. Similarly some stone tiles were poorly adhered on the wall next to the front entrance as discussed in Section 4.2.Each of the above items could have, separately or together, contributed to the water ingress and subsequent damage found in the wall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deficiencies identify work conducted by Jasmine, Mr. Holland and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 xml:space="preserve"> contained the following relevant provisions at the time of construction: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5.6.1.1 Required Protection from Precipitation (See Appendix A)</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 as provided in Sentence (2), where a </w:t>
      </w:r>
      <w:r>
        <w:rPr>
          <w:rFonts w:ascii="arial" w:eastAsia="arial" w:hAnsi="arial" w:cs="arial"/>
          <w:i/>
          <w:color w:val="000000"/>
          <w:sz w:val="20"/>
          <w:lang w:val="en-US" w:eastAsia="en-US" w:bidi="ar-SA"/>
        </w:rPr>
        <w:t>building</w:t>
      </w:r>
      <w:r>
        <w:rPr>
          <w:rFonts w:ascii="arial" w:eastAsia="arial" w:hAnsi="arial" w:cs="arial"/>
          <w:color w:val="000000"/>
          <w:sz w:val="20"/>
          <w:lang w:val="en-US" w:eastAsia="en-US" w:bidi="ar-SA"/>
        </w:rPr>
        <w:t xml:space="preserve"> component or assembly is exposed to precipitation, the component or assembly shall</w:t>
      </w:r>
    </w:p>
    <w:p>
      <w:pPr>
        <w:numPr>
          <w:numId w:val="3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minimize ingress of precipitation into the component or assembly, and</w:t>
      </w:r>
    </w:p>
    <w:p>
      <w:pPr>
        <w:numPr>
          <w:numId w:val="3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ingress of precipitation into interior space.</w:t>
      </w:r>
    </w:p>
    <w:p>
      <w:pPr>
        <w:numPr>
          <w:numId w:val="4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from ingress of precipitation is not required where it can be shown that such ingress will not adversely affect any of</w:t>
      </w:r>
    </w:p>
    <w:p>
      <w:pPr>
        <w:numPr>
          <w:numId w:val="4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health or safety of </w:t>
      </w:r>
      <w:r>
        <w:rPr>
          <w:rFonts w:ascii="arial" w:eastAsia="arial" w:hAnsi="arial" w:cs="arial"/>
          <w:i/>
          <w:color w:val="000000"/>
          <w:sz w:val="20"/>
          <w:lang w:val="en-US" w:eastAsia="en-US" w:bidi="ar-SA"/>
        </w:rPr>
        <w:t>building</w:t>
      </w:r>
      <w:r>
        <w:rPr>
          <w:rFonts w:ascii="arial" w:eastAsia="arial" w:hAnsi="arial" w:cs="arial"/>
          <w:color w:val="000000"/>
          <w:sz w:val="20"/>
          <w:lang w:val="en-US" w:eastAsia="en-US" w:bidi="ar-SA"/>
        </w:rPr>
        <w:t xml:space="preserve"> users,</w:t>
      </w:r>
    </w:p>
    <w:p>
      <w:pPr>
        <w:numPr>
          <w:numId w:val="4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intended use of the </w:t>
      </w:r>
      <w:r>
        <w:rPr>
          <w:rFonts w:ascii="arial" w:eastAsia="arial" w:hAnsi="arial" w:cs="arial"/>
          <w:i/>
          <w:color w:val="000000"/>
          <w:sz w:val="20"/>
          <w:lang w:val="en-US" w:eastAsia="en-US" w:bidi="ar-SA"/>
        </w:rPr>
        <w:t>building</w:t>
      </w:r>
      <w:r>
        <w:rPr>
          <w:rFonts w:ascii="arial" w:eastAsia="arial" w:hAnsi="arial" w:cs="arial"/>
          <w:color w:val="000000"/>
          <w:sz w:val="20"/>
          <w:lang w:val="en-US" w:eastAsia="en-US" w:bidi="ar-SA"/>
        </w:rPr>
        <w:t>, or</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operation of </w:t>
      </w:r>
      <w:r>
        <w:rPr>
          <w:rFonts w:ascii="arial" w:eastAsia="arial" w:hAnsi="arial" w:cs="arial"/>
          <w:i/>
          <w:color w:val="000000"/>
          <w:sz w:val="20"/>
          <w:lang w:val="en-US" w:eastAsia="en-US" w:bidi="ar-SA"/>
        </w:rPr>
        <w:t>building</w:t>
      </w:r>
      <w:r>
        <w:rPr>
          <w:rFonts w:ascii="arial" w:eastAsia="arial" w:hAnsi="arial" w:cs="arial"/>
          <w:color w:val="000000"/>
          <w:sz w:val="20"/>
          <w:lang w:val="en-US" w:eastAsia="en-US" w:bidi="ar-SA"/>
        </w:rPr>
        <w:t xml:space="preserve"> services.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9.20.13.3. Location of Flashing</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Flashing shall be installed in masonry and masonry veneer walls</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beneath jointed masonry window sills,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back and top of parapet walls,</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heads of glass block panels,</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beneath weep holes, and</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heads of window or door openings in exterior walls when the vertical distance between the top of a window or door frame and the bottom edge of the eave exceeds one-quarter of the horizontal eave overhang.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9.20.13.4. Extension of Flashing</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installed beneath jointed masonry windowsills or over the heads of openings, flashing shall extend from the front edge of the masonry up behind the sill or lintel.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9.20.11 Caulking at Door and Window Frames</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junction of door and window frames with masonry shall be caulked in conformance with Subsection 9.27.4.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Jasmine and Mr. 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Jasmine takes the position that it was not responsible for managing or overseeing the cultured stone installation, including waterproofing, because Mr. Adam hired Mr. Holland and Mr. Miller directly and thus is not responsible for the water ingress or the stone tile falling off the wall. Jasmine argues that under the Consulting Agreement the Adams did not expect Jasmine to manage every aspect of the House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Jasmine also says that the Adams did not consult Jasmine regarding the cultured stone cladding work, particularly the application of stone work on the second level of the House. Jasmine submits that the application of the stone cladding was performed while Jasmine was not working at the property, which occurred due to the breach by the Adams of the Consulting Agreement regarding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Alternatively, Jasmine submits that by oral statements and the parties' conduct, the Consulting Agreement was amended due to the Adams' directly contracting with Mr. Holland and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If Jasmine is liable for the water ingress damage, it submits that Mr. Holland and Mr. Miller are also liable for the damage and that the Adams were contributorily negligent.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Adams is that of Mr. Adam not heeding an alleged direction from Mr. Holland to ensure caulking and flashings were applied and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Jasmine submits that liability must be apportioned according to fault and that Jasmine is only liable for its portion of the fault, which in its view is a small percentage.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Jasmine also submits that the Adams failed in their obligation to reasonably mitigate their losses, and that the damage caused and cost to remediate the water ingress would have been nominal, or in the alternative, substantially less, had the Adams acted prudently and reasonably when their obligation to mitigate arose in the spring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terms of damages, Jasmine submits that the Adams have not adequately proven their loss; and as a result, if damages are assessed, the court should accept the estimates provided by Jasmine.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relation to the water ingress, the Adams submit that they did not participate in the installation of the cultured stone, they were never told that they would be responsible for ensuring that the caulking and flashing was properly installed, and were never warned that the stone cladding was inadequate protection due to the home's weather exposure. The Adams argue that Jasmine, Mr. Holland, and Mr. Miller are jointly and severally liable with respect to the water ingress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Adams further submit that they have had two people examine the weeping wall and that neither has been able to make it function properly. They submit that the $10,500 holdback suggested by Mr. Metcalfe is appropriate to have the wall reconstructed so that it functions as it is intended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Jasmine submits that it is not responsible for completing the weeping wall, as the Adams repudiated the contract, or the amended contract, for non-payment and that the Adams have never been charged or paid for the costs to complete the weeping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to damages, the Adams argue that, as their estimates are provided by non-parties, they are, as such, preferable to those submitted and prepared by Jasmine. Further, they argue that the plaintiff's argument regarding an alleged failure to mitigate may not be brought as it was not specifically pled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defence of Mr. Holland is that it was not within the scope of his responsibility to attend to waterproofing the work performed. Moreover, he submits that the work above the first level of the House had nothing to do with him. Rather, he submits that the work was requested by Mr. Adam in a separate arrangement that he had with Mr. Miller. He also submits that he advised Mr. Adam on several occasions to put up flashing above the windows and to caulk around the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Holland takes the position that, as was his usual practice, he explicitly told the Adams that he was not responsible for caulking the stone or installing the flashing at the appropriate places. He states that he reminded Mr. Adam of that fact on several occasions and is not liable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Miller did not appear during this trial except for the first day. He adduced no evidence in respect of the case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issues to be addressed here are:</w:t>
      </w:r>
      <w:r>
        <w:rPr>
          <w:rFonts w:ascii="arial" w:eastAsia="arial" w:hAnsi="arial" w:cs="arial"/>
          <w:sz w:val="20"/>
          <w:lang w:val="en-US" w:eastAsia="en-US" w:bidi="ar-SA"/>
        </w:rPr>
        <w:cr/>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liable for the issue of the water ingress?</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 Jasmine raise the argument that the defendants failed to mitigate the damage caused by the water ingress?</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are reasonable in the circumstance?</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weeping wall designed and installed correctly? If so, what is the proper course for remediation?</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treatment of the claim with respect to the window screens?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will turn to each of these issues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Who is liable for the issue of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most serious of the issues is the water ingress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video taken by Mr. Adam showed significant water leakage into the House. He testified that the leakage was a continuing problem when it rained. The videotape taken by Mr. Adam on different days clearly demonstrates a significant water leakage problem. Mr. Dhanowa agreed that this was so after seeing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accept the finding of Mr. Riberio that "the wall assembly in this area (the area above the living room window) has suffered a systematic failure with regard to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the water ingress is as a result of:</w:t>
      </w:r>
      <w:r>
        <w:rPr>
          <w:rFonts w:ascii="arial" w:eastAsia="arial" w:hAnsi="arial" w:cs="arial"/>
          <w:sz w:val="20"/>
          <w:lang w:val="en-US" w:eastAsia="en-US" w:bidi="ar-SA"/>
        </w:rPr>
        <w:cr/>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sealing between the stone tiles and the window frame;</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sealing between the stone tiles;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a sill flashing to address extension of stone tiles beyond the windowsill;</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flashing cover over the window frames;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construction paper over the window jamb flanges;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taping of the construction paper to the head flashing;</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improper layering of construction paper relative to window head and the sill;</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voids between the stone tiles and the scratch coat; and</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consistent application of the mortar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From the above, I find that Jasmine, Mr. Holland and Mr. Miller failed in their responsibilities to the Adams. Their failures combined to create the water ingress problems experienced and they are liable jointly and severally for the damage caused by the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Jasmine is liable based on the contractual obligations under its agreements with the Adams, as well as in tort, as it:</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in performing its supervisory duties in ensuring the work performed on the House ensured adequate protection against water ingress;</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that proper flashings and caulking were applied;</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the construction paper was adequately applied;</w:t>
      </w:r>
    </w:p>
    <w:p>
      <w:pPr>
        <w:numPr>
          <w:numId w:val="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provide adequate advice to the Adams regarding the water ingress considerations in deciding to apply stone tiles on the upper portions of the House;</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advise the Adams to have the application of stone to the upper portions of the House, which was not in the plans, reviewed by the architect;</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that the scratch coat was scored to ensure adequate bonding between the stone tiles and the mortar;</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install sheathing at the end of the wall to the right of the entrance;</w:t>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install properly the flashing atop of the wall to the right of the entrance;</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properly install the construction paper around the windows by not overlapping entirely the paper as wells by taping the bottom of the improperly applied construction paper, which prevented any water in that found its way behind the paper to drain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Dhanowa argues that he did not hire Mr. Holland and thus is not responsible for correcting any deficiencies as per the Consulting Agreement. This position is predicated on the basis that Mr. Adam hired Mr. Holland directly. I do not accept this. Rather, I accept the evidence of Mr. Adam that Mr. Dhanowa selected Mr. Holland to undertake the stone tile application. Mr. Adam had no experience with masons. He did not know Mr. Holland. Up to this point, Mr. Dhanowa was still involved actively in the construction of the House. While the payment arrangement was not directly through Jasmine, Mr. Dhanowa identified Mr. Holland and introduced him to Mr. Adam as the person who would install the stone work. There was no effort to seek other quotations for the stone work. Further, Mr. Dhanowa's own actions belie this position. Mr. Dhanowa was still attending at the site during the course of the stonework; he took it upon himself to call for a municipal inspection of the scratch coat; he met with the inspector at the House to go over the inspection (but apparently was told that an inspection was not necessary); and he was sufficiently attentive to the work that he climbed a ladder to install a flashing over a window on the second level (the area from where the water ingress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Dhanowa's above actions, and the fact that his crews installed the construction paper to the House, caulked the windows in all other areas of the House, and installed flashing over all other windows lends credence to Mr. Holland's evidence that caulking and flashing is done before masonry work starts and is the responsibility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Under the Consulting Agreement, Mr. Dhanowa was responsible for ensuring that no gaps in responsibility arose between the various trades and that the work was carried out to proper standards. While the Consulting Agreement states that Jasmine will not be responsible for work "carried out directly by the [Adams] or by trades hired directly by the [Adams] (without consultation with and express written consent of [Jasmine])", the aforementioned actions of Mr. Dhanowa all serve to establish that Mr. Dhanowa considered Jasmine responsible for the overall supervision of the project, including the installation of the cultured stone to the House. Mr. Dhanowa's testimony that once he detected a "cash" payment arrangement was negotiated between Mr. Adam and Mr. Holland he no longer considered Jasmine responsible for this work under the Consulting Agreement is not persuasive. I find that it is inconsistent with his involvement with the masonry work as well with the whole project which included his own participation in asking Mr. Adam to make payments on his behalf to Wells Fargo directly in satisfaction of monies due to him from the Adams. Further, the evidence of Mr. Clossen and Mr. Philipchalk, regarding their dealings with Jasmine, erodes Mr. Dhanowa's denial of a direct contract with Mr. 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To the extent a written consent was required, Mr. Dhanowa's actions clearly establish that this requirement was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It is significant as well that Mr. Dhanowa was consulted by Mr. Adam regarding the installation of cultured stone around the front upper windows. Mr. Dhanowa did not advise Mr. Adam to seek further advice from the architect or other building envelope specialist regarding the deviation from the building plan, notwithstanding the height and exposure of the House to rain and wind. Mr. Dhanowa thought the application was workable and left the area uncovered in anticipation of the stone tile application. Given Mr. Dhanowa's professed extensive background in construction, including building envelopes, his failure to provide advice to Mr. Adam on the care needed in installing stone was a failure of his advisory service under the Consulting Agreement, in addition to his contractual obligation to supervise the stone work and to ensure the work was done to the standards of workmanship required by established industry practice and the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 xml:space="preserve"> in effect at the time, including the proper installation of proper flashings.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Jasmine's liability arises as well under the separate framing and window installation contracts. These contracts required Jasmine to apply the construction paper to the exterior framing of the House as well as to apply flashing and caulking around the windows. The application of the construction paper was found to have been inadequately applied around the windows; as well, the caulking around the windows was found to be non-existent. Further, no sill flashings were installed, and no sealant was placed between the stone tile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regard to Jasmine's submission that the Adams' failure to pay under the terms of the Agreements released Jasmine from liability, the matter was not pursued in submissions to any length. I find the evidence does not support this proposition and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Holland owed a duty to the Adams to install the stone tile in a good and workmanlike manner. This required him to ensure that waterproofing measures had been taken prior and during the application of the stone. In this case, he departed from this by:</w:t>
      </w:r>
      <w:r>
        <w:rPr>
          <w:rFonts w:ascii="arial" w:eastAsia="arial" w:hAnsi="arial" w:cs="arial"/>
          <w:sz w:val="20"/>
          <w:lang w:val="en-US" w:eastAsia="en-US" w:bidi="ar-SA"/>
        </w:rPr>
        <w:cr/>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inform himself as to the requirements of the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read the written materials for the application of culture stone tiles. Mr. Holland acknowledged that he did not have much experience with this relatively new product;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inspect the scratch coat to ensure that it was properly scored;</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inspect the preparation of the mortar;</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flashings were properly installed above the windows and the exposed wall prior to commencing work;</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sill flashings had been installed or beveling the stone tile beneath the windows;</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sealants were applied to the stone tile joints;</w:t>
      </w:r>
    </w:p>
    <w:p>
      <w:pPr>
        <w:numPr>
          <w:numId w:val="7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construction paper had been properly applied around the window frames prior to commencing work;</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sheathing had been installed at the end of the wall to the right of the main entrance prior to commencing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Holland's testimony overall was suspect. Mr. Holland prefaced his answers on numerous occasions with equivocations as to the strength of his recall. His memory was poor and his evidence seemed to evolve to fit his interests. I have set out below some of the weaknesses I found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stated that he kept all of his documents and receipts that supported his contentions but provided little to support this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stated that he believed that he had been responsible for attending to the application of construction paper to the House. However, it was clear that this had been attended to by Jasmine.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stated that he believed that he had attended to calling for an inspection of the scratch coat, when again it had been Mr. Dhanowa who had made the inquiry for an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stated several times that he was initially paid $5,000 in Canadian funds by Mr. Adam. But then, at a later point, he stated that he was paid initially $2,000 in U.S. funds by Mr. Adam and then some other installments that added up to $3,000 in Canadian funds. He produced no records to support his evidence. At one point he provided an unconvincing detail of having sent these funds to a fiancé who resided in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initially stated that the stone tiles that he had delivered to the House for the weeping wall had been given to him; however, he later stated that he had purchased the stone tiles. He stated that this was due to reviewing further documents that he had at home. However, he did not bring the documents to court though a proper demand under the Rules had been made of him by counsel for the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stated that he had worked with cultured stone some three to four years prior to doing the work at the House. However, upon closer questioning he agreed that he had only worked with cultured stone for only a year previous.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stated in his discovery that he followed the instructions for applying cultured stone contained in a brochure and that he would provide it at trial, but then testified that he only followed a brochure that was "in his head". Mr. Holland never provided the requested brochure.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testified that one could get brochures for cultured stone from his supplier, Slegg Lumber, and that they were all the same in terms of instructions. However, when taken to a brochure obtained by Ms. Drown which showed windowsill pieces that are to prevent water ingress, and stated the importance of protecting the stone application from water penetration, including the use of flashing and caulk, and ensuring no opening in the mortar where water may enter, Mr. Holland switched from reliance upon the instructions in brochures to stating he went by what the architects and engineers stipulated. However, he produced nothing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stated that he recommended sealing in any areas where water can penetrate but did not advise anyone involved in the construction of the House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also testified that it was only after the work to apply stone tiles to the lower portion of the House had commenced that he was told by Mr. Miller that Mr. Adam wanted the stone tile to be extended to the upper level and that he gave the excess stone that he had to Mr. Miller without charge to do the upper portion under a separate contract between Mr. Miller and Mr. Adam. In support of this he adduced a receipt for the purchase of stone for the lower level. However, the receipt showed he had only bought 400 square feet. Under cross-examination he agreed that the area of the lower level of the House was in the order of 465 square feet. This undermines Mr. Holland's testimony of having provided the excess stone to Mr. Miller to do the upper level with this one purchase. I infer Mr. Holland more likely purchased additional stone tiles for the upper level of the House and did not produce the related receipts. Given the general lack of reliability in Mr. Holland's evidence, I am unable to accept his evidence that Mr. Adam contracted separately with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regard to the application of a scratch coat, there was no evidence that anyone other than Victor Gee was hired to apply the scratch coat for all of the masonry work. I find more likely than not that the scratch coat was applied to all surfaces requiring stone tiles at the front of the House at the time the initial scratch coat ordered by Mr. 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that Mr. Holland did not read or follow the advice in the "brochures" that he stated were all of the same. They indicated the appropriate manner for installing cultured stone tiles. Mr. Holland did not read the materials. He also did not read the building plans. Further, he was not cognizant of the building codes applicable to masonry work and which were referred to in the plans. Mr. Holland testified that he did not inspect the scratch coat or the stone application but noted that they looked fine to him. Mr. Holland understood that water penetration is an important matter in construction and testified that he would specifically exclude from his contracts responsibility for "waterproofing", installing flashings and applying caulking. He further testified that if the flashing is not installed, he asks for it to be put on before he starts his work. However, he adduced no evidence to support his contention. On such an important feature as indicated from his testimony, one would think that he would have some documentation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Given all of the circumstances, I find that Mr. Holland accepted the assignment to install stone cladding to all areas of the House and not just the lower level. Equally, I find that Mr. Holland knew that flashing over the windows and caulking around the windows was required prior to starting the installation of stone cladding and that he did not adequately inspect to ensure that such work had been done or done properly. I find that his inspection of the work was cursory. His testimony indicated that he did not spend much time at the site and that he simply relied upon his workers to do things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Holland's liability is also found in his failure to inspect to ensure that the stone tiles were sealed, caulked around the windows, and there was proper adhesion of the stone to the scratch coat, including scoring of its surface. His knowledge of this requirement was confirmed by his assertion that he told Mr. Adam to ensure the flashing was installed and caulking around the windows. While I do not accept that Mr. Holland told Mr. Adam this, the comment reveals his knowledge that caulking and flashing were an important feature to ensuring the integrity of a building envelope. His view that he had his workers attend to applying the construction paper to the front of the House though incorrect is also an indicator of his knowledge of the need to ensure adequate measures for protecting against moisture on jobs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Stone Clad Wall to the Right of the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with the living room wall, the "good and workmanlike" standard of care applies to the work done on the wall to the right of the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Ribeiro opines that there are several factors that may have contributed to the stone tiles falling off: a lack of scoring of the scratch coat, a poorly installed drip flashing, and a lack of sheathing on the outside of the studs.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offered the prognosis that there would be "continued water ingress, further loss of tiles, and eventual damage to the framing unless the cladding system is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Jasmine was responsible for installing the flashing and the sheathing. Mr. Holland was responsible for ensuring the conditions were appropriate for adhesion. The damages sustained arise from the concurrent actions of Jasmine and Mr. Holland. Accordingly, they are jointly and severally liable for the failure of the stone tile adhesion on this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argues that the Adams were contributorily negligent and are liable for the damage to the House. This assertion rests largely on the evidence of Mr. Dhanowa and Mr. Holland that they told Mr. Adam that he needed to ensure that the caulking and flashing were properly taken care of. Mr. Adam denies these claims. I prefer the evidence of Mr. Adam. Mr. Adam has little to no experience in construction. The allegation that Mr. Holland and Mr. Dhanowa told Mr. Adam these things, when it is basic to their responsibilities is without merit. Their evidence is simply, in my view, an after the fact excuse and I do not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Can Jasmine raise the argument that the defendants failed to mitigate the damage caused by the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defendants claim that the failure to mitigate was not specifically pled by the plaintiff in their statement of defence to counterclaim. For the proposition that such a pleading is required, the defendants rely on </w:t>
      </w:r>
      <w:r>
        <w:rPr>
          <w:rFonts w:ascii="arial" w:eastAsia="arial" w:hAnsi="arial" w:cs="arial"/>
          <w:b/>
          <w:i/>
          <w:color w:val="000000"/>
          <w:sz w:val="20"/>
          <w:lang w:val="en-US" w:eastAsia="en-US" w:bidi="ar-SA"/>
        </w:rPr>
        <w:t>Petersen v. Bannon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(1993), 84 B.C.L.R. (2d) 350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Rule 19(15)(b) of the Rules of Court states that:</w:t>
      </w:r>
      <w:r>
        <w:rPr>
          <w:rFonts w:ascii="arial" w:eastAsia="arial" w:hAnsi="arial" w:cs="arial"/>
          <w:sz w:val="20"/>
          <w:lang w:val="en-US" w:eastAsia="en-US" w:bidi="ar-SA"/>
        </w:rPr>
        <w:cr/>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pleading subsequent to a statement of claim a party shall plead specifically any matter of fact or point of law that</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specifically pleaded, might take the other party by surprise, 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their statement of defence to counterclaim, the plaintiff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the whole of the Counterclaim, if Adam suffered any damages or loss or expenses, as alleged or at all, which is denied, the damages, losses and expenses were the result of the actions of Adam and not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Similar language can be found in Mr. Holland's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topic was raised in the cross-examination of Mr. Adam and I am not persuaded that the topic came as a surprise to the Adams. In the circumstances, I do not find the pleadings insufficient. It is plain and obvious that the longer the period of water ingress of the type the Adams observed that there was risk of greater damage. Common sense would dictate the need to take some action to prevent further water ingress was required upon noticing the leakage. It is clear that additional damage to wood and other materials as well as mould issues would be mitigated by prior action. Mr. Adam's evidence regarding his difficulty in finding someone to assist him in remedying the problem because he was involved in litigation was not convincing. A reasonable step (which would not be costly) would have been the simple act of attaching or placing a waterproof tarp over the exterior area suspected as the source of the water ingress. I also note that the evidence of Mr. Adam was that finances were not an issue for him. In my view, a reflection of the Adams' failure to take any basic prophylactic measures upon noting the leakage is warranted in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What damages, if any, are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Adam argues that the cost of remediating the water ingress problem is in the order of $127,000.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bases this amount on the reports provided by Mr. McDonald of MAC Renovations Ltd. and Levelton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the first MAC report, dated February 3, 2006, the cost to repair the exterior facing of the House was set at $72,265.66 (including G.S.T.). Mr. McDonald was asked to revise his report to reflect changes to the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 xml:space="preserve"> related to the requirement for the installation of a rain screen that came into effect December 15, 2006. In his revised report dated February 8, 2007, the project cost was revised to $101,581.20.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Levelton Consultants in a proposal dated February 7, 2007, set out it services and fees for overseeing a "full rehabilitation" of the House as described in its report of May 26, 2006. The proposal included: a review of original design documentation, preparation of construction documents, implementation of the project which included the tendering of the design package to invited bidders, and field review and construction contract administration. The fees were stated to be $25,500.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Dhanowa disputes the costs as advanced by the Adams as being far too high for the work that is required particularly given the small area involved in the second level of the House around the windows. He argues further that the costs submitted by Mr. Adam include various things that are not related to the water ingress issue around the living room window. He argues that this can be done at little cost. He testified to an incremental approach to the remediation, which involves the removal of surfaces in stages to determine at each stage the extent of damage failure and the required remediation. This approach was consistent with the approach described by Mr. Riberio. In terms of the involvement of a building envelope engineer in the remediation and inspection process, Mr. Dhanowa agreed that this was required, though he did not agree with the cost. His position is that the entire remediation would be in the range of $2,000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level of damages is to be assessed relative to the standard applicable at the time of the contract. The installation of a rain screen was not a requirement at the time. This feature is the primary reason for the significant increase in the estimate from MAC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I find the evidence of Jasmine on this topic not persuasive as to its view of the cost of remediating the problems, I am also not persuaded that the amount argued by the Adams is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proposal by Levelton for the remediation is overly conservative and comprehensive relative to the remediation. As an example, the first step outlined in the proposal of Mr. Riberio to review existing plans and prepare construction plans, exceeds 100 hours. The evidence related to remediation indicates that there is a clear view as to what actions are required for the subject type of damage. In my view the considerable hours to set out a plan, conduct a full tendering process including field visits with bidders pre and post bid, implement a full scale administration of a construction plan and field reviews are out of proportion to the type of remediation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Taking into consideration the work proposed by MAC Renovations is too extensive in that there are areas undercover that do not require entire stone tile removal as well there was no requirement for a rain screen when the House was originally constructed; that the remediation costs submitted by the Adams and that the amount is significantly different than that set out by Jasmine; the original installation cost for the stone cladding was in the order of $17,000, and that the Levelton proposal appears overly comprehensive and conservative relative to the remediation required, I assess damages at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Taking into consideration the absence of reasonable steps by the Adams to mitigate, my net assessment of damages is set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terms of apportionment between Jasmine and Mr. Holland, causation of water ingress and poor stone tile adhesion was concurrent. Taking into account that Jasmine had the overall responsibility over the construction and to ensure that construction was conducted according to the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 xml:space="preserve"> and had the responsibility of overseeing the work of Mr. Holland, as well as responsible for installing the construction paper, the flashings, caulking, as well, as the sheathing, Jasmine should bear the greater apportionment. I determine apportionment as between Jasmine and Mr. Holland at 70% and 30%,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Was the weeping wall designed and installed correctly? If so, what is the proper course for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weeping wall is a cultured stone wall that extends from the floor to the ceiling, some 18 feet above. Conceptually, it is to have water gently trickling down its face into a collection tank at the bottom, from which the water is pumped back up to the top of the wall. Mr. Adam saw a large scale version in Las Vegas. No design was obtained by Mr. Adam. Rather, he asked Mr. Dhanowa if he could construct a similar installation for the House. Mr. Dhanowa said he could. He did not put in writing a design for the system. He hired Mr. Youell, who had done the other plumbing in the House, to install the weeping wall assembly. Mr. Youell purchased material and was preparing to install the system. Mr. Dhanowa was not able to supervise the installation and construction of the weeping wall as Mr. Adam would not permit him into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Adam in cross-examination agreed that he was satisfied with the aesthetic appearance of the wall and that it was only the deficiency of the water not properly descending down the wall as he envisioned that remained to be 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stated above the weeping wall was not completed. Mr. Adam sought out two trades people to look at the system as it was left. One looked at the system, concluded by observation that the system could not work but did not attempt to assemble it. The other person was Mr. Jones. He assembled the system with the materials he found left behind for this aspect of the House. He testified that after assembling it he turned the system on but quickly stopped it as the water that was coming out was reflected off the stone and spraying onto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Jones also attempted to design a system independently but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no time was Mr. Dhanowa consulted about his design for the water wall or about Mr. Youell, who actually started the installation. Mr. Youell had installed "basically" similar systems in the past. In addition, neither of the individuals hired by Mr. Adam attempted to use small shower heads as called for by Mr. Dhanowa. This intention was supported by the evidence of Mr. Youell.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is also important to note that Mr. Youell attempted to return to the premises to finish the weeping wall but was denied entry by Mr. Adam. He testified that, given the opportunity, he could make the weeping wall function as it was intended. He provided a reasonably clear approach, which included some adjustments to the general concept he was employing, that the others hired by Mr. Adam did not incorporate in their approaches.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Adam argues that the entire wall system must come down and a new system will have to be installed. He argues that the holdback amount of $10,500 plus G.S.T., recommended by Mr. Metcalfe, is the appropriate quantum of damages for the design and construction of a new wall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Dhanowa testified that the system he designed was workable and that some adjustments were assumed to be required. Jasmine also argues that Mr. Dhanowa has not been given the opportunity to complete the work but that it could be completed for $233.20.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view, I find that the suggestion that the entire wall must come down is not proven and I am not satisfied by the evidence that the system as envisioned by Mr. Dhanowa will not accomplish the original concept. Mr. Jones assembled the system as he thought it was to be assembled. However, he did not know whether the pieces he was working with were complete or finished. Though he was not successful in getting the system to work properly, he did not apply a spray head to the system or use flow controls. He only received information from Mr. Adam on how he thought the system was to work. However, Mr. Adam has little technical knowledge in this area and he relied upon the experience and knowledge of Mr. Dhanowa in the design and installation of the weeping wall system. Mr. Jones was a defensive witness. He did not see a regulator on the pump. He did not attempt to use the flow controls with the copper pipe and did not try a spray head or a showerhead. He did not put additional holes in the pipe for the water to run through. I am not satisfied that he did enough to determine if the system as conceived by Mr. Dhanowa was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amount of $10,500, is simply a holdback amount suggested in a letter to Mr. Adam by Mr. Metcalfe. However, Mr. Metcalfe's letter only observes that the water wall and fireplace are not operating and does not state that the wall system will not work. As noted earlier, the fireplace was easily started by Mr. Dhanowa once he was permitted into the House which highlights the lack of relationship between the holdback and the actual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With the available evidence, my view is that the Adams should be able to complete the work based on the testimony at trial by Mr. Youell and Mr. Dhanowa as to how the water delivery system is to operate. I am not satisfied that the system that was to have been installed by Mr. Dhanowa was inadequate. In any event, Mr. Adam did not pay Mr. Dhanowa for this additional work or the plumbers. He did not permit Mr. Dhanowa or the plumbers to complete the work. The wall itself in my view is adequate and it is simply the water delivery system that requires adjustment. Accordingly, this claim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What is the proper treatment of the claim with respect to the window screens?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Adam says that the window screens are one-quarter inch too small and do not adequately cover the windows and as a result, insects gain entry into the House. Mr. Adam has attempted to have this corrected through the window supplier, however, no satisfactory resolution has been found. Mr. Adam obtained an estimate of $500 for new screens.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Jasmine argues that all matters have been settled pursuant to the consent order entered December 5, 2007, except for "all issues relating to the weeping wall', fireplace assembly and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consent order is definitive. This claim against Jasmine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summary, I find the Adams are entitled to damages in the amount of $50,000. Jasmine and Mr. Holland are jointly and severally liable for this amount. As between the two, fault is apportioned 70% and 30%, respectively. The Adams' claims regarding the "weeping wall" and the window screens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Knott (Litigation guardian of) v. British Columbia, [2013] B.C.J. No. 595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 2012; January 14 and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S062607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595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529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Knott by his Litigation Guardian, the Public Guardian and Trustee of British Columbia and Gerald Spidel by his Litigation Guardian, the Public Guardian and Trustee of British Columbia,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4" w:name="Keywords_37"/>
      <w:bookmarkEnd w:id="294"/>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the defendant British Columbia for an order striking out the plaintiffs' claim allowed — The plaintiffs suffered from serious disabilities and required residential care services — Their claim alleged that the defendant was negligent and breached its duty of care by failing to provide the plaintiffs with adequate supervision and residential placement — The harm alleged could not be attributed to the defendant — The pleadings did not disclose a duty of care on the part of the defendant — The cause of action was bound to fail — Supreme Court Civil Rules, Rule 9-5(1)(a).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Application by the defendant British Columbia for an order striking out the plaintiffs' claim allowed — The plaintiffs suffered from serious disabilities and required residential care services — Their claim alleged that the defendant was negligent and breached its duty of care by failing to provide the plaintiffs with adequate supervision and residential placement — The harm alleged could not be attributed to the defendant — The pleadings did not disclose a duty of care on the part of the defendant — The cause of action was bound to fail — Supreme Court Civil Rules, Rule 9-5(1)(a).</w:t>
      </w:r>
    </w:p>
    <w:p>
      <w:pPr>
        <w:jc w:val="both"/>
        <w:rPr>
          <w:rFonts w:ascii="arial" w:eastAsia="arial" w:hAnsi="arial" w:cs="arial"/>
          <w:sz w:val="20"/>
          <w:lang w:val="en-US" w:eastAsia="en-US" w:bidi="ar-SA"/>
        </w:rPr>
      </w:pPr>
      <w:bookmarkStart w:id="295" w:name="Legislation Cited_25"/>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6" w:name="Counsel_43"/>
      <w:bookmarkEnd w:id="2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 Sheina.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 Northern Health Authority: M.M. Skorah, Q.C., M. Willcock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43"/>
      <w:bookmarkEnd w:id="297"/>
      <w:r>
        <w:pict>
          <v:line id="_x0000_s1229" style="position:absolute;z-index:251851776"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Ruling on Application to Strike</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has applied under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for an order striking out the amended notice of civil claim (the "Claim"), filed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proceedings were commenced in April 2006 by the Public Guardian and Trustee, as litigation guardian on behalf of the plaintiffs, and have been moving slowly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made a demand for particulars in 2009, and in April 2010 a response was filed. An application to strike was filed in February 2011, and the plaintiffs filed amended pleadings in June 2011. The action entered case management and came before me in October 2011. Further amendments to the pleadings were made by the plaintiffs in December 2011, and another application to strike was filed in April 2012. "Final" pleadings were filed on September 30, 2012; however, further amendments were permitted in January 2013, without prejudice to the defendant to proceed with its application to strike. It seems that the plaintiffs have been attempting to ward off this application by a series of amendments to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facts are not in dispute. The plaintiffs both suffer from serious physical and intellectual disabilities requiring extended care services or what are now called "residential 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David Knott was born on June 30, 1952, and Gerald Spidel was born on May 18, 1957. Knott was abandoned at birth and was made a ward of the Superintendent of Child Welfare. On December 18, 1953, he was admitted to Woodlands School where he was cared for until 1975. On May 21, 1975, he was placed in the Multi Level Care Unit ("MLCU") of Kitimat General Hospital ("KGH") in Kitimat,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Spidel was admitted to Woodlands School on December 14, 1960, where he was cared for until July 2, 1976, by which time he had been abandoned by his parents. On that date he was placed into the Extended Care Unit of GR Baker Memorial Hospital in Quesnel, B.C. On August 17, 1982, he was placed in the MLCU of KGH.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Sometime in the mid-1980s, the defendant undertook a deinstitutionalization initiative with respect to the care, planning and residential placement of adults with physical and intellectual disabilities and implemented policies and practices in relation thereto. The defendant created a division of the Ministry of Health known as "The Services to the Handicapped" to oversee the provision of services and placement of such handicapped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Pursuant to that initiative, in August 1987 unnamed employees or agents of the defendant reviewed the circumstances of Knott and Spidel and concluded that their placement at the MLCU of KGH was inappropriate. It was decided that by 1988 their cases would be reviewed and they would be placed in an alternate resource more appropriate to their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Between 1987 and 2003 no further alternate care planning took place for Knott and Spidel. They continued to reside at KGH, where it is alleged their physical and emotional needs were not met and they received insufficient and inappropriate care. During that period no individual or entity had guardianship of the plaintiffs and they were not wards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changes were made to the health service delivery model in the late 1990s, the defendant did not assign to anyone the responsibility to advocate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responsibility for the provision and funding of certain health services including services at KGH was transferred by the defendant to the North West Community Health Services Society on April 1, 1997, and on December 31, 2001, that Society amalgamated with the Northern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 around 2002, an administrator at KGH advised the Ministry of Children and Family Development that the placement of the plaintiffs was inappropriate for their circumstances. As a result, in or about 2003 the plaintiffs began to receive some community support, services and benefits while still residing at KGH. In 2005 they were moved from KGH into residential care in the community where they currently reside.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amended notice of civil claim alleges that the defendant owed a duty of care to the plaintiffs to provide long-term planning, supervision and residential placement appropriate to their condition; to not continue their placement in KGH after 1987 and to investigate, monitor and supervise adequately the care, planning and residential placement of the plaintiffs while they resided at KGH. The plaintiffs further allege that the defendant breached its duty of care by failing to perform its duties to the plaintiff and that such failure was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 result of the alleged breach of its duty of care, the plaintiffs claim that they suffered and will continue to suffer harm and injury, including physical injury and other harm in respect of which they claim general and special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harm is described in paragraph 17 of the amended notice of civil claim as follows:</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had little or no contact, or opportunity for contact, with family and community members;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little or no intellectual and physical stimulation, recreation or rehabilitation;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forcibly confined to their beds and otherwise forcibly and inappropriately restrained;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insufficient or inappropriate medical and dental care, including inappropriate and excessive medication;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inadequate assistance with personal hygiene;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inappropriately subject to "Do Not [Resuscitate]" orders;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obtain services which were available and which they were entitled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9-5(1)(a)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test for striking pleadings was stated by Chief Justice McLachlin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agree on the test applicable on a motion to strike for not disclosing a reasonable cause of action under r. 19(24)(a) of the B.C. Supreme Court Rules.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Another way of putting the test is that the claim has no reasonable prospect of success. Where a reasonable prospect of success exists, the matter should be allowed to proceed to trial; see, generally,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 Attorney General of Canada v. Inuit Tapirisat of Canada</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Since submissions were made in this case, our Court of Appeal has released its decision in </w:t>
      </w:r>
      <w:r>
        <w:rPr>
          <w:rFonts w:ascii="arial" w:eastAsia="arial" w:hAnsi="arial" w:cs="arial"/>
          <w:i/>
          <w:color w:val="000000"/>
          <w:sz w:val="20"/>
          <w:lang w:val="en-US" w:eastAsia="en-US" w:bidi="ar-SA"/>
        </w:rPr>
        <w:t>British Columbia (Director of Civil Forfeiture) v. Flynn</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2013 BCCA 91</w:t>
        </w:r>
      </w:hyperlink>
      <w:r>
        <w:rPr>
          <w:rFonts w:ascii="arial" w:eastAsia="arial" w:hAnsi="arial" w:cs="arial"/>
          <w:color w:val="000000"/>
          <w:sz w:val="20"/>
          <w:lang w:val="en-US" w:eastAsia="en-US" w:bidi="ar-SA"/>
        </w:rPr>
        <w:t xml:space="preserve">. In that case, the appellant sought to overturn a decision by a judge in chambers, dismissing his application to strike under Rule 9-5(1)(a)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The issue in the substantive action involved statutory interpretation. The Court of Appeal reiterated the test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and held that a chambers judge hearing a motion to strike pleadings founded on a complex question of statutory interpretation is not obligated to come to a conclusion regarding the interpretation, and it was open to him, in the exercise of his discretion, to leave that question to be decided at trial. As the case at bar involves a novel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my view that the application to strike will require a consideration of the elements of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test in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their application response, the plaintiffs state that evidence will be presented in respect of some aspects of their Claim. In this regard the comments of Chief Justice McLachlin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22, should be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Claim is based on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They say that the defendant owed a duty of care to them to provide long-term planning, supervision and residential placement appropriate to their conditions. They allege that the defendant breached its duty by failing to provide them with reasonably appropriate and adequate long-term planning, supervision and residential placement, and in failing to review their placement after the deinstitutionalization program in 1987, and in failing to investigate, monitor and adequately supervise the care of the plaintiffs while they resided at KGH after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admit that this is a unique claim and ask the Court to recognize a new duty of care. They allege that a "special relationship" existed between the plaintiffs and the defendant. While the facts in the Claim do not make the basis for a special relationship apparent, the plaintiffs say that evidence at trial will show a special relationship. Based on the comments of Chief Justice McLachlin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I cannot evaluate the possibility of success of the Claim if it relies on a special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the facts in the Claim do not fall into a previously established category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recognized, the plaintiffs must meet the tests formulated by the Supreme Court of Canada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[2001] S.C.J. No. 76</w:t>
        </w:r>
      </w:hyperlink>
      <w:r>
        <w:rPr>
          <w:rFonts w:ascii="arial" w:eastAsia="arial" w:hAnsi="arial" w:cs="arial"/>
          <w:color w:val="000000"/>
          <w:sz w:val="20"/>
          <w:lang w:val="en-US" w:eastAsia="en-US" w:bidi="ar-SA"/>
        </w:rPr>
        <w:t xml:space="preserve">, in applying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(the "Anns/Cooper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first stage of the test it must be determined whether the harm that occurred was the reasonably foreseeable consequence of 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Thus, the plaintiffs must show that it was foreseeable to the defendant that a breach of the duties in paragraph 24 of the Claim would result in the harms described in paragraph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seems that the harms are not identifiable injuries, but rather the harms involve the plaintiffs not being provided with a particular service or being inappropriately treated while at KGH.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is apparent that if the plaintiffs suffered the alleged harm, then it arose from the acts of the individuals who provided or failed to provide service to them while they were at KGH. In my view, the harm alleged did not result from the act of placing the plaintiffs in KGH nor can it be attributed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As in </w:t>
      </w:r>
      <w:r>
        <w:rPr>
          <w:rFonts w:ascii="arial" w:eastAsia="arial" w:hAnsi="arial" w:cs="arial"/>
          <w:i/>
          <w:color w:val="000000"/>
          <w:sz w:val="20"/>
          <w:lang w:val="en-US" w:eastAsia="en-US" w:bidi="ar-SA"/>
        </w:rPr>
        <w:t>Wynberg v. Ontario</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[2005] O.J. No. 1228</w:t>
        </w:r>
      </w:hyperlink>
      <w:r>
        <w:rPr>
          <w:rFonts w:ascii="arial" w:eastAsia="arial" w:hAnsi="arial" w:cs="arial"/>
          <w:color w:val="000000"/>
          <w:sz w:val="20"/>
          <w:lang w:val="en-US" w:eastAsia="en-US" w:bidi="ar-SA"/>
        </w:rPr>
        <w:t>, the underlying condition of the plaintiffs was independent from anything that the defendant did or did not do. The plaintiffs did not plead any facts that would show that their condition worsened because of the defendant's failure to place them in a different facility than the MLCU of KGH. The harms described are also vague and provide insufficient particulars for the defendant to defend against the allegations. For example, paragraph 17(g) does not say what services the plaintiffs were entitled to but did not receive, nor does it specify whether they required the services that were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agree with the defendant that if the defendant owed the duties described in paragraph 24 to the plaintiffs, it was not reasonably foreseeable that the plaintiffs would suffer the alleged harm at the hands of the staff in KGH. For example, it was not foreseeable that KGH would prevent the plaintiffs from seeing family members if the family members had visited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alleged harms described in paragraphs 17(c) to (f) were not foreseeable in that they would only arise as a result of actions by professional staff at the hospital. The defendant could properly assume that the staff would act reasonably and comply with the standards of their particular governing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the defendant, like anyone who may be involved in the placement of someone into a particular care facility, in continuing the placement of the plaintiffs in the MLCU, could not have reasonably foreseen the harm alleged in paragraph 17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Anns/Cooper Test requires that the facts pleaded establish that the defendant was in a proximate relationship with the plaintiffs that gave rise to the duties of care described in paragraph 24. In my view, the facts in the Claim do not establish proximity. The Claim does not allege that the plaintiffs relied on any representations of the defendant nor are facts pleaded that would result in the plaintiffs having any expectations or reliance upon the defendant. Although paragraph 5 of Part 3 of the Claim alleges a relationship of proximity, there are no facts pleaded that indicate the basis for a proximate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should also be noted that to the extent that the placement of the plaintiffs involved policy decisions, such actions are immune from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they are made in the interests of the public and not of any one individual, and the government does not have a proximate relationship to an individual. (</w:t>
      </w:r>
      <w:r>
        <w:rPr>
          <w:rFonts w:ascii="arial" w:eastAsia="arial" w:hAnsi="arial" w:cs="arial"/>
          <w:i/>
          <w:color w:val="000000"/>
          <w:sz w:val="20"/>
          <w:lang w:val="en-US" w:eastAsia="en-US" w:bidi="ar-SA"/>
        </w:rPr>
        <w:t>Jones (Litigation guardian of) v. Donaghey</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[2010] B.C.J. No. 2071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have concluded that the facts pleaded by the plaintiffs do not establish a proximate relationship between the plaintiffs and the defendant, and a private law duty of care was not owed by the defendant to the plaintiffs. Thus, the first stage of the Anns/Cooper Test has not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While it is not necessary to consider the second stage of the Anns/Cooper Test, it is my view that if a duty of care were recognized on the part of the government in relation to the placement of individuals in a health care facility, as Chief Justice McLachlin said in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arguable that to impose a duty of care on the plaintiff class on the facts pleaded would open the door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patient in the health care system with an entitlement to receive funding for health services, whether primary or extended. This raises the spectre of unlimited liability to an unlimited class, decried by Cardozo C.J. in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174 N.E. 441 (N.Y. 1931), at p. 444: see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[2008] 1 S.C.R. 737</w:t>
        </w:r>
      </w:hyperlink>
      <w:r>
        <w:rPr>
          <w:rFonts w:ascii="arial" w:eastAsia="arial" w:hAnsi="arial" w:cs="arial"/>
          <w:color w:val="000000"/>
          <w:sz w:val="20"/>
          <w:lang w:val="en-US" w:eastAsia="en-US" w:bidi="ar-SA"/>
        </w:rPr>
        <w:t>, at paras. 59-66.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same vein, in </w:t>
      </w:r>
      <w:r>
        <w:rPr>
          <w:rFonts w:ascii="arial" w:eastAsia="arial" w:hAnsi="arial" w:cs="arial"/>
          <w:i/>
          <w:color w:val="000000"/>
          <w:sz w:val="20"/>
          <w:lang w:val="en-US" w:eastAsia="en-US" w:bidi="ar-SA"/>
        </w:rPr>
        <w:t>A.L. v. Ontario</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[2006] O.J. No. 4673</w:t>
        </w:r>
      </w:hyperlink>
      <w:r>
        <w:rPr>
          <w:rFonts w:ascii="arial" w:eastAsia="arial" w:hAnsi="arial" w:cs="arial"/>
          <w:color w:val="000000"/>
          <w:sz w:val="20"/>
          <w:lang w:val="en-US" w:eastAsia="en-US" w:bidi="ar-SA"/>
        </w:rPr>
        <w:t>, the Ontario Court of Appeal, dealing with a claim arising out of a decision by Ontario to terminate the availability of agreements with individuals for the provision of special needs services required by a child in their custody, said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recognize a private law duty of care would expose Ontario to claims for substantial damages by many families and individuals who believe that they have not received adequate services. ... In my view, to recognize a novel duty of care that would allow claims of this nature to proceed would be contrary to sound policy in this area of the law. A private law duty of care would represent an unwarranted and undesirable intrusion that could interfere with the sound administration of the CSFA. The Minister and the child welfare authorities have a difficult task to perform and limited resources at their disposal. Their priorities should be based on the general public interest, not on the interests of particular individuals, however difficult and sympathetic their circumstances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Similarly, in this case the plaintiffs are seeking damages because they believe that they have not received adequate services in relation to their special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reached the conclusion that this claim would also fail the second stage of the Anns/Cooper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For these reasons I find that the pleadings do not disclose a duty of care on the part of the defendant and the cause of action as pleaded is bound to fail. It is plain and obvious that even after numerous amendments have been made, the pleadings do not disclose a reasonable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allow the application of the defendant and strike the Claim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parties are at liberty to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response to the defendant's position that the plaintiffs brought the action against the wrong defendant, the plaintiffs applied to add the Northern Health Authority as a defendant. That application was adjourned pending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stated, the responsibility for the provision and funding of certain health services was transferred by the defendant to the North West Community Health Services Society on April 1, 1997, and on December 31, 2001, that Society amalgamated with the Northern Health Authority. As a result, it appears that the Northern Health Authority assumed the rights and obligations of the Community Health Services Society which included responsibility for KGH. Without deciding the question, it may be that the Northern Health Authority was responsible for the provision of services to the plaintiffs while they resided at the MLCU.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are given leave to continue their application to add the Northern Health Authority as a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Costs of this application are awarded to the defendant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Knudsen v. Consolidated Food Brands Inc. (c.o.b. Fleetwood Sausage), [2001] B.C.J. No. 2902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L000093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2902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1837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116 A.C.W.S. (3d) 158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Holst Knudsen by his Guardian ad litem Palle Knudsen as representative plaintiff, plaintiff, and Consolidated Food Brands Inc. carrying on business as Fleetwood Sausage,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8" w:name="Keywords_38"/>
      <w:bookmarkEnd w:id="298"/>
      <w:r>
        <w:rPr>
          <w:rFonts w:ascii="arial" w:eastAsia="arial" w:hAnsi="arial" w:cs="arial"/>
          <w:b/>
          <w:color w:val="000000"/>
          <w:sz w:val="20"/>
          <w:lang w:val="en-US" w:eastAsia="en-US" w:bidi="ar-SA"/>
        </w:rPr>
        <w:t>Practice — Persons who can sue and be sued — Individuals and corporations, status or standing — Class actions, certification, considerations — Settlements — Judgment based on — Costs — Considerations.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9" w:name="Case Summary_33"/>
            <w:bookmarkEnd w:id="2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Knudsen to certify a class proceeding and to obtain approval of a settlement agreement. Knudsen purchased meat that was produced by the defendant Consolidated. He was affected with E. coli bacteria because of his consumption. There were 143 similar cases that were reported to the authorities. Knudsen commenced an action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was the representative plaintiff. It was anticipated that the class would consist of 80 members. An agreement was reached between the claimants and Consolidated. There were three classes of claimants who qualified for payments. Claimants who were not admitted to hospital would receive a lump sum payment of $4,000 plus reimbursement of reasonable and documented special damages. Claimants who were admitted to hospital for less than 30 days would receive $7,500, $700 for each day in the hospital and reimbursement of special damages. The third class consisted of claimants who had continued symptoms or were in hospital for longer than 30 days. Compensation would be in an agreed-upon amount between the claimant and Consolidated. Class members were entitled to opt out of the settlement and pursue individual actions against Consolidated. The settlement was negotiated by counsel who had extensive experience in personal injury law. It compared favourably with Consolidated's initial settlement offer. Counsel for Knudsen sought a class counsel fee of 20 per cent of each class member's recovery under the settlement agreement plus one per cent of each member's recovery as reimbursement of disbursements.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0" w:name="Holdings of Court_31"/>
            <w:bookmarkEnd w:id="30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certified as a class proceeding. The pleadings disclosed a cause of action. There was an identifiable class of two or more persons. A class proceeding was the preferable procedure to fairly and efficiently resolve the common issues. The representative plaintiff fairly and adequately represented the interests of the class. He produced a workable plan to advance the proceedings. He was not in a conflict of interest position. The settlement agreement and the requested fees were approved. The agreement was fair and reasonable for all the class members. It provided a mechanism to resolve each member's claim in a simple manner. It also minimized and controlled administrative, legal and medical costs. It provided an administrative process that would not burden the court system. The agreement was in the best interests of the class members since they would not receive more compensation if they pursued litigation. The requested fees and disbursements were modest. They only covered the certification of the action, its negotiation and the implementation of the settlement. It did not cover administration plus administration of the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Legislation Cited_26"/>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935" w:history="1">
        <w:r>
          <w:rPr>
            <w:rFonts w:ascii="arial" w:eastAsia="arial" w:hAnsi="arial" w:cs="arial"/>
            <w:i/>
            <w:color w:val="0077CC"/>
            <w:sz w:val="20"/>
            <w:u w:val="single"/>
            <w:shd w:val="clear" w:color="auto" w:fill="FFFFFF"/>
            <w:lang w:val="en-US" w:eastAsia="en-US" w:bidi="ar-SA"/>
          </w:rPr>
          <w:t>R.S.B.C. 1996, c. 50, ss. 2</w:t>
        </w:r>
      </w:hyperlink>
      <w:r>
        <w:rPr>
          <w:rFonts w:ascii="arial" w:eastAsia="arial" w:hAnsi="arial" w:cs="arial"/>
          <w:color w:val="000000"/>
          <w:sz w:val="20"/>
          <w:lang w:val="en-US" w:eastAsia="en-US" w:bidi="ar-SA"/>
        </w:rPr>
        <w:t>, 2(2), 4(1), 8, 35, 35(1), 35(3), 38(1), 38(2)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2" w:name="Counsel_44"/>
      <w:bookmarkEnd w:id="3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 Klein and J.G. Pearce, for the plaintiff. J.D. Morin, for the defendant. C. Cunningham, for the Public Guardian and Trustee.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3" w:name="Judgment_44"/>
      <w:bookmarkEnd w:id="303"/>
      <w:r>
        <w:pict>
          <v:line id="_x0000_s1234"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4" w:name="WONG J. (orally)"/>
            <w:bookmarkEnd w:id="304"/>
            <w:r>
              <w:rPr>
                <w:rFonts w:ascii="arial" w:eastAsia="arial" w:hAnsi="arial" w:cs="arial"/>
                <w:b/>
                <w:color w:val="000000"/>
                <w:sz w:val="30"/>
                <w:lang w:val="en-US" w:eastAsia="en-US" w:bidi="ar-SA"/>
              </w:rPr>
              <w:t>WONG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threefold application brought by the plaintiff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 first two applications are under Sections 2(2), 8, and 35 of the Act for an order:</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Certifying this proceeding as a class proceeding pursuant to Section 2 of the Class Proceedings Act;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that the class be comprised of all residents of British Columbia who suffered personal injuries and tested positive for E. coli 0157:H7 during the period between September the 23, 1999, and January the 31, 2000, after consuming a Fleetwood Sausage product. Persons of legal capacity who have accepted a settlement offer and have signed a release in favour of the defendant in respect of this matter are excluded from the class;</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Tom Holst Knudsen by his Guardian Ad Litem, Palle Knudsen, as the representative plaintiff of the class;</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that the claims of the class are for damages arising from personal injuries suffered as a result of consuming meat products which were tainted with E. coli bacteria and which were manufactured and distributed by the defendant;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Declaring that the relief sought by the plaintiff class is judgment against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Sale and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and if granted: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costs of this action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that the following question is certified as a common issue in the class proceeding. Does the defendant have liability and damages to the class;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that notice of the certification of this class proceeding and the settlement of this class proceeding be given to class members in a form and manner to be determined on further application to the court;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that members of the class may opt out of this action by notifying Klein Lyons in a form and manner to be determined upon further application to the court;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that any member of the class who does not opt out of this action will be bound by the settlement agreement once approved;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Approving the settlement agreement substantially in the form attached as Exhibit D to the affidavit of Mark L. Lyons, sworn December 29, 2000;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that the settlement agreement is fair, reasonable, and in the best interests of the class members;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deem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third application is for an order pursuant to Section 38(2) of the Act approving a class counsel fee to counsel for the representative plaintiff. I have concluded the requested applications are appropriate.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action arises out of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Consolidated Food Brands Inc. carrying on business as Fleetwood Sausage in connection with an outbreak of illness caused by the E. coli bacterium in meat products that were manufactured and distributed by Fleetwood in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Consolidated Food Brands Inc. is the sole proprietor of Fleetwood. Fleetwood specializes in the manufacturing of ready-to-eat meat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 coli bacterium known scientifically as Escherichia coli 0157:H7 produces high levels of toxins that have a toxic effect on cells in the intestines and, if absorbed, exert toxic effects on the kidneys. Food contaminated with E. coli looks and smells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the 25, 1999, the plaintiff's mother purchased some tainted meat from a grocery store located in Langley, British Columbia. The plaintiff ate the tainted meat on October the 28, 1999. The plaintiff was affected with E. coli bacteria as a result of consuming that tainted meat and suffered from severe abdominal pain and vomiting. He passed frank blood from his bowels. He was admitted to Langley Memorial Hospital on or about November the 1, 1999, and he remained there for treatment for approximately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Laboratory tests requisitioned by the hospital and conducted by the B.C. Centre for Disease Control isolated E. coli 0157:H7 from a stool sample collected from the plaintiff on November the 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writ of summons was filed in these proceedings on January the 14, 2000. The statement of claim was filed on April the 11, 2000. The amended writ and the amended statement of claim were filed on June 26, 2000. The statement of defence was filed on June 13,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amended statement of claim alleges that Fleetwood was negligent in the manufacture and distribution of the tainted meat and that it failed to take any steps or any adequate steps to warn or adequately warn the public of the danger of the consumption of tainted meat or recall the tainted meat in a timely manner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denies any wrongdoing or liability to class members. Further, in the defendant's initial submissions, opposing certification, the defendant expressed an intention to vigorously defend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have been brought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143 cases of E. coli related to tainted sausages were reported to the B.C. Centre for Disease Control (CDC). E. coli causes severe abdominal pain, vomiting, and diarrhoea, often bloody. It can be especially severe in the elderly and in children, with up to 10 percent of young people developing haemolytic uremic syndrome, HUS, which causes kidney failure and internal bleeding. About one-third of persons with HUS have abnormal kidney function many years later, and a few require long-term dialysis. Another 8 percent of persons with HUS have life long complications such as high blood pressure, seizures, blindness, paralysis and the effects of having part of their bowel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Out of the CDC recorded 143 cases, 42 people required hospitalization and 101 did not. Approximately two-fifths of the 143 known victims are minors. Medical literature suggests that likely the most severely affected victims may be minors. Six cases of HUS were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Defence counsel has advised that 80 cases have already been settled. Of those 80, 70 were adults and 10 minors.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eve of the initial certification hearing on November the 27 last the parties effected a settlement now before the court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CERTIFICATION NOTICE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motion is now unopposed by the defendant. I am satisfied and find that the statutory requirements under Section 4(1) of the Act for certification as a class proceeding are satisfied, namely:</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two or more persons;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notifying class members of the proceeding;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therefore would certify this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settlement negotiations with the defendant began in May 2000. Negotiations were strongly adversarial with the defendant denying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Terms of settlement, however, were agreed to at the end of November 2000. The settlement agreement appears to ensure that compensation varies between claimants according to established tort principles. Class members qualify for payment in the following categories: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I - claimants who were not admitted to hospital: lump-sum payment of $4,000 plus reimbursement of all reasonable and documented special damages suffered by them or the family members as a direct result of the claimant's infection;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II - claimants who were admitted to hospital for less than 30 days and whose symptoms have now resolved: lump-sum payment of $7,500 plus $700 for each day or part thereof spent in hospital, plus reimbursement of all reasonable and documented special damages suffered by them or the family members as a direct result of the claimant's infection;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III - claimants not falling within Class I or II and who provide medically supported evidence of continuing symptoms or who were admitted to hospital for 30 days or longer: compensation in an amount agreed by the claimant and Fleetwood.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the parties are unable to agree, the dispute will be mediated. If the mediation is unsuccessful, the claim will go to binding arbitration. Fleetwood will pay the costs of the mediation and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Class members who opt out of the class proceeding are free to pursue individual actions against the defendant and retain all the rights they would have had in the absence of the settlement. I agree with Mr. Klein's submissions that the settlement agreement is more advantageous to class members than continuing with litigation, as it is evident that: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will receive compensation without the burden of proving liability or, in the main, causation;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will not have to appear in court;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will have their confidentiality protected;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will likely receive compensation more quickly than if they were to pursue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settlement agreement also provides a mechanism for resolving class member's claims that is simple and easy to access, but also minimizes and controls administrative, legal, and medical costs. The settlement agreement also provides an administration process that will not burden the court system. The settlement agreement is supported by Palle Knudsen, the Guardian Ad Litem for the representative plaintiff. He has received and reviewed the terms of the settlement with Mr. David Klein and finds that it is fair and in the best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settlement was negotiated by senior counsel who have extensive experience in personal injury law and class actions. Plaintiff's counsel consider the settlement agreement to be fair and in the best interests of the class. The settlement agreement compares favourably with the defendant's initial settlement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Under the Class Proceedings Act, Sections 35(1) and (3), the settlement of a class proceeding must be approved by the court. For a settlement in the class proceeding to be approved, it must be fair, reasonable, and in the best interests of those affected by it. The court is concerned with the interests of the class as a whole rather than the demands of the particular class member. See Endean v. Canadian Red Cross Society, </w:t>
      </w:r>
      <w:hyperlink r:id="rId936" w:history="1">
        <w:r>
          <w:rPr>
            <w:rFonts w:ascii="arial" w:eastAsia="arial" w:hAnsi="arial" w:cs="arial"/>
            <w:i/>
            <w:color w:val="0077CC"/>
            <w:sz w:val="20"/>
            <w:u w:val="single"/>
            <w:shd w:val="clear" w:color="auto" w:fill="FFFFFF"/>
            <w:lang w:val="en-US" w:eastAsia="en-US" w:bidi="ar-SA"/>
          </w:rPr>
          <w:t>[1999] B.C.J. No. 2180</w:t>
        </w:r>
      </w:hyperlink>
      <w:r>
        <w:rPr>
          <w:rFonts w:ascii="arial" w:eastAsia="arial" w:hAnsi="arial" w:cs="arial"/>
          <w:color w:val="000000"/>
          <w:sz w:val="20"/>
          <w:lang w:val="en-US" w:eastAsia="en-US" w:bidi="ar-SA"/>
        </w:rPr>
        <w:t xml:space="preserve">, (October 1, 1999, Vancouver, C965349, (B.C.S.C.), paragraph 13); Sawatzky v. Societe Chirurgicale Instrumentarium, </w:t>
      </w:r>
      <w:hyperlink r:id="rId937" w:history="1">
        <w:r>
          <w:rPr>
            <w:rFonts w:ascii="arial" w:eastAsia="arial" w:hAnsi="arial" w:cs="arial"/>
            <w:i/>
            <w:color w:val="0077CC"/>
            <w:sz w:val="20"/>
            <w:u w:val="single"/>
            <w:shd w:val="clear" w:color="auto" w:fill="FFFFFF"/>
            <w:lang w:val="en-US" w:eastAsia="en-US" w:bidi="ar-SA"/>
          </w:rPr>
          <w:t>[1999] B.C.J. No. 1814</w:t>
        </w:r>
      </w:hyperlink>
      <w:r>
        <w:rPr>
          <w:rFonts w:ascii="arial" w:eastAsia="arial" w:hAnsi="arial" w:cs="arial"/>
          <w:color w:val="000000"/>
          <w:sz w:val="20"/>
          <w:lang w:val="en-US" w:eastAsia="en-US" w:bidi="ar-SA"/>
        </w:rPr>
        <w:t xml:space="preserve">, (August 4, 1999), Vancouver, C954740, (B.C.S.C.), paragraph 19; Haney Iron Works Ltd. v. ManuLife Financial, </w:t>
      </w:r>
      <w:hyperlink r:id="rId938" w:history="1">
        <w:r>
          <w:rPr>
            <w:rFonts w:ascii="arial" w:eastAsia="arial" w:hAnsi="arial" w:cs="arial"/>
            <w:i/>
            <w:color w:val="0077CC"/>
            <w:sz w:val="20"/>
            <w:u w:val="single"/>
            <w:shd w:val="clear" w:color="auto" w:fill="FFFFFF"/>
            <w:lang w:val="en-US" w:eastAsia="en-US" w:bidi="ar-SA"/>
          </w:rPr>
          <w:t>[1998] B.C.J. No. 2936</w:t>
        </w:r>
      </w:hyperlink>
      <w:r>
        <w:rPr>
          <w:rFonts w:ascii="arial" w:eastAsia="arial" w:hAnsi="arial" w:cs="arial"/>
          <w:color w:val="000000"/>
          <w:sz w:val="20"/>
          <w:lang w:val="en-US" w:eastAsia="en-US" w:bidi="ar-SA"/>
        </w:rPr>
        <w:t xml:space="preserve"> (December 16, 1998), Vancouver, C954749, (B.C.S.C.), paragraph 27; and Dabbs v. Sun Life, (February 24, 1998), Ontario Court of Justice 96-CT-O22862, (General Division) paragraph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overriding public interest in favour of settlement. This policy promotes the interests of litigants generally by saving them the expense of trial and reduces the strain upon the court system. See Dabbs v. Sun Life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court's power to approve or reject settlements does not permit it to modify the terms of a negotiated settlement. It may only approve or disapprove the settlement. See Sawatzky v. The Societe Chirurgicale Instrumentarium (supra), Harrington v. Dow Corning Corporation, </w:t>
      </w:r>
      <w:hyperlink r:id="rId939" w:history="1">
        <w:r>
          <w:rPr>
            <w:rFonts w:ascii="arial" w:eastAsia="arial" w:hAnsi="arial" w:cs="arial"/>
            <w:i/>
            <w:color w:val="0077CC"/>
            <w:sz w:val="20"/>
            <w:u w:val="single"/>
            <w:shd w:val="clear" w:color="auto" w:fill="FFFFFF"/>
            <w:lang w:val="en-US" w:eastAsia="en-US" w:bidi="ar-SA"/>
          </w:rPr>
          <w:t>[1999] B.C.J. No. 320</w:t>
        </w:r>
      </w:hyperlink>
      <w:r>
        <w:rPr>
          <w:rFonts w:ascii="arial" w:eastAsia="arial" w:hAnsi="arial" w:cs="arial"/>
          <w:color w:val="000000"/>
          <w:sz w:val="20"/>
          <w:lang w:val="en-US" w:eastAsia="en-US" w:bidi="ar-SA"/>
        </w:rPr>
        <w:t xml:space="preserve"> (February 16, 1999), Vancouver, C954330 (B.C.S.C.), paragraph 7, Haney Iron Works Ltd. v. ManuLife Financial (supra) paragraph 22; and Dabbs v. Sun Life (supra) paragraph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exercise of settlement approval does not lead the court to a dissection of the settlement with an eye to perfection in every respect. Settlements must fall within a zone or range of reasonableness. See Endean v. Canadian Red Cross Society, October 1, 1999, Vancouver, C965349, (B.C.S.C.), paragraph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Settlements must fall within a zone, or range of reasonableness. The range of reasonableness has been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settlements are the product of compromise and a process of give and take, and settlements rarely give all parties exactly what they want. Fairness is not a standard of perfection. Reasonableness allows for a range of possible resolutions. A less-than-perfect settlement may be in the best interests of those affected by it when compared to the alternative of the risks and costs of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Dabbs v. Sun Life </w:t>
      </w:r>
      <w:hyperlink r:id="rId940" w:history="1">
        <w:r>
          <w:rPr>
            <w:rFonts w:ascii="arial" w:eastAsia="arial" w:hAnsi="arial" w:cs="arial"/>
            <w:i/>
            <w:color w:val="0077CC"/>
            <w:sz w:val="20"/>
            <w:u w:val="single"/>
            <w:shd w:val="clear" w:color="auto" w:fill="FFFFFF"/>
            <w:lang w:val="en-US" w:eastAsia="en-US" w:bidi="ar-SA"/>
          </w:rPr>
          <w:t>(1998), 40 O.R. (3d) 429</w:t>
        </w:r>
      </w:hyperlink>
      <w:r>
        <w:rPr>
          <w:rFonts w:ascii="arial" w:eastAsia="arial" w:hAnsi="arial" w:cs="arial"/>
          <w:color w:val="000000"/>
          <w:sz w:val="20"/>
          <w:lang w:val="en-US" w:eastAsia="en-US" w:bidi="ar-SA"/>
        </w:rPr>
        <w:t xml:space="preserve"> at 4440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Court has also acknowledged the significance of a recommendation made by experienced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recommendation of class counsel is clearly not depositive as it is obvious that class counsel have a significant financial interest in having the settlement approved. Still, the recommendation of counsel of high repute is significant. While class counsel have a financial interest at stake, the reputation for integrity and diligent effort on behalf of their clients is also on the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Dabbs v. Sun Life (supra) at page 440.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Public Guardian and Trustee has filed a report to the court and was represented by counsel at this application. There was a concern by the Public Guardian and Trustee whether the proposed Class II claimants' benefits criteria can be adequately assessed according to unliquidated damage principles and whether those Class II claimants whose medical symptoms from ingesting tainted meat have continued, can access Class III benefits of provided mediation and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must be remembered, as mentioned earlier, that the exercise of settlement approval does not lead the court to a dissection of this settlement with an eye to perfection in every respect, provided it follows within the zone or range of reasonableness. I think the proposed Class II claimant compensation for those claimants whose symptoms have resolved is reasonable and fair. In any event, individual claimants who qualify as Class II, who believe that Class II compensation is not in their best interests, have the option to opt out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reviewing the final and executed draft of the terms of settlement, I think the initial concern by the Public Guardian and Trustee of the need for clarification as to whether potential Class II claimants whose hospitalization was less than 30 days but with continuing medical symptoms fall into Class III can be allayed by the stipulation provided, that the real distinction between Class II and Class III claimants is that in Class II, the medical symptoms at the time of claim is resolved, whereas in Class III there is evidence of continuing medical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was an additional concern by the Public Guardian and Trustee whether earlier monies paid out by the defendant in individual private settlements on behalf of minors and not yet approved by the Public Guardian and Trustee, as required by Section 40(5) of the Infants Act, have been adequately safeguarded or retained by the minors' guardians. The Public Guardian and Trustee has indicated that there will be opposition to any attempt by the defendant claiming a set-off from monies payable in the class action for monies they advanced contrary to the provisions of the Infants Act and the special protections built into the law for minors. Mr. Morin, counsel for the defendant, indicated to the court that there would be no attempt to set-off monies paid out earlier on behalf of minors which are no longer preserved for their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matter of notice, the Public Guardian and Trustee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has stated that a condition of settlement is that notification of the class proceeding and settlement agreement will be by direct mail to all potential class members and not by advertising. Since it cannot be assumed that minors and people under mental disability are able to organize their legal affairs in response to letters addressed to them, I recommend that letters to children be addressed to their guardians and that all letters sent out be monitored for a response. If a response is not forthcoming, I recommend telephone or other follow-up to make sure entitlements for persons under disability are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matter of opting out, the Public Guardian and Trustee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notice of motion dated December 29, 2000, seeks a declaration that members of a class may opt out of this action by notifying Klein Lyons in a form and manner to be determined upon further application to the court. Since many of the class members are minors, the decision regarding whether or not to opt out will have to be made on their behalf. And I submit such a decision should be reviewed by the Public Guardian and Trustee and/or the court. If I were persuaded that the Class II compensation is favourable, I would recommend that only decisions to opt the child out of the class be superintended by the Public Guardian and Trustee and/or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think the notice and opting out procedures for minors and persons with mental disabilities recommended by the Public Guardian and Trustee are reasonable and can be addressed by counsel in later applications. Similarly, the Public Guardian and Trustee's suggestion that since minors and mentally incapable adults do not have legal capacity to swear a statutory declaration in support of the claim, an alternative method for adducing evidence for persons under legal disability be allowed, such as a capable adult who would have knowledge of the facts could swear a statutory declaration on behalf of a person under legal disability is also one that I would commend for inclusion in the notice and information package contemplated in the direct mailing to potential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terms of the proposed settlement agreement appear to be fair and reasonable to all members of the class. It has been approved by the representative plaintiff and senior counsel. As class members are unlikely to receive more compensation if they pursue litigation, the settlement is clearly in the best interests of the class and I would therefore approve it pursuant to Section 35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TO APPROVE CLASS COUNSEL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Class Proceedings Act requires that the fee agreement between the representative plaintiff and his or her counsel be approved by the court. Section 38(2) of the Class Proceedings Act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agreement respecting fees and disbursements between a solicitor and a representative plaintiff is not enforceable unless approved by the court on the application of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representative plaintiff is seeking a class counsel fee of 20 percent of each class member's recovery under the settlement agreement, plus 1 percent of each class member's recovery as reimbursement of disbursements incurred on behalf of the class. Section 38(1) of the Class Proceedings Act requires that a fee agreement state the terms under which fees and disbursements are to be paid, give an estimate of the expected fee, and state the method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fee agreement with the representative plaintiff appears to comply with those requirements. The estimate of the expected fee is expressed as a percentage of any settlement or judgment. As the fee is contingent on the amount of a settlement or judgment, it was submitted that no more specific amount can be provided until a settlement is reached or a judgment is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Class Proceedings Act does not stipulate the factors to be considered when approving class counsel's fee. However, on such applications British Columbia courts have considered the extent of the legal work done by class counsel, the skill and competence of class counsel, the complexity of the matter, the importance of the matter to the class, the result achieved, the individual claimant's contribution to the fee as a portion of their recoveries, and the fee expectation of the representative plaintiff and other claimants. See Harrington v. Dow Corning Corporation, et al., (February 16, 1999), Vancouver C9544330, (B.C.S.C.), paragraph 18; Sawatzky v. The Societe Chirurgicale Instrumentarium Inc., (September 8, 1999), Vancouver C9544740, (B.C.S.C.) at paragraph 8; Fischer v. Delgratia Mining Corporation, </w:t>
      </w:r>
      <w:hyperlink r:id="rId941" w:history="1">
        <w:r>
          <w:rPr>
            <w:rFonts w:ascii="arial" w:eastAsia="arial" w:hAnsi="arial" w:cs="arial"/>
            <w:i/>
            <w:color w:val="0077CC"/>
            <w:sz w:val="20"/>
            <w:u w:val="single"/>
            <w:shd w:val="clear" w:color="auto" w:fill="FFFFFF"/>
            <w:lang w:val="en-US" w:eastAsia="en-US" w:bidi="ar-SA"/>
          </w:rPr>
          <w:t>[1999] B.C.J. No. 3149</w:t>
        </w:r>
      </w:hyperlink>
      <w:r>
        <w:rPr>
          <w:rFonts w:ascii="arial" w:eastAsia="arial" w:hAnsi="arial" w:cs="arial"/>
          <w:color w:val="000000"/>
          <w:sz w:val="20"/>
          <w:lang w:val="en-US" w:eastAsia="en-US" w:bidi="ar-SA"/>
        </w:rPr>
        <w:t xml:space="preserve"> (December 7, 1999), Vancouver C974521, (B.C.S.C.) at paragraph 22; and in Endean v. Canadian Red Cross Society et al., (June 22, 2000), Vancouver, C965349,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American texts and authorities cited by counsel, class counsel fees in the United States range from 15 percent to 50 percent with a presumptively reasonable rate of 30 percent being adjusted according to special circumstances. The requested 20 percent class counsel fee is consistent with several British Columbia decisions: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Campbell v. Flexwatt, (February 26, 1996), Victoria 95/2895 (B.C.S.C)., the court approved a graduated contingency fee agreement which stipulated a fee ranging from 10 percent to 33 percent of the recovery, depending on the time of settlement or judgment;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Harrington v. Dow Corning Corporation, et al., (February 16, 1999), Vancouver, C954330, (B.C.S.C.), a fee of 15 percent was approved on a $40 million settlement;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Brenner (as he then was) approved a 20 percent fee in Sawatzky v. Societe Chirurgical Instrumentarium Inc., (September 8, 1999), Vancouver C954740, (B.C.S.C.);</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30 percent fee was approved by Mr. Justice Williamson in Fisher v. Delgratia Mining Corporation, (December 7, 1999), Vancouver C974521,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Plaintiff's counsel are senior members of the bar who have extensive experience in personal injury litigation and class actions. The writ of summons was filed in January 2000. Plaintiff's counsel were aggressive in the prosecution of the action. Negotiations apparently commenced in earnest after the first case management conference in May 2000. A tentative agreement was reached on the eve of the certification hearing, which was scheduled to commence on November 27, 2000. I agree with Mr. Klein that this represents a very timely resolution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level of compensation that was achieved for class members appears also to be excellent. The amount represents litigation based recoveries without the expense and risk inherent in litigating the issues. The compensation levels are substantially higher than the defendant's initial settlement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degree of skill and effort of counsel for the representative plaintiff is evidenced by the result obtained for class members and the timeliness of the resolution. Most, if not all class members could not retain counsel to pursue these claims even on a contingency basis. The claims are relatively modest and would not have been economic to litigate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retainer agreement signed by the representative plaintiff provides for a contingency fee of 33 1/3 percent. The requested class counsel fee is lower than this amount. Palle Knudsen, the Guardian Ad Litem for the representative plaintiff has sworn an affidavit confirming that he considers the request of class counsel fee to be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requested levy of 1 percent for common benefit disbursements appears to be modest. Unlike the vast majority of class action settlements, the claims process is being handled entirely by class counsel and counsel for the defendant without the use of an outside claims administrator. Thus, no administration expenses will be deducted from class members'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cost of mediation and arbitration for category 3 and exceptional category 1 claims is being borne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To date, Mr. Klein's firm has been retained by 52 claimants and received enquiries from another 12 persons. Mr. Klein estimates that he may ultimately represent 80 class members. If the average individual claim recovered is $5,000, $400,000 would be recovered and his fee at 20 percent would be $80,000, and 1 percent for disbursements would be $4,000. If the average claim is at $10,000, the total recovery would be $800,000, counsel's fees would be $160,000 and $8,000 for disbursements. Counsel's estimate of future actual disbursements would be close to the $8,000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proposed 21 percent fee will not cover future legal work plus the administration of the claims; it covers the certification of this class action, negotiation, and effecting of settlement, the notice of class action benefits to potential claimants, and handling inquiries from them thereafter. Implementation of their respective claims would be subject to individual retainers at a discounted rate of 16 1/2 percent on the remaining 79 percent of their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expected that most claimants in Class I and Class II whose symptoms have resolved at the time of claim would be processing their own claims. Those who choose to retain Mr. Klein 's firm would ultimately pay 33.2 percent of their recovery in fees, in contrast to the "do-it-yourselfers" who would be required to pay 21 percent in class counsel fees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Viewed in this overall percentage perspective, I think the proposed class counsel fee is fair and reasonable and I would approve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Krist v. Bock, [2018] B.C.J. No. 495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6-9, November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M148375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495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Frederick Krist, Plaintiff, and Paul Daniel Bock,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5" w:name="Keywords_39"/>
      <w:bookmarkEnd w:id="305"/>
      <w:r>
        <w:rPr>
          <w:rFonts w:ascii="arial" w:eastAsia="arial" w:hAnsi="arial" w:cs="arial"/>
          <w:b/>
          <w:color w:val="000000"/>
          <w:sz w:val="20"/>
          <w:lang w:val="en-US" w:eastAsia="en-US" w:bidi="ar-SA"/>
        </w:rPr>
        <w:t xml:space="preserve">Transportation law — Motor vehicles and highway traffic — Rules of the road — Turns — Left turn at intersection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Krist for damages for injuries sustained in motor vehicle accident dismissed — Plaintiff was struck by oncoming vehicle driven by defendant as plaintiff made left turn — When defendant entered intersection, he was the dominant driver and plaintiff was servient driver — Defendant did not have opportunity to avoid collision — Plaintiff commenced left turn without regard to his statutory duty to yield to defendant whose vehicle posed immediate hazard.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6" w:name="Case Summary_34"/>
            <w:bookmarkEnd w:id="3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Krist for damages for injuries sustained in a motor vehicle accident. The plaintiff was at an intersection waiting to make a left turn. He claimed that he entered the intersection on a green light, but was unable to complete the turn until the light turned red because he faced a steady stream of traffic. As he started to turn left, an oncoming vehicle, driven by the defendant, struck him. The defendant claimed that as he approached the intersection, the light turned yellow and that he decided to proceed through the intersection because he was concerned that if he tried to stop he would skid into the intersection on the wet pavement. He received a warning from police for entering the intersection on a yellow light. The defendant denied liability and argued that if he was liable, the amount of damages claimed was excessive.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7" w:name="Holdings of Court_32"/>
            <w:bookmarkEnd w:id="30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defendant was aware of the plaintiff's vehicle in the left-hand turn lane when he faced the yellow light and continued into the intersection without reducing his speed, this did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was entitled to assume that the plaintiff would comply with the rules of the road and not commence a left turn when it was not safe to do so. The plaintiff proceeded to turn left when the defendant's vehicle was in the intersection or so close as to constitute an immediate hazard. There was no evidence that the plaintiff took care to determine if he could turn left safely. The plaintiff should have seen the defendant's vehicle and failed to do so. When the defendant entered the intersection, he was the dominant driver and the plaintiff was the servient driver. The defendant did not have a sufficient opportunity to avoid the collision. The plaintiff commenced his left turn without regard to his statutory duty to yield to the defendant whose vehicle posed an immediate hazard.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8" w:name="Legislation Cited_27"/>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49" w:history="1">
        <w:r>
          <w:rPr>
            <w:rFonts w:ascii="arial" w:eastAsia="arial" w:hAnsi="arial" w:cs="arial"/>
            <w:i/>
            <w:color w:val="0077CC"/>
            <w:sz w:val="20"/>
            <w:u w:val="single"/>
            <w:shd w:val="clear" w:color="auto" w:fill="FFFFFF"/>
            <w:lang w:val="en-US" w:eastAsia="en-US" w:bidi="ar-SA"/>
          </w:rPr>
          <w:t>R.S.B.C. 1996, c. 318, s. 128</w:t>
        </w:r>
      </w:hyperlink>
      <w:r>
        <w:rPr>
          <w:rFonts w:ascii="arial" w:eastAsia="arial" w:hAnsi="arial" w:cs="arial"/>
          <w:color w:val="000000"/>
          <w:sz w:val="20"/>
          <w:lang w:val="en-US" w:eastAsia="en-US" w:bidi="ar-SA"/>
        </w:rPr>
        <w:t>, s. 128(1),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9" w:name="Counsel_45"/>
      <w:bookmarkEnd w:id="3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F. Krist.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Cave.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45"/>
      <w:bookmarkEnd w:id="310"/>
      <w:r>
        <w:pict>
          <v:line id="_x0000_s1239"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1" w:name="T.W. BOWDEN J."/>
            <w:bookmarkEnd w:id="311"/>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Frederick Krist, claims damages for injuries received in an motor vehicle accident that occurred on December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denies liability and says that if he is liable, the amount of damages claimed by the plaintiff is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About 6:00 p.m. on December 26, 2012, the plaintiff's vehicle was facing north on 200th Street in Langley, British Columbia. The plaintiff was in the left turn lane at the intersection of 200th Street and Willoughby Avenue intending to turn left onto Willoughby 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Paul Bock, was travelling south on 200th Street in the through lane closest to the center line of 200th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was a dark and rainy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describe what happened next somewhat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says that while waiting to turn left, the advance green arrow turned solid green and he entered the intersection facing a steady stream of oncoming vehicles. The traffic light turned yellow and then red. He then started to turn left and noticed a vehicle in the center lane travelling towards him. The oncoming vehicle, driven by the defendant, struck the plaintiff's vehicle on the right side between the rear wheel and the bumper. The plaintiff surmised that the defendant's vehicle must have entered the center lane from the curb lane where other vehicles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testified that as his vehicle approached the intersection in the center lane he was travelling with the flow of traffic at about 60 k.p.h. He believed that to be the speed limit. There is no evidence that it was not. As he approached the intersection, he noticed a vehicle waiting to turn left. The traffic light then turned yellow. The defendant says that he decided to proceed through the intersection believing he could do so safely. He was concerned that if he tried to stop his vehicle would have skidded into the intersection on the wet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said that the plaintiff's vehicle then appeared in front of his vehicle, about 1/2 a car length away. He said he slammed on the brakes but could not avoid hitting the plaintiff's vehicle. The defendant was warned by the police for entering the intersection when the traffic light was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main difference between the evidence of the plaintiff and defendant is that the plaintiff suggests that the defendant must have driven into the center lane at the last minute so that the plaintiff did not have an opportunity to see him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the defendant and the front seat passenger in his vehicle testified that his vehicle had travelled for a long distance in the center lane of 200th Street and that the defendant did not change into the center lane from the curb lane just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accept the defendant's version of events and find that he was travelling in the center lane for a number of blocks before entering the intersection of 200th Street and Willoughby Avenue and did not change from the curb lane into the center lane just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provides some guidance regarding the duty of care of a driver facing a yellow light and a driver making a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Section 128(1)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of if there is no marked cross 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174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174 was considered by our Court of Appeal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(1993) CanLII 383 (BCCA) at paras. 276-278 and referred to by this court in </w:t>
      </w:r>
      <w:r>
        <w:rPr>
          <w:rFonts w:ascii="arial" w:eastAsia="arial" w:hAnsi="arial" w:cs="arial"/>
          <w:i/>
          <w:color w:val="000000"/>
          <w:sz w:val="20"/>
          <w:lang w:val="en-US" w:eastAsia="en-US" w:bidi="ar-SA"/>
        </w:rPr>
        <w:t>Kharitonov v. Coupland</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1997 CanLII 1313</w:t>
        </w:r>
      </w:hyperlink>
      <w:r>
        <w:rPr>
          <w:rFonts w:ascii="arial" w:eastAsia="arial" w:hAnsi="arial" w:cs="arial"/>
          <w:color w:val="000000"/>
          <w:sz w:val="20"/>
          <w:lang w:val="en-US" w:eastAsia="en-US" w:bidi="ar-SA"/>
        </w:rPr>
        <w:t xml:space="preserve"> (BCSC) at paras. 27-30:</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interpretation of s. 174 [formerly s. 176] was the subject of comment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(1993), </w:t>
      </w:r>
      <w:hyperlink r:id="rId354" w:history="1">
        <w:r>
          <w:rPr>
            <w:rFonts w:ascii="arial" w:eastAsia="arial" w:hAnsi="arial" w:cs="arial"/>
            <w:i/>
            <w:color w:val="0077CC"/>
            <w:sz w:val="20"/>
            <w:u w:val="single"/>
            <w:shd w:val="clear" w:color="auto" w:fill="FFFFFF"/>
            <w:lang w:val="en-US" w:eastAsia="en-US" w:bidi="ar-SA"/>
          </w:rPr>
          <w:t>1993 CanLII 383</w:t>
        </w:r>
      </w:hyperlink>
      <w:r>
        <w:rPr>
          <w:rFonts w:ascii="arial" w:eastAsia="arial" w:hAnsi="arial" w:cs="arial"/>
          <w:color w:val="000000"/>
          <w:sz w:val="20"/>
          <w:lang w:val="en-US" w:eastAsia="en-US" w:bidi="ar-SA"/>
        </w:rPr>
        <w:t xml:space="preserve"> (BC CA), </w:t>
      </w:r>
      <w:hyperlink r:id="rId354" w:history="1">
        <w:r>
          <w:rPr>
            <w:rFonts w:ascii="arial" w:eastAsia="arial" w:hAnsi="arial" w:cs="arial"/>
            <w:i/>
            <w:color w:val="0077CC"/>
            <w:sz w:val="20"/>
            <w:u w:val="single"/>
            <w:shd w:val="clear" w:color="auto" w:fill="FFFFFF"/>
            <w:lang w:val="en-US" w:eastAsia="en-US" w:bidi="ar-SA"/>
          </w:rPr>
          <w:t>75 B.C.L.R. (2d) 273</w:t>
        </w:r>
      </w:hyperlink>
      <w:r>
        <w:rPr>
          <w:rFonts w:ascii="arial" w:eastAsia="arial" w:hAnsi="arial" w:cs="arial"/>
          <w:color w:val="000000"/>
          <w:sz w:val="20"/>
          <w:lang w:val="en-US" w:eastAsia="en-US" w:bidi="ar-SA"/>
        </w:rPr>
        <w:t xml:space="preserve"> (C.A.) at 276-78: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defendant who wishes to make a left hand turn in an intersection has an obligation to yield to oncoming traffic which is in the intersection under the provision of s. 176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bound to guard against every conceivable eventuality but only against such eventualities as a reasonable person ought to have foreseen as being within the ordinary range of human experience. The plaintiff was entitled to proceed on the assumption that all other vehicles will do what it is their duty to do, namely observe the rules regulating traffic.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 cent at fault for a collision which occurs.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skillful driver would have availed himself. In such circumstance any doubt should be resolved in favour of the dominant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There is a primary duty on the servient driver, the left turning driver, to ensure the way is clear prior to executing a left turn. Where an approaching vehicle is an immediate hazard the servient driver must yield in favour of that vehicle. The onus placed on the left-turning driver is not absolute however. In </w:t>
      </w:r>
      <w:r>
        <w:rPr>
          <w:rFonts w:ascii="arial" w:eastAsia="arial" w:hAnsi="arial" w:cs="arial"/>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[1994] B.C.J. No. 996</w:t>
        </w:r>
      </w:hyperlink>
      <w:r>
        <w:rPr>
          <w:rFonts w:ascii="arial" w:eastAsia="arial" w:hAnsi="arial" w:cs="arial"/>
          <w:color w:val="000000"/>
          <w:sz w:val="20"/>
          <w:lang w:val="en-US" w:eastAsia="en-US" w:bidi="ar-SA"/>
        </w:rPr>
        <w:t>, (19 April 1994) Vancouver CA016390 (C.A.) the court stated (p.8, B.C.J.):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driver is entitled...to assume that others will obey the rules of the road, and until the contrary becomes apparent to rely on that assumption in deciding whether or not an oncoming vehicle constitutes an "immediate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When a vehicle is considered an immediate hazard was the subject of discussion by Tysoe, J.A.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at 410: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 [176].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relevant time to assess whether a [sic] approaching vehicle is an immediate hazard was considered at 413 of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respectful opinion that the evidence I have related fully supports the finding of the learned trial judge that, when the male appellant made his left turn, the respondent's car was so close to the intersection as to constitute an immediate hazard, and so the male appellant ought to have yielded the right of way. With deference, it appears to me that the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at which the question of immediate hazard and right of way arises is the moment before the driver who proposes to make a left turn actually commences to make it and not some earlier time. In my view the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in this case was not when the male appellant was stopped at the traffic light and made a left-turn signal, but the moment before he started up from his second stop. I consider that up to that moment the actions of such appellant were merely preparatory to the making of a left turn. In this regard he was following common practice on the part of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was aware of the plaintiff's vehicle in the left-hand turn lane when he faced the yellow light and continued into the intersection without reducing his speed because of his concern that his vehicle would skid into the intersection. The fact that the defendant had noticed the plaintiff's vehicle in the left turn lane before he initiated a left turn and did not reduce the speed of his vehicle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presence of the plaintiff's vehicle in the left turn lane did not cast a duty on the defendant to take extra care and he was entitled to presume that the plaintiff would not initiate a turn until his vehicle was through the intersection. The defendant was entitled to assume that the plaintiff would comply with the rules of the road and not commence a left turn until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acknowledge that the defendant was warned by the police for entering the intersection in the face of a yellow light however I have accepted his evidence that because of the wet pavement, he could not have stopped safely and thus complied with s. 128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the plaintiff proceeded to turn left when the defendant's vehicle was in the intersection or so close as to constitute an immediate hazard. The evidence does not indicate that the plaintiff took any care to determine if a left turn could be made safely. I do not accept the plaintiff's evidence that he commenced his left turn when the traffic light was red. I accept the defendant's evidence that the light had turned yellow when he entered the intersection and at that point in time the plaintiff had initiated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examination for discovery the plaintiff said that he did not see the defendant's vehicle until it was 20 feet away. I do not accept his explanation that the defendant's vehicle was in the curb lane and changed into the center lane just before the accident occurred. He did not see the defendant's vehicle make such a lane change and just surmised that was what he had done. The plaintiff did not mention this suggested lane change by the defendant in his statement to ICBC on January 3, 2013 nor in his examination for discovery on January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the plaintiff should have seen the defendant's vehicle as it was entering the intersection but failed to do so. I reject his explanation that the defendant's vehicle had come from the curb lane into the center lane just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accept the defendant's evidence that when the traffic light turned yellow in the rainy conditions he could not stop safely without sliding in the intersection. He gave his evidence in a straight-forward and honest manner. There is no contradictory evidence. Accordingly, the defendant met the standard of care provided in s. 128(1)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when the defendant entered the intersection he was the dominant driver and the plaintiff was in the servient position. I find that when the defendant driver entered the intersection, he did not have a sufficient opportunity to avoid the collision with the plaintiff's vehicle after the plaintiff had initiated a left turn disregarding his statutory duty to yield to the defendant whose vehicle posed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is not liable to the plaintiff and the claim is dismissed with costs to the defendant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Lindberg v. Siu, [2006] B.C.J. No. 2050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17 - 21, 24 - 26 and 28,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14, 2005; and February 10,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S81802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628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Esther L. Lindberg, Plaintiff, and Shi Yuk Peter Siu,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2" w:name="Keywords_40"/>
      <w:bookmarkEnd w:id="312"/>
      <w:r>
        <w:rPr>
          <w:rFonts w:ascii="arial" w:eastAsia="arial" w:hAnsi="arial" w:cs="arial"/>
          <w:b/>
          <w:color w:val="000000"/>
          <w:sz w:val="20"/>
          <w:lang w:val="en-US" w:eastAsia="en-US" w:bidi="ar-SA"/>
        </w:rPr>
        <w:t>Damages — General damages — For personal injuries — Considerations — Non-pecuniary damages, including pain and suffering — Action by the plaintiff against the defendant for damages for injuries sustained in a motor vehicle accident allowed in part — Plaintiff sustained mild soft tissue injuries and was awarded general damages of $15,000 — She was 50 per cent liable for the accident and damages were reduced by this amount.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Limits on compensatory damages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against the defendant for damages for injuries sustained in a motor vehicle accident allowed in part — Plaintiff sustained mild soft tissue injuries and was awarded general damages of $15,000 — She was 50 per cent liable for the accident and damages were reduced by this amount.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Action by the plaintiff against the defendant for damages for injuries sustained in a motor vehicle accident allowed in part — Plaintiff sustained mild soft tissue injuries and was awarded general damages of $15,000 — She was 50 per cent liable for the accident and damages were reduced by this amount.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Stopping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the plaintiff against the defendant for damages for injuries sustained in a motor vehicle accident allowed in part — Plaintiff and defendant were equally liable for the accident — Plaintiff was negligent because she failed to keep a proper lookout and made her turn too slowly — Defendant was negligent because he took his eye off the plaintiff's vehicle while it made its turn.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against the defendant for damages for injuries sustained in a motor vehicle accident allowed in part — Plaintiff and defendant were equally liable for the accident — Plaintiff was negligent because she failed to keep a proper lookout and made her turn too slowly — Defendant was negligent because he took his eye off the plaintiff's vehicle while it made its turn.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3" w:name="Case Summary_35"/>
            <w:bookmarkEnd w:id="3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Lindberg against the defendant Siu for damages for injuries sustained in a motor vehicle accident -- Lindberg drove a bus -- Bus made a left turn and collided with a car that was driven by Siu -- Siu denied liability and claimed that if he was liable, the injuries claimed by Lindberg were not caused by the collision -- Lindberg claimed her left elbow, jaw, voice box, wrists, hands and legs were injured in the accident -- She also claimed to suffer long term chronic pain in her head and neck from the collision -- HELD: Action allowed in part -- Lindberg made her turn when the light was flashing green -- She had 13.5 seconds to make the turn before the light would turn green for oncoming traffic -- Lindberg made the turn very slowly and was in the middle of the turn when the light changed -- At the time Lindberg made the decision to proceed forward the intersection was safe and she had the right of way -- That changed in the course of a very slow turn -- Siu assumed that the bus would stop because it was going so slowly and he took his eye off the bus to look for traffic that might be coming from his right after he went through the intersection -- Siu did not proceed at an excessive speed -- He was negligent because he took his eye off the bus which was still making its turn -- Once the light changed Lindberg was obliged to stop for oncoming traffic when the light changed -- She was negligent because she failed to keep a proper lookout and she also failed to make the turn with due speed -- Liability was apportioned equally -- Lindberg sustained mild soft tissue injuries and her anxiety state was affected -- Regarding her injuries there was little hard medical evidence to support her various ongoing complaints and ailments -- Court would not rely on the opinion of her family physician because he concluded that Lindberg was permanently unemployable before she obtained the position as a bus driver -- Lindberg provided no evidence as to her work history or capacity or her current abilities -- Lindberg's injuries should have largely dissipated after six to eight weeks -- She did not provide evidence why she was unable to retain her employment or to seek employment elsewhere long after the injuries that she sustained in the accident were resolved -- Court could not find any causal connection between the accident and her loss of employment -- Lindberg was awarded general damages of $15,000 but they were reduced by 50 per cent because of the apportionment of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4" w:name="Legislation Cited_28"/>
      <w:bookmarkEnd w:id="3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958" w:history="1">
        <w:r>
          <w:rPr>
            <w:rFonts w:ascii="arial" w:eastAsia="arial" w:hAnsi="arial" w:cs="arial"/>
            <w:i/>
            <w:color w:val="0077CC"/>
            <w:sz w:val="20"/>
            <w:u w:val="single"/>
            <w:shd w:val="clear" w:color="auto" w:fill="FFFFFF"/>
            <w:lang w:val="en-US" w:eastAsia="en-US" w:bidi="ar-SA"/>
          </w:rPr>
          <w:t>R.S.B.C. 1996, c. 318, s. 174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5" w:name="Counsel_46"/>
      <w:bookmarkEnd w:id="3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her own behalf: Esther L. Lindberg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Susan K. McLeod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6" w:name="Judgment_46"/>
      <w:bookmarkEnd w:id="316"/>
      <w:r>
        <w:pict>
          <v:line id="_x0000_s1244"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7" w:name="CRAWFORD J."/>
            <w:bookmarkEnd w:id="317"/>
            <w:r>
              <w:rPr>
                <w:rFonts w:ascii="arial" w:eastAsia="arial" w:hAnsi="arial" w:cs="arial"/>
                <w:b/>
                <w:color w:val="000000"/>
                <w:sz w:val="30"/>
                <w:lang w:val="en-US" w:eastAsia="en-US" w:bidi="ar-SA"/>
              </w:rPr>
              <w:t>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May 20, 2000, Ms. Lindberg was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in daylight about 7:45 p.m. Ms. Lindberg was driving a charter bus eastbound on Southwest Marine Drive, in the City of Vancouver. In the course of making a left turn north on to Cambie Street, the bus collided with a red Hyundai Pony going westbound on Marine Drive and driven by Mr. Siu. The intersection was controlled by traffic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Lindberg seeks damages for personal injuries she alleges she sustained in the collision. The defendant denies liability for the accident and says that if he is liable, the injuries claimed by Ms. Lindberg were not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Lindberg had retained two lawyers prior to the trial, but appeared at trial without counsel and represented herself. During the trial she claimed to have lost various documents, and her presentation of the documents she did possess was affected by her lack of organization. There were also problems regarding disclosure, witnesses, and the overall presentation of her case. In the words of her rheumatologist, Dr. Shuckett, Ms. Lindberg is a "tangential historian" who has difficulty focusing on the salient matters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principal legal issues to be determined are:</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collision;</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if any, were sustained by Ms. Lindberg as a result of the collision; and</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injury was caused, what is the appropriate award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Lindberg passed various tests and training during her employment with the charter bus line and had been driving daily for almost a week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evening of May 20, 2000, Ms. Lindberg picked up a tour party from England at the Vancouver airport in order to transport them to a hotel in Vancouver. Ms. Lindberg drove the bus from the airport, over the Arthur Laing Bridge and proceeded eastbound on Southwest Marine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intersection of Southwest Marine Drive and Cambie Street, the eastbound left lane turns north to Cambie Street, the second lane allows a choice to turn north or to continue eastbound, and the third lane and fourth lanes continue eastbound.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westbound traffic on Southwest Marine Drive also has four lanes, a left turn lane, and three through lanes. The curb lane allows a right turn north on to Cambie Street and is protected by a small traffic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the eastbound traffic on Marine Drive, there are two traffic lights, one located above the middle eastbound lane, and the other on the small traffic island in the northeast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Evidence given by Mr. Cockburn from the Vancouver City Engineering Department confirmed the location of the traffic lights. For traffic turning left (or north) from the eastbound Marine Drive traffic, a flashing green arrow shows for eight seconds, then a flashing yellow arrow for four seconds, then a one-and-a-half second delay before a green light shows, allowing westbound traffic to proceed. In sum, 13.5 seconds would elapse permitting a free left-hand turn from the southwest Marine Drive onto Cambie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LINDBERG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Lindberg said she drove the bus into the right-hand left turn lane and stopped for a red light. She said cars stopped to her left, waiting to turn north on to Cambie street. When the green light came on she started to make the turn slowly and she made a wide turn. She looked north while in mid-turn and the green arrow was still on. She said she shifted the bus into second gear while looking up Cambie. Mr. Tony Morse, the English tour party operator, was standing in the aisle near Ms. Lindberg. He yelled: "Car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Lindberg then saw a little car coming from the east. She put the bus brakes on. The bus was still on an angle but close to the crosswalk on the east side of the intersection, and almost stopped while crossing the third lane westbound. The small car did not slow and drove straight into the bus front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said she braced herself. She was concerned that because the bus was on an angle it could tip over. She said her feet were pushed down, her legs straight, her right hand on the gear shift and the other hand on the wheel. At impact she said she was shaken back and forth on an angle and her body was rigid.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said the small car went east of the bus and turned parallel with the bus, facing roughly north and stopped near the bus back door. Ms. Lindberg looked up Cambie Street and saw the traffic that had been beside her at the stop sign was now going through an intersection some two blocks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Then Ms. Lindberg said she looked over her left shoulder and out of the side window and saw a little white car come over the hill (there is an incline some distance to the west of the intersection) with three defence witnesses. She said the car stopped at the stop line for the left-hand turn line and then drove up Cambie, two girls were looking at her, that they then saw the other car and stopped the vehicle and ran back to the little red car that had been in the collision with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Lindberg said the two girls went to the red car. Ms. Lindberg opened her bus door and stepped down. She said the girls spoke to the driver of the red car. Ms. Lindberg was some five to ten feet away, and the car driver spoke over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Lindberg said the "Mexican girl" had her back to her and she stopped talking, and the car driver put his head on his car wheel. Ms. Lindberg identified the "Mexican girl" as Joanna Ledesma, a defence witness. Ms. Lindberg borrowed her cell phone and called 9-1-1 and then the bus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Soon after the fire department sent a rescue vehicle and an ambulance came. In the interim Ms. Lindberg got back on the bus and asked if anyone was a witness. Ms. Lindberg said that Ms. Ledesma went and moved the white car to a strip mall on the northwest corner and that before that Ms. Ledesma stepped up on to the bus and "yelled" at Ms. Lindberg to move the bus so the traffic behind could move through the intersection. Ms. Lindberg said she moved the bus forward one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Lindberg said the fire truck and ambulance came down Cambie and parked east of the red car. Then a policeman arrived. The bus line sent another bus and Ms. Lindberg then moved her bus to the side of the strip mall and helped the passengers move their bags to the new bus. After Ms. Lindberg had spoken with the attending policeman, she drove the bus back to the bus depot. Ms. Lindberg said that although she was shaken up and crying, she completed the paperwork and then drove home to Fleetwood at 12:30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cross-examination, Ms. Lindberg said that she had no difficulty driving her bus that day prior to the accident. She confirmed the description of the accident scene save that as to the traffic lights. (She was sure the ground level light was located at the centre median on Marine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respect to oncoming traffic going westbound, she recalled some traffic further east on the curve of Marine Drive. With respect to traffic turning beside her, she recalled some vehicles. She began to accelerate the bus when the light changed from red to green. Oncoming cars westbound were at the curve on the road and she said Mr. Siu was not to be seen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Lindberg said she initially watched the overhead control light, and then looked again at the control light on the median. She said as she passed the light at the median the oncoming cars were still a long way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Lindberg said Mr. Morse was standing slightly behind her on the white line in the aisle. He yelled. She said she was looking up Cambie Street and the red car was not in her view. She did not know where it had come from. She said Mr. Moore yelled "stop", she braked and saw the red car right away, and came to a stop. She said she did not honk a warning as it was daylight and Mr. Siu could see her. She said she stopped in time for Mr. Siu to drive around the bus. She said she brought the bus to a halt in the middle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Lindberg testified that she had just put the bus into second gear and was travelling very slowly at this point. She stated that there were no vehicles between the bus and the red car. She said the red car was at a lane behind the strip mall when she first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Lindberg agreed she did not see the red car until Mr. Morse yelled "There's a car coming, stop". She placed her first view of the red car as the bus was crossing the path of the westbound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Lindberg denied the white car driven by the three defence witnesses stopped beside her bus and said that the white car was moved before the police officer came.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Lindberg was asked if she told her doctors the speed of Mr. Siu's motor vehicle and she acknowledged she could have but she could not remember. She acknowledged it was likely she had made a point to clarify Mr. Siu's car was going at one hundred kilometres per hour in her correspondence with the doctors. She said she did so as the doctors would have no doubt about the impact, that it was a high-speed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provided an incident report for the bus company but she said she was in great pain at the time and the manager was yelling at her, that she was not specific, that she had given other statements since, and she didn't realize there were discrepancies.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suggested she had indicated the bus was rolling at impact, and she said no, though possibly her foot had slipped off the brake. When asked to agree she had written "I was unable to stop, I was slightly rolling when the little red car hit me", she indicated she was bullied by the manager yelling at her. She stated: "There is a heart memory that is more reliable than a mind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Lindberg said she got out of the bus and went over to Mr. Siu but did not talk to him as he was talking to another girl in a foreign language, and was later taken away in an ambulance. She said the "Mexican" girls looked annoyed and she asked Ms. Ledesma for her telephone to call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Lindberg agreed she had worn her seat belt, she had no difficulty getting out of the bus and walking around and that she got a cell phone to call emergency services and the bus company. She was able to move her bus forward which she did to let the traffic flow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told the attending police officer she was injured, that she had banged her knee on the steering column and her left elbow broke some plastic on the bus interior.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OFFICER SCHWEENEKER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Officer Schweeneker was on duty near the P.N.E. in northeast Vancouver and drove to the accident scene. By the time he got there, the bus was located north of the intersection and the red Hyundai was in the curb lane at the northeast corner. The officer spoke to the witnesses and Ms. Lindberg, timed the light sequences, made a note of the debris field and went to the hospital and then to his office to complete the necessary reports. With respect to the red car, he said he saw it located in the slow lane on Marine Drive but rotated to the north. He said the debris field was in the second lane westbound on Marine Drive. It had just started raining when he got to the scene of the collision. His timing of the light sequence was eight seconds green, four-to-five seconds flashing, providing some 13 seconds total for the free left turn, and then followed by green signal both ways on Marine Drive. In cross-examination he confirmed the speed limit for the area was 50 km.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CLAUDIA 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Lo is 24. At the time of the accident, she was residing in Richmond. She was driving her parents' car. She had picked up two friends and they were going into Vancouver. She drove over the Arthur Laing Bridge and along Southwest Marine Drive. As she approached the Cambie Street intersection, she moved into the left turn lane and near the stop line saw an oncoming red car. She said the overhead traffic light was solid green. She said she slowed and came to a stop beside the bus. She heard the bus brakes "let go" and the two vehicles hit. She drove forward and stopped out of the way of the traffic in the northbound lane on Cambie, got out of her car and went to check on the driver. She did not see any other vehicles between the bus and the red car. She approached the driver of the red car and asked if he was all right and he said he could not move. She spoke to him in English. She said her friend called 9-1-1, and when the firemen came, she and her friends left their names and telephone numbers with the firemen.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Lo said when she first saw the red car, it was entering the intersection but she could not say how long it was before she saw it, nor could she estimate its speed, or say in which lane it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cross-examination, Mrs. Lo said: she did not know if she stopped at the intersection line; she did not see any cars in front of her or ahead of her on Cambie Street; and she did not remember if any cars were behind her. She said she approached the intersection slowly, that she waited, that the bus and car collided, and she then drove forward and stopped out of the intersection. She said she stopped when she saw the red car coming. When the red car was close to entering the intersection, the bus proceeded on and hit the car. She agreed she did not see the impact as she was then behind the front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PETER SIU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Siu, age 57, is an aircraft engineer. He has driven the same route from his house in South Vancouver along Southwest Marine Drive to the airport since 1979. He was driving his red Hyundai Pony on his way to work at the time of the accident. He left home at approximately 7.30 p.m. to begin work at 8.30 p.m. and estimated he took about five minutes to get to the airport from the Cambie Street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he approached the intersection he was driving in the second lane from the curb. He could see the intersection control lights, one on the right-hand side on the curb and one overhead. He recalled there was a light rain. He said as he approached the intersection he had a green light, he saw a red car stopped in the oncoming turn lane, and a tourist bus beside it. He did not see any traffic turning north nor did he see any traffic ahead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Seeing the green light on, the stopped car, and the bus moving slowly, he thought the bus was stopping and so he kept going. He looked to the right for traffic coming off Cambie Street area and looked back to see the bus in front of him. He tried to stop but there was "no hope" and the left front corner of his car hit the front bumper of the bus. He said the collision occurred in the number two lane, adjacent to the curb lane. Asked the distance between the bus and his car as the bus came into the westbound lanes, he said at least two bus lengths. He could not say what speed he was going though his habit was to drive close to the limit. He said he didn't try to move left or right as there was no distance between his car and the bus. He said the bus was still driving at impact and continued up on Cambie Street and the car swung to face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was aware of traffic behind him but could not say in which lanes. He was not able to get out of the car because he was hurt. He recalled a young lady speaking to him and asking how he was doing. He knew a lady called 9-1-1 and the ambulance came quickly and he was taken to hospital. He stated that his car was a "write-off" as a result of the accident. He lost one night of work. A week later he attended the scene and took pictures of the intersection at about 6:30 p.m. (Exhibit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cross- examination Mr. Siu could not recall other traffic being with him as he drove westbound along Marine Drive. He agreed he was the first vehicle in his lane at the accident site. He acknowledged he drives the road and route so often he does not recall details of the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confirmed seeing a red car come to a stop on the right-hand side of the tourist bus. He said the tour bus never stopped but kept moving slowly, that he first saw the bus as it was moving into the intersection, he indicated the red car was at the side of the bus near the stop line, and that the bus was located in mid-turn but not past the centre meridian. He thought his location was near the parked cars in Exhibit 9 (a diagram of the accident site). He said the reason he decided to drive through the intersection was because the red car stopped and he had a green light but he could not pinpoint his location as he made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agreed the bus was going very slowly, not speeding at all, and he was driving within the speed limit. When asked why he did not try to avoid the collision, he said as he passed the crosswalk on Marine Drive he was looking right for southbound traffic on Cambie.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was referred to his statement of May 24, 2000, and agreed that he looked right at the crosswalk, that the bus did not stop and the car collided with the bus. He agreed the left front/centre of the car hit the centre of the front bumper of the bus. He agreed at impact he could not see the oncoming red car. He said his car came to a stop facing north and in the intersection but the bus kept going uphill and the side mirror was broken off by the bus. He saw the car's side mirror fly off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Siu said he did not see where the girls came from, but that they came to the side of his car. He did not see their car. He did not see the red car leave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Siu took his driving exam in 1973. He was aware of the need to keep a lookout, and said he was not concerned about the bus when he looked right for the southbound traffic on Cambie as he was convinced it was safe to proceed because the white car had stopped. He agreed the bus was not going fast. He agreed he was not aware the bus was going forward, and his impression was he had a green light, the red car had stopped, and the bus motion indicated to him it was stopping but that impression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MELANIE TRINIDAD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Trinidad, age 24, is a nurse at St. Paul's Hospital. She was back seat passenger in Ms. Lo's car, a white Hyundai. She and her friends were going to the Plaza of Nations in Vancouver. She was familiar with the intersection. She said their car came up on the inside left-turn lane beside the bus, that the cars in front of them cleared the intersection on a blinking arrow, the blinking arrow was not blinking when their car got to the intersection and their car stopped. She said there was oncoming traffic but the bus kept going until it hit Mr. Siu's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Lo drove forward then stopped, Ms. Lo and Ms. Ledesma got out and went back to Mr. Siu's car, and Ms. Trinidad got in the driver's seat and moved the car further up Cambie so traffic could go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said she first saw Mr. Siu's car when it started to move forward and was picking up speed. She said it was going slowly. She was unable to say which lane Mr. Siu was in. She gave her contact information to Ms. Lindberg.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she said their car stopped when the light was solid green and the westbound traffic was starting to move and the bus kept going in spite of the oncoming westbound traffic. She said the westbound traffic started to move after Miss Lo stopped. She could not remember how much traffic was westbound.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agreed the bus was to the right of their car and entered the intersection ahead of the car to the middle of the intersection but she was still able to see Mr. Siu's car. She said Mr. Siu was first in the line of traffic. She could not see the collision of the two vehicles but saw Mr. Siu's vehicle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Trinidad said the bus stopped in the middle of the second westbound lane and she saw Mr. Siu's car beside the bus after she had moved Ms. Lo's car up Cambie Street. She moved the car from beside the centre island on Cambie to the side of the blue building on the corner. She said they stopped because of their concern for the persons in the accident. She and her friends have known each other for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JOANNA LEDESMA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Ledesma, age 24, is a project manager with the Ministry of Health. She was the front seat passenger in Ms. Lo's car. As their car was slowing at the intersection she saw the bus on the right-hand side of their vehicle and she saw westbound oncoming traffic at that time. She observed a small red car coming west in the right lane of the two through lanes. She could not estimate its speed, save that it was not going "too fast". She said as Ms. Lo's car approached the intersection and slowed to turn north, she noticed the bus brakes "let go" and the bus continued on until it hit the other vehicle. She said that eastbound traffic had a solid green light. She did not see the bus stop before the intersection. She said she tried to yell, and that the bus was moving at the time of impact. She said Miss Lo stopped and Ms. Lo and she went to Mr. Siu's car while Miss Trinidad moved the car. She had never met Mr. Siu nor spoken to him since. She did not speak to Ms. Lindberg.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cross-examination Ms. Ledesma said as their car approached the intersection she could see the bus and the control light arrow allowing left turns. Shortly thereafter, she saw the light blinking green, and the car she was in slowed but the bus kept going. She heard the brakes let go, that she was not focused on the light but she knew there was oncoming traffic. She said she saw westbound cars approaching the intersection and she said those cars were past the start of the left-hand turn lane on Southwest Marine Drive. She said the bus was not blocking her view as they were still approaching the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She did not recall asking the bus driver to move the bus, that she ran to Mr. Siu's car, but she did remember Ms. Lindberg moving the bus up Cambie Street. She did step into the bus to ask if the passengers were okay. Her recollection was the Mr. Siu's car was facing west after the collision. She did notice the damage to Mr. Siu's car but "not much" to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MARK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Bailey is a professional engineer who provided an expert opinion on accident reconstruction by written report dated June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His report noted the mass of the bus was 12,870 kilograms plus 24 occupants, in total 17,016 kilograms.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mass of the 1987 Hyundai Pony was 980 kilograms plus 1 male weighing 78 kilograms. His opinion was premised on investigations he had made including consideration of the damage to the two vehicles. He provided a scale drawing of the intersection at Southwest Marine Drive and Cambie Street, which shows the longer distance the charter bus would have to travel to make its turn up Cambie Street compared to the vehicles beside it in the left turn lane. He noted there was relatively little damage to the bus which was limited to the front end bumper being bent back in the middle, and the left side of the bumper curved. There was also some minor damage to the panel behind the bumper. The Hyundai Pony left fender was buckled and the bumper and radiator were crushed inward. The left tire was pushed back, and there was a minor buckle on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results of his analysis using conservative calculations showed speed changes for the Hyundai from 32 to 39 kilometres, while the speed change for the Vancouver Tours bus was 2.3 to 2.8 kilometres.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noted the bus mass was 14 times heavier than the mass of the Hyundai Pony, thus the large difference in speed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also provided an opinion regarding the ability of the bus to clear the intersection given the flashing green arrow and amber phases of the light using minimum acceleration abilities for large trucks. He stated the tour bus would have required 13.2 seconds to clear the westbound inside lane and would have been travelling at 32 kilometres per hour by the time it was clear of the westbound fast lane. If the rate of acceleration was less than that, the bus would not have been able to clear the westbound fast lane when the signal turned green for westbound traffic. It is to be noted that the bus was in the outside turn lane and therefore had a greater distance to go to clear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cross-examination, he was asked a lengthy question which presumed the bus started on the flashing green light and got into second gear, that a car came from the East, the bus braked, and stopped mid-lane for a car coming at 100 kilometres per hour. He answered then that the speed change that would be calculable would be approximately 100 kilometres and that the Hyundai would "unrecognizable" as it would be completely disintegrated and strewn into pieces around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Asked the effect of the Hyundai colliding with the front of the bus and its effect on the driver, he said the effect on all persons on the bus would be the same, that they would all feel the seat move out from under them at some two-to-three kilometres and that there might be some friction on their pants, and they would stay seated. It would be similar to a vehicle stopping while going at three kilometres per hour and coming to a sudden stop. Asked if there was any effect on the driver, he said only if the seats were different otherwise the motion on every seat was the same. In his opinion there would be little if any impact felt inside the bus as the bumper was pushed back and no force would directly go into the interior of the bus. In his view the effect on the bus occupants would be small as such a small speed change would be exhausted with little effect on the bus passengers. If the Hyundai had been going at 100 kilometres an hour there would be a bigger speed change on the bus, equivalent to six or seven kilometres.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put the Hyundai vehicle speed at somewhere between 20 and 40 kilometres per hour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ROBERT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Murray was on the bus at the time of the accident. He works in the United Kingdom Ministry of Defence and was part of a tourist group on the bus. He had come to Canada to play in the World Veterans' Table Tennis Championship. He recalled boarding the bus sometime in the evening after 7:15 p.m., he recalled the bus stopping at the intersection of the accident for the red light, and being in the right hand of the two left hand lanes. He recalled the light flashing green and the bus making its turn. He said the bus proceeded to turn left across three lanes and into the north bound lane. He did not recall seeing any traffic left of him. He recalled the light was flashing green when the bus started forward, that he saw oncoming traffic which he put at some distance, perhaps 50 yards. He then looked out his window and heard Mr. Morse shout "Stop" very loudly and turned from the side window to look out the front window and saw a car coming into the bus. At that time he could see the traffic lights through the front window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Asked the position of the oncoming car he said he did not see it from a long way back, only at the time when Mr. Morse shouted stop. The bus driver slammed the brake on and he was able to glimpse the red car through the front window of the bus. He could not see if any westbound traffic was stopped. He said the bus was covering the three oncoming lanes with its bulk. At the point of impact he felt that the bus was already across the three lanes. He felt the bus at impact was not quite stopped, it was moving slowly as the brakes had been slammed on. He went with friends over to the side. He recalled looking at the damage to the car and the bus but did not recall what happened to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the replacement vehicle came, he helped with the 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recalled that it started to rain while they waited for the replacement bus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recalled the bus took a while to start when the light turned green. He agreed he was sitting on the left hand side of bus and that he was not paying particular attention to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he did not recall having any difficulties seeing over the seat backs. He agreed Mr. Morse was standing in the aisle in the front of the bus and that there were two seats on either side of him and that the aisle was narrow. It was suggested that he would have difficulty seeing through to the front of the bus if Mr. Morse was standing in the front aisle. He disagreed and said he had a good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agreed that he was five seats behind the driver on the left side of the bus and had been looking out the left side window as the bus approached the intersection. He was not aware of cars to the left of the bus. He could not recall any cars going through the intersection ahead of the bus, nor a white car stopped beside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agreed he didn't notice oncoming traffic as they approached the intersection and his comment regarding stopped traffic related to the vehicles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recalled a traffic light being to his left and one facing him through the front window of the bus and he felt the one in front was on the centre lane rather than being overhead. He agreed given the configuration of the bus that as the bus turned left his view would change and he would no longer see the control light out of the left window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reiterated that he saw a flashing light as the bus made its turn and then he had a different view looking forward at the time of Mr. Morse's shout.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said he was able to see the oncoming red car just before its impact but he had no idea of its speed. Nor was he aware of the light sequencing at the time of impact. He agreed that he would describe the bus movement as very slow. He denied doing more than meeting Ms. Lindberg at the hotel after the accident and he thought Mr. Morse was more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TONY 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Tony Morse, age 58 years old, was the tour group organizer riding. He had some prior experience as a bus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His recollection was that it was dark and rainy at the time of the accident. He felt that the bus was driven safely to the site of the accident. He recalled the bus stopping for the red light. At that stage he was standing behind the white line and was giving instructions to the tour party. He was holding the rail and saw the light go green and then he saw a car come through the intersection "pretty fast" and not stop. He recalled a solid green light being in effect at the time which he could see through the front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recalled the bus turning, the car coming across, and the whole event happening in seconds. He placed the location of the bus at the time he shouted out as being past the centre median but he could not say in which lane the collision occurred. When asked if the bus was closer to the centre median or the other side of the road he said the centre median. He said the distance of the car from the intersection when he first saw it was perhaps 100 yards. He said it was hard to say what speed the car was going save that it was going "pretty quickly" as if trying to beat the light. He recalled the car moving from the collision point in front of the bus to the side in front on the passenger side, or eastside of the bus. He did recall some other traffic well behind the red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did recall two females coming to the driver of the red car, coming from his left side as he was watching. Both those persons seemed to speak to the driver, who he considered to be in a state of shock. Mr. Morse said the driver of the red car was holding the steering wheel and was rigid and facing straight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did not recall any girl coming on the bus. He did recall police officers coming while the girls were still at the scene. His recollection was that the bus stayed in place and moved when the second bus arrived. He did not recall it being moved to let the traffic move or to allow service vehicles. He had no recollection of vehicles being beside the bus when the bus was stopped at the red light. He recalled it raining at the time of the accident, and raining heavily at the time the luggage was transferred to the replacement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Asked the speed of the bus in the intersection, he said the bus was very slow and was first in line in its line of traffic. Asked if he recalled a gear change on the bus before the collision, he did not recall. He believed the collision occurred about 7:45 p.m. and he left the scene approximately 45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cross-examination he was questioned as to the red car going at 50 to 60 kilometres per hour and he agreed it was hard to judge in the rain, it just seemed to be going at an excessive speed. Asked the amount of time he saw the vehicle, he said a matter of seconds, coming from 100 yards, in his view very fast. Asked if he saw Ms. Lindberg help with the luggage movement to the new bus he recalled most of the luggage being moved by the passengers. Asked the time involved he said "15 to 20 seconds maybe". He agreed that he was standing in the aisle holding a pole in his left hand and on the jolt he recalled stepping forward and had he not been holding the pole he would have gone down the stairwell. He said he was looking forward at all times and had a microphone in his other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asked if he saw the bus driver looking for traffic he said he did not. He was unable to offer an opinion as to whether there was space for the red car to go around the bus. He reiterated his view of the effect of the car hitting the bus, that there was a jolt that he was holding on tight and did move forward, but did not fall, and sustained a slight minor pull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Lindberg safely drove the charter bus from the airport to the intersection at Southwest Marine Drive and Cambie. She took the right hand of the two left-turn lanes and was first in line at a red light. The light sequencing was such that she had some 13.5 seconds to drive the bus through the intersection before the oncoming traffic would get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evening light was still was good and there is no suggestion that the traffic lights or motor vehicles were in anything other than normal operating conditions. At the time of the accident it had not yet started 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the light started flashing green Ms. Lindberg's bus started moving forward slowly. Consideration of the intersection (which is not at right angles) makes it evident that the bus had a relatively long distance to go to clear the intersection. It is apparent that the bus moved forward slowly. The plaintiff acknowledged that shortly after the impact of Mr. Siu's vehicle on the bus, she looked up to see the cars that had been beside her a block or more away up Cambie Street. As well, Ms. Lo's vehicle has come up beside the bus but had stopped because the flashing green arrow had stopped and there was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Siu has regularly driven that same route for years and acknowledged that he would not recall the details of the drive for he would be on "automatic pilot". As he approached the intersection in the lane next to the curb lane the red light facing him turned green and he could see the bus making its turn. He believed that it was going so slowly that it would stop for him. He also saw the Lo car (which I accept is white and not red) stopping in the turn lane. He then turned his attention up Cambie to see if there was traffic coming south on Cambie that would turn into his lane of traffic. By the time he looked back he was so close to the bus he was unable to take any action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point of impact between the two vehicles was the left front corner of the Siu vehicle and the front of the bus, which impact took place in the intersection of the outside turn lane going north on Cambie, and the west bound lane next to the curb lane on Marine Drive. From its starting point to the point of impact the bus travelled almost 160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Section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governs.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 171 and 172, the driver may turn the vehicle to the left, and traffic approaching the vehicle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Raie v. Thorpe</w:t>
      </w:r>
      <w:r>
        <w:rPr>
          <w:rFonts w:ascii="arial" w:eastAsia="arial" w:hAnsi="arial" w:cs="arial"/>
          <w:color w:val="000000"/>
          <w:sz w:val="20"/>
          <w:lang w:val="en-US" w:eastAsia="en-US" w:bidi="ar-SA"/>
        </w:rPr>
        <w:t xml:space="preserve"> (1963), 43 W.W.R. 405 (B.C.C.A.) Tysoe J.A. stated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at which the question of immediate hazard and right of way arises is the moment before the driver who proposes to make a left turn actually commences to make it and not some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case law has established the onus lies on the turning driver and thus the description "servient driver" is allocated the turning driver and "dominant driver" to the driver going straight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But as noted, the "decision time" is the moment before the left turning driver actually commences making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Here the evidence is that the bus started to make its left turn when the flashing green light turned on, and gave the right of way to the turning bus. The evidence is also plain that the bus made a very slow turn, so slow in fact, that it was still going through the middle of the turn when the 13.5 seconds expired and the green light would have come on for the oncoming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Thus, at the time the plaintiff made the decision to proceed forward the intersection was safe and she had the right of way. That changed in the course of a very slow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Siu assumed the bus would stop because it was going so slowly, and took his eye off of the bus to look for traffic that might be coming from his right after he went through the intersection at Cambie.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view, the bus had begun to make its turn and had obtained a prior entry to the intersection and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To re-word the issue, at the time the bus began its turn, Mr. Siu's vehicle was not an "oncoming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Mr. Siu was not proceeding at an excessive speed. He was somewhere in the range of the posted speed limits. But he had not acquired a dominant position at the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and secondly, he took his eye off of a vehicle which was still making its turn, which in the circumstances,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Conversely, the plaintiff, for reasons that are not apparent made a very slow turn, so slow that the traffic beside her had well cleared the intersection and the Lo vehicle had drawn up beside the bus on the inside turn lane and was obliged to stop for at least the amber flashing yellow light and the oncoming traffic. Mrs. Lindberg failed to keep a proper lookout, and failed to make the turn with due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the circumstances, I apportion liability 50/50.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evidence of the plaintiff bore little resemblance to what might be expected in the situation where a very small vehicle hit a very large vehicle, and the smaller vehicle and its occupant were subject to far greater physical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Lindberg argued that because she was holding onto the steering wheel with her feet on the brake she sustained injuries that would not be felt by the other people on the bus. None of them required any medical attention, or made any claim for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Lindberg's evidence reflects a difficult personal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Academically she has had the ability to obtain a diploma in Theology and a degree in Liberal Arts. She has been married and divorced, and parented two children, (one of whom briefly gave evidence, but none relevant to the action). While academically accomplished, however, Ms. Lindberg's words and behaviour reflect what can only be described as a unique and individual manner of interacting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initial complaints made by Ms. Lindberg to her family doctor have magnified into a myriad of ailments for which she has sought treatment with zeal. It is apparent that for some substantial time before her brief employment as a charter bus driver Ms. Lindberg was not employable. Her medical history indicates that since 1986 there has been considerable doubt as to whether she would ever be physically able to be regularly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Despite this, she appeared to be well able to assume the requirements of her position as bus driver, her first regular job in over a decade. The loss of that employment has greatly affected Ms. Lindberg. And yet, her complaints throughout the trial about tiredness and other matters such as loss memory were to be contrasted by periods of perceptive questions and analysis and apparent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Not unexpectedly the professional opinions regarding the state of Ms. Lindberg's injuries and the current state of her health are varied. I note that some of these opinions have been affected by the somewhat unusual practice of Ms. Lindberg's writing to her doctors to correct them on their written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Lindberg claims that she suffered several injuries in the accident, including: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her left elbow hit the switch panel on the left side of the bus;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long term chronic pain in her head and neck;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her jaw and voice box injury affecting her singing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her wrists and hands, (given her right hand was holding onto the gear shift);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legs (as she had both pedals pressed to the floor at impact), including that her knees continue to give her sharp pains, that her left leg has pain radiating to her groin which makes her collapse, and that she suffers from similar injuries to her right leg;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headache where the pain implodes from her right shoulder up to the top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Lindberg claims that these injuries to her legs affect her standing, walking, or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Historically, she noted that she obtained a teacher training diploma and taught for a few years, then obtained a theology certificate and completed her bachelors in education. She taught for a year or two around 1970. She married and had her first child in 1975, and had two more children thereafter. She was deserted by her husband in 1981 and eventually divorced and remarried in August, 1985. She was in a serious car accident with her second husband in October 1985, and sustained injury to her spine, suffering agonizing pain in her lower back, which she believed included an injury to her brain stem. Ms. Lindberg said there was a further motor vehicle accident in 1986 and that her second husband then left later that year November 1986. The divorce took place in mid-1988 and she managed to raise her three daughters who have since moved away from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She said that she tried to recertify for teaching in 1999 but was not permitted to recertify.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Lindberg said she heard a program which suggested mega doses of magnesium could help with some of her problems and that following such a regimen cured problems in her skull, legs, and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spite of her various problems, she then she managed to get onto the bus training program and completed the training. She had been about one week on the job at the time of the accident. Since the time of the accident, she has had complained of increasing pain in her right knee, her right hand, her neck, skull, shoulders, her ankles, knees, and 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2003 she said she suddenly had problems with her arms with sharp pains in both elbows. She saw various doctors including her family doctor, Dr. Kothari, a massage therapist, Mr. Lonergan, and a rheumatologist, Dr.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She says she copes with the injuries to her throat, neck, and head but they have affected her nerves.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2004 she complained of sore buttocks and extreme right leg pain and tried chiropractic with Dr. Davies and chiropractor Dr. Bartnik.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spring of 2005 she said that she got severe bronchitis and developed a sharp pain under her left rib. Her doctor, Steven Hanson, reassured her she just had sore muscles under the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KOTHARI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Kothari took his medical degree in Western Ontario and interned at Dalhousie in the mid 1970s. Since 1980, he has practiced family medicine since 1980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Kothari provided a report dated August 12, 2001, and a letter dated August 14, 2005 addressing errors Ms Lindberg had complained of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saw her on May 23, 2000. She complained of pain in the palm of her right hand, as well as in her right elbow, left forearm, left calf muscle, right thigh and right forearm. She was tender across the low back but the range of movement was normal. She had pain and tenderness in the left shoulder girdle and scapular area though a full range of movement. On May 30 her complaints were crackling voice and dry throat; pain in both wrists; as well as muscle pain in her neck and all limbs. Bruising at the right knee and calf had disappeared but bruising was noted at the left knee and calf. (The bruising was not previously noted.) She was tight in her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Kothari thought she could return to work mid-July but ongoing and worsening complaints from Mrs Lindberg led to the return to work plan being put on hold. By October she was complaining of piercing pain on her right hand and groin areas after 45 minutes on the computer. By mid-January 2001 Dr. Kothari reported Ms Lindberg was symptomatically worse than on the initial visit, with more areas of her body involved with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concluded by saying she was not able to return to driving a bus on account of her continued pain, "which I am unable to completely explain the level of 15 months after the accident. I would recommend that she be assessed by some one who is qualified on workplace physical and psychological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described her back movement as normal i.e. able to move in all directions. There were no injuries to joints or nerves. He noted complaints of tenderness on her skull, back of thighs, knees, and ankles. He recalled she complained of pain in her knee up into the groin. He did not prescribe any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Kothari has treated Ms. Lindberg since June 1986. He acknowledged that it involved treating injuries from motor vehicle accidents complained of in 1985, 1986 or 1987, and 1995. He did not recall diagnosing a chronic pain syndrome. He agreed that he had written a report to the Government of Canada Income Securities Programs (CPP), dated May 4, 1998, reporting Ms. Lindberg's complaints of ongoing pain in her head, neck, shoulders, thighs, hips, and legs since 1985 and furthermore that she was light sensitive, and had a hearing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note the report of May 4, 1998 states the following under the heading "diagnosis":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low back pain;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neck pain;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right hip and leg;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and depression to life situations;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Under relevant medical history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lady was in two accidents in the past. These accidents have left her with the above pains. She gets a lot of spasms in her muscles as well. She has not been able to work for approximately 10 years. Due to constant financial pressure and pain in her neck and back she feels quite drained of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Under "Supporting Evidence"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tenderness in her trapezius with spasms. She is also tender in lower (illegible) and right hip. Pain with movement in these joints. She has constant headache. This is made worse when she has a virus infection. The pain in her head is also made worse by the severity of her neck pain and limitation in her range of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Under "Treatment"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been treated by chiropractors in the past. She sees one on an APRN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Under "Prognosis of main medical condition"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had these for many years. I do not expect any improvement in this lady's conditions. She will remain unemployable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Kothari was asked if he had diagnosed a brain injury and he indicated that he had concerns at various times that Ms Lindberg should see a specialist. He did acknowledge that from 1985 to 2000 she showed symptoms of sensitivity to light, sound, and complained of dizziness, but he did not notice memory problems. Asked if there was a possible personality disorder, he said no, but stated that she suffered from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When asked if he had referred Ms. Lindberg to psychiatric treatment, he acknowledged that he had referred Ms. Lindberg to a psychologist in White Rock regarding issues of anxiety and stress relating to her daughter and that he had received a provisional consultation diagnosis of Schizophrenic Effective Disorder (which can include elements of paranoia, suspicion, possible hallucinations, sound problems, altered sensation, and anxiety). He said he did not discuss these conditions with Ms. Lindberg, or prescribe her medications for them. He agreed he made tentative diagnosis of multiple complaints, including fibromyalgia in September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Kothari acknowledged Ms. Lindberg was not interested in medical drugs and was only interested in natural medications. Ms. Lindberg had only taken certain types of painkillers. She was not able to tolerate sleep enhancement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Kothari conceded his notes show his referral to Dr. Kontaxopoulos (a psychologist) in September, 1997 for Ms. Lindberg's anxiety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May 1998, he completed the Canada Pension Plan (CPP) total disability application on behalf of Ms. Lindberg. In November 1998 he wrote a letter to welfare certifying Ms. Lindberg couldn't use public transportation due to ongoing complaints of pain in her head, neck and back; and reiterated this in another letter to welfare on July 19, 1999. He noted that Mrs Lindberg had other medical issues including hypoglycaemia for ten years which could make her feel tired and dizzy, and dyspepsia. He was surprised that she would seek a full time job, given her various ailments.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Kothari agreed that all the symptoms she presented with after May, 2000 were subjective complaints of soft tissue injuries, which usually resolve within two months. He also agreed that treatment for such injuries is usually quite limited, and involves keeping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Kothari testified that he knew Ms. Lindberg had chiropractic treatment prior to the accident, which he presumed would provide temporary relief for her previous concerns. In March 2003, he completed Mrs Lindberg's application for provincial income assistance benefits, noting her ongoing complaints of hypoglycaemia, hip pain, back pain, hearing issues, as well as a number of concerns which he felt required further investigation, including: anxiety, memory problems, as well as paranoia and/or paranoia/schizoid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 reiterated this in re-examination.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Davies qualified as a chiropractor in 1973 and specializes in postural assessment (issues of spinal misalignment) and he treats those objective findings. He said his treatment realigns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had been seeing Ms. Lindberg since 1987. He said that she exhibited postural distortion and she responded well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After the accident of May, 2000 he did his measurements on her and found her post accident distortion was satisfactory, i.e. there was no objective evidence or change in her condition and therefore any complaints she had were, in his view,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Not until February, 2001 did he find any measurable distortion which required an alignment. From May, 2000 to September, 2005 he has provided 23 treatments to Ms. Lindberg, i.e. to align the neck and bring her shoulders and pelvis into 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cross-examination Dr. Davies listed the appointments that had been made with him over the years which had increased through 1991 and 1992 and then decreased until 1999 when there were 18 treatments. In 2000, Ms. Lindberg received four regular monthly treatments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 noted on July 5, 2005, his examination of Ms. Lindberg showed right trapezius tension and jaw muscle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RHONDA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Shuckett provided a written opinion dated April 8, 2002 based on a consultation with Ms. Lindberg on April 2, 2002. As well she wrote a letter dated August 15, 2005 making changes requested by Mrs. Lindberg "for clarification." She declined to provide an update to Ms. Lindberg.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She noted that Ms. Lindberg was a challenging historian who tended to be rather tangential, moving from one topic to another, and that it was difficult to contain the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She said Ms. Lindberg described multiple areas of pain to her neck, right shoulder, elbows, and back. She felt the constellation of complaints would be diagnosed as fibromyalgia. She said the causality between an MVA and fibromyalgia syndrome is challenging. She believed Ms Lindberg's neck pain was ascribable to the prior MVAs but of the impression her other areas of pain including shoulder girdle, sacroiliac, elbows and wrists were ascribable to the May 20, 2000, MVA. She believed Ms Lindberg would have been able to maintain work as a bus driver, but the MVA had "converted her back to a disabled status." She felt there little likelihood of improvement two years post accident, nor any treatment that would alter the patient's status significantly. She recommended ongoing activity but given that Mrs Lindberg reported swimming was too difficult for her and her walking tolerance limited, she doubted Ms. Lindberg could attain an adequate level of aerobic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cross-examination she agreed Ms. Lindberg was a difficult historian, referring to her as "tangential, anxious, and challenging." She did not retain the referral documents provided by Dr. Kothari, nor did she contact Mrs Lindberg's previous doctors regarding the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a result, Dr. Shuckett's opinion was based solely on the history given by Ms. Lindberg. She did not recall references to prior motor vehicle accidents, save one in 1995, nor other accidents, slips and falls, assaults, or the like. She knew Ms. Lindberg had been on medical disability for five-to-eight years and had attempted work from time to time but she did not obtain a reason why the work was not pursued. She conceded that she did not know Mrs Lindberg's physical or psychological history and that if she was to give any opinion regarding a person's work ability, those facts were necessary. Her recollection was that possible fibromyalgia had been mentioned in the reports. She described fibromyalgia as a general pain complaint, a collection of symptoms and findings involving soft tissue. Social issues and chronic pain may be significant components. She said the reason she took no social history because the interview took so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She read Dr. Kontaxopoulous' report in court and said that she believed that she had considered it. While it had not been highlighted, she too found Ms. Lindberg to be a tangential historian. She said that this was notable because it raised potential questions of how reliable the patient's history was. Moreover, she noted that in this case, the tangential nature of Ms. Lindberg's account could be indicative of a manic/bipolar condition. She described tangential as a history that gets away from the main point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She did a physical exam and only found restriction of movement in Ms Lindberg's neck. She did not compare the range of movement to that found in Dr. Kothari's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to pre-accident history, Dr. Shuckett referred to her notes and said Mrs Lindberg appeared to have no pre-accident headaches, that her neck pain was stable, and that she had to be careful lifting luggage, she always had baseline pain at the base of her skull and the magnesium and niacin had greatly improved her neck pain. Dr. Shuckett agreed that fibromyalgia may come and go and can vary in severity from appointment to appointment. She agreed stress was often a factor, due to the fact that the central nervous system can release endorphins which can affect the amount of pain a person perceives, and mood disorders with increased anxiety can lead to increased pain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SADOWSKI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Lindberg requested that she be permitted to file a report of Dr. SadowskI dated July 28, 2003 and a letter of August 10, 2005. Dr. SadowskI had provided Dr. Kothari with a neurological consultation report where he found no neurological deficit but he did say he was of the opinion that Ms. Lindberg had suffered from extensive soft injuries due to the accident in May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became evident in cross-examination that Dr. SadowskI was not aware of Ms. Lindberg's prior motor vehicle accidents and chronic pain complaints since 1985 or her disability status since 1996. Curiously, Dr. SadowskI had provided an amended report based on what Ms. Lindberg had told him rather than this own assessment. Little weight is to be given to Dr. Sadowski's opinion save that area of his expertise, in which he found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STEVEN MALOON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Maloon provided an independent medical assessment in his report dated June 20, 2002. He is an orthopaedic specialist practicing in Surrey. He took Ms. Lindberg's history. He had some difficulties during his session with her, making three pages of notes during the course of the one and a half hours set aside for 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Maloon stated that he found Ms. Lindberg's complaints vague and non-specific regarding pain in her legs, arms, hands, and wrists. He stated that the experience of pain is generally more localized.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terms of activity, he recalled that Ms. Lindberg said she was not able to do much and was careful not to engage in physically strenuous exercises such as swimming. She had previously tried to swim and claimed it aggravated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Maloon testified that in his physical examination of Ms. Lindberg he found nothing consistent with the claimed level of disability. When asked why, he said few clinical findings were to be made as Ms. Lindberg seemed to have a full range of movement in her spine, shoulders, and all her limbs. He did note a lump on her right rib from bending forward which to him might have been an indication of mild scoliosis. He found no motor loss nor any loss of sensitivity or reflexes. He found Ms. Lindberg's shoulders pain free with full range of movement. He found no neurological deficit, no motor or sensory loss nor diminishment of reflexes. Her blood and vascular system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He reviewed various reports and said he was of the opinion that Ms. Lindberg likely suffered mild soft tissue strain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He noted she had reported much discomfort but he found no objective signs of any injury. Generally, he stated, on soft tissue injuries, six-to-eight weeks allowed muscles and ligaments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cross-examination Dr. Maloon agreed with Ms. Lindberg that he would not necessarily write down everything she said if he could not relate it to his assessment. That led to an exchange between Ms Lindberg and Dr Maloon as to whether she was dressed in her clothes, or in her underclothes and a hospital gown during the examination. Dr Maloon stated that in view of some of his findings she would have been in the hospital gown. Then a debate ensued about the course of the interview and difficulties getting the history, and whether or not Dr Maloon was influenced by earlier reports, the doctor advising he read them subsequent to the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agreed a patient could have a good day or a bad day when it would be difficult to communicate and he said doctors have to take that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agreed his expertise was in orthopaedics where often his patients were in pain all day and his job was to figure out why and help them. His emphasis was surgery and if not, the management was kinetic. He agreed soft tissue injuries would be more subjective than skeletal injuries but he noted that he did not deal with just bones but also joints and soft tissues, i.e. torn ligaments, tendons, and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had not read of any studies that differentiated pain experience by gender. However, he expressed familiarity with the view that depression and psychological issues were more important than the physical symptoms of experiencing pain in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Maloon then discussed the exam. He stated that he used a tape measure in terms of some of the measurements. He explained that he observed the range of neck movement and fluidity, and noted neurological limits. He found Ms. Lindberg's neck movements full and fluid with no neurological limits on her limbs.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He found no motor loss. He found reflexes normal. He found a full range of movement in the shoulders, elbows, wrists, hips, and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He noted her movement around the room was brisk without discomfort and normal without a limp and that she moved on her toes and heels normally.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Lindberg suggested that she was in greater pain when she left his office. He said pain was a sensation, and an emotional experience. He agreed that it was possible that she could be in pain and that he would not have seen it, despite the absence of any outward indications to this effect. Ms. Lindberg then suggested that if a patient had endurance and a positive attitude it could affect matters and he agreed a person could be stoic compared to others more expressive, and there is a great range of personal behaviour among different individuals in this regard. He agreed that he had suggested to her that it was appropriate for people to be encouraged to keep up their normal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However, when Ms. Lindberg suggested that there were medical findings regarding pain in her buttocks and groin, he said he did not find any. In a similar vein, when it was put to him that pain could vary and move around the muscles he disagreed and said this was not typical. He said it was usually worse with movement if there was indeed trauma to the muscle. He also declined to diagnose her with arthritis, notwithstanding her large knuckles, which she had brought to his attention. Lastly, Dr. Maloon dismissed the notion that Ms. Lindberg was not experiencing pain on the day that he examined her, noting that she had complained she hurt all over. Despite this, he could not find any reason for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Based on all of the foregoing evidence, I find that Ms. Lindberg suffered mild soft tissue injuries in her accident with Mr. Siu, and that the accident did not cause or materially contribute to any chronic pain that she may currently be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 REGARDING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Lindberg had relatively little to say regarding her damages in her initial argument. In essence she argued that due to taking large doses of niacin and magnesium she had recovered from her previous disability to obtain the bus driver job but that state of health and employment had been lost due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 emphasised the fact that Ms. Lindberg appeared to suffer from the same injuries subsequent to the accident as those she had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Further, counsel noted that Dr. Shuckett had conceded, given the lengthy prior medical history that the motor vehicle accident was not the cause of her ongoing problems, and that given the years of prior disability it was unlikely Ms. Lindberg would have been in a position to maintain her position in the work place. It was submitted the difficulty of obtaining Ms. Lindberg's disjointed history and tangential approach to matters left little weight in Dr. Shuckett's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Reliance was placed on Dr Maloon's assessment in June of 2002 which demonstrated no physical loss and a conclusion of soft tissue injury of some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Lindberg then asked for time to make a reply which she presented February 10, 2006. Some of her positions were strongly expressed. For example, in responding to defence counsel's submissions about her bus driving experience, she said:" What a maligning, tangential mish-mash of fictional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Lindberg has a supportive and sympathetic family doctor who has enabled her to obtain provincial and federal disability assistance largely on the basis of her own subjective complaints which were based on motor vehicle accidents that occurred in the prior two decades, and by the sheer length of their history, the symptoms were termed "chronic". Despite this, at the time of the accident, she was able to go to a bus company and drive a large bus on a regular basis for a work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Since the accident, however, Ms. Lindberg has evidently reverted to her earlier state of unemployability due to the variety of her subjective complaints. As the testimony of her doctors indicates, there was little hard medical evidence upon which to found her various ongoing complaints and ailments. Each of the doctors that gave evidence on her behalf had little to add to an assessment of mild or moderate soft tissue injury given the patient history. Dr. Kothari was in an invidious position for he had opined less than two years before May 2000 that Ms. Lindberg was permanently unemployable, and was not aware of any improvement. He was duly cautious about his opinion, and pointed to the need for an assessment from someone qualified in workplace physical and psychological requirements. This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No evidence was put before me by the plaintiff from any employers as to her work history or capacity, nor opinion proffered on her current abilities. Friends did speak to her good nature but no comment was made as to any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She presented at the start of the trial as weak and not able to continue, but during the course of the trial presented as physically strong though completely disorganized, and in responding to allegations from defence counsel evidenced no lack of fire, tenaciousness, or ill health. I do make some allowance for Ms Lindberg's pre-existing anxiety state which doubtless has been a factor in her overall reaction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Given this, I have no evidence before me as to why Ms. Lindberg was unable to retain her employment or at least seek employment elsewhere long after the soft tissue injuries that she sustained in the accident would have subsided. As a result, I am unable to find any causal connection between the motor vehicle accident of May 2000, and a loss of employment. The medical opinion is that the soft tissue injuries should have been largely dissipated after six to eight weeks. I note, however, that it is not uncommon for some persons to have longer periods of recovery though often related to other injuries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Considering all of the foregoing and taking in to account the effect of the accident on Ms Lindberg's anxiety state and the physical findings made by the various medical witnesses, an appropriate general damage award for personal injury in this case is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There is also a claim for user fees and treatment for physiotherapy post accident from Mr Lonergan but those accounts filed as exhibits begin March 2003, some three years post accident. His letter of September 5, 2003 notes that "trial preparation" is aggravating her" injuries". No evidence was given by Dr Kothari about the physiotherapy, nor does Mr Lonergan relate his treatment to the accident. Accordingly, that claim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success was divided, each side shall bear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conclusion:</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is apportioned equally.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Lindberg sustained mild soft tissue injuries and her anxiety state was affected.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appropriate award is $15,000, but is reduced 50 per cent to reflect the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Mainland Sawmills Ltd. v. United Steel, Paper and Forestry, Rubber, Manufacturing, Energy, Allied Industrial and Service Workers International Union Local 1-3567, [2007] B.C.J. No. 2098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12-May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S041160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1433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517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62 C.C.E.L. (3d) 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2304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52 C.C.L.T. (3d) 161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Mainland Sawmills Ltd., Terminal Forest Products Ltd., Michael De Verteuil, Dave Stuart, Rampal Berar, Hari Gill, Joginder Jugpal, Mohinder Ladhar, Jamie Hadley, Ron Lee, Guiseppe Pinzarrone, Lee Young, Christopher Parnell, Devinder Ladhar, Rajinder Braich, James Lillyman, Efren Ocampo, Major Grewal, Donald Haldorson, Larry Anderson, Bruno Benetton, Bill Vidovic, Iqbal Parmar, Dave Raj Khauli, Sohan Mann, Sukhbir Moore, Aman Aujla, Dan Rosvold, Alessandro Pinzarrone, Karnail Shergill, Walter Girotto, Surjit Mor, Miguel Perez, Parmjit Birk, Dan Griffiths, Jhalman Uppal, Gorman Khayrah, Garry Filgate, Dean Jule, Dwayne Wiebe, Santokh Hiar, Kulwant Kang, Sundeep Gill, Juancho Ocampo, Inderbir Sahi, Joginder Sunner, Avtar Judge, Paul Larocque, Paul Talbot, Balbir Dusanj, Jim McDonald, Narendra Gounder, Jose Sandoval, Victor Alvarez, Gregory Stang, Harpal Berar, Satnam Aujla, Nachhatter Sanghera, Tennes Hamre, Kim Haberman, Surjit Kondola, Plaintiffs, and United Steel, Paper and Forestry, Rubber, Manufacturing, Energy, Allied Industrial and Service Workers International Union Local 1-3567, USW Local 1-3567 Society, Industrial Wood and Allied Workers of Canada (I.W.A. Canada), CLC, Local Union Number 1-3567, Satnam Singh ("Sonny") Ghag, Barry King, Earl Graham, Matyas Fath, Les Veale, Larry Kellum, Don White, Brian T. Harder, Len Yalowica, Cheryl Williams, Arnie Rancourt, Brian Lund, Sue Nielsen, Normal Lahti, Lloyd Hill, Grazio Odorisio, Keijo Lahti, Mohinder Gidda, Randolph Baust, Ralph Altenried, Keith Legg, Ken Fleming, Mike Lee, Jack Bigg, Patrick Goslawski, Roger Rudyk, Andy Elesko, Balder Hundal, Kulbir Thandi, Mike Kelley, Ray Hudon, Rick Randy, Jim Sim, Trevor Richardson, Philip Rose, Dale G. Johnson, Jim Ferris, Jeff Lavigne, Martin Cheremkora, Ron Pastor, Wayne Milligan, John Doe for all other persons whose names are presently unknown to the Plaintiffs, Defendants, and Satnam Singh ("Sonny") Ghag and John Doe,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8" w:name="Keywords_41"/>
      <w:bookmarkEnd w:id="318"/>
      <w:r>
        <w:rPr>
          <w:rFonts w:ascii="arial" w:eastAsia="arial" w:hAnsi="arial" w:cs="arial"/>
          <w:b/>
          <w:color w:val="000000"/>
          <w:sz w:val="20"/>
          <w:lang w:val="en-US" w:eastAsia="en-US" w:bidi="ar-SA"/>
        </w:rPr>
        <w:t>Damages — For torts — Affecting the person — Assault and battery — In this action stemming from a labour dispute, three groups of personal plaintiffs, all employees of a sawmill, were awarded $533,250 in damages for assault and battery against the defendants, who had unlawfully entered the mill and shut it down by means of violence, force, intimidation and threats.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law — Industrial disputes — Picketing — Remedies — Damages — In this action stemming from a labour dispute, three groups of personal plaintiffs, all employees of a sawmill, were awarded $533,250 in damages for assault and battery against the defendants, who had unlawfully entered the mill and shut it down by means of violence, force, intimidation and threats.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Battery — In this action stemming from a labour dispute, three groups of personal plaintiffs, all employees of a sawmill, were awarded $533,250 in damages for assault and battery against the defendants, who had unlawfully entered the mill and shut it down by means of violence, force, intimidation and threats.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9" w:name="Case Summary_36"/>
            <w:bookmarkEnd w:id="3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action stemming from a labour dispute, three groups of personal plaintiffs, all employees of the sawmill, sought damages against the defendants for assault and battery, claiming that the defendants trespassed on the sawmill's premises and shut down the mill operation by means of violence, force, intimidation and threats -- They sought general, aggravated and punitive damages against all defendants, claiming that the personal defendants were joint tortfeasors, and the union locals and the union society were vicariously liable for the torts -- HELD: The claims against individual defendant Veale and the society were dismissed, while the remaining actions of all 33 plaintiffs against all the other defendants were allowed, resulting in a total award of $533,250 in damages -- Liability for the personal defendants was apportioned at either 40, 30, 20 or 10 per cent depending on their degree of involvement -- The union's third party claim for indemnification was dismissed -- All of the plaintiffs on the afternoon shift were verbally threatened by the defendants, and it was reasonable for the plaintiffs to fear or apprehend imminent violence, as there was a large crowd banging peavey handles and sticks, shouting and swearing at the plaintiffs to get out -- Overall, it was sufficient to constitute an assault -- Some were assaulted and battered -- Each of the graveyard shift employees had established an assault -- They were threatened with imminent harm should they attempt to do what they were entitled to do, namely cross the tracks and proceed to work, and in the context of the angry crowd they reasonably feared or apprehended such harm if they did not accede to the defendants' demands -- All the defendants were liable as joint tortfeasors, as all had formed the unlawful intention to trespass or use threats of force -- The union was vicariously liable as it had authorized a highly risky event at the mill and it subsequently ratified what took place -- Moreover, its officers, including the president and many executive board members, were directly involved -- The Union was not without fault due to its condonation or ratification of the actions and its failure to take any steps to determine what really happened and to address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0" w:name="Legislation Cited_29"/>
      <w:bookmarkEnd w:id="3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1" w:name="Counsel_47"/>
      <w:bookmarkEnd w:id="3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D.C. Harbottle, A. McDonell.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Certain Defendants: K. Young, J. Mistry.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Satnam Singh Ghag: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2" w:name="Judgment_47"/>
      <w:bookmarkEnd w:id="322"/>
      <w:r>
        <w:pict>
          <v:line id="_x0000_s1249" style="position:absolute;z-index:2518558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25, 2008.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3" w:name="FISHER J."/>
            <w:bookmarkEnd w:id="323"/>
            <w:r>
              <w:rPr>
                <w:rFonts w:ascii="arial" w:eastAsia="arial" w:hAnsi="arial" w:cs="arial"/>
                <w:b/>
                <w:color w:val="000000"/>
                <w:sz w:val="30"/>
                <w:lang w:val="en-US" w:eastAsia="en-US" w:bidi="ar-SA"/>
              </w:rPr>
              <w:t>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stems from an incident that took place at Mainland Sawmills in Vancouver on the evening of December 16, 2003. The plaintiffs were employees of Mainland and members of Local Union 2171 of what was then the IWA Canada. Local 2171 was one of five locals of the IWA, along with Local 1-3567, which worked under the terms of the Coast Master Agreement, a collective agreement with Forest Industrial Relations Limited (FIR). The IWA later merged with the defendant United Steel, Paper and Forestry, Rubber, Manufacturing, Energy, Allied Industrial and Service Workers International Union (USW), which became its successor union for the purpose of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21, 2003, these five local unions were on strike. That strike ended in December 2003. The provincial government enacted back-to-work legislation, which was passed in the legislature on the evening of December 16, 2003. Two days earlier, an agreement was reached among the IWA, FIR and the Premier that the government would enact back-to-work legislation and the parties would continue to work under the Coast Master Agreement until a new collective agreement was concluded through a mediated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Once the agreement was announced, but before the legislation was passed, Local 2171 advised its members that they could return to work. The employees of Mainland went back to work on the evening of December 14, 2003. Local 1-3567 took a different approach and advised its members not to return to work until the legislation was passed in the provincial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December 16, 2003, members of Local 1-3567 organized a group to assemble at Mainland Sawmills to picket. A large group of individuals attended at Mainland at approximately 9:45 p.m. They began to assemble at the railway tracks at the corner of Ash and Kent Streets, and most of the group proceeded east toward the entry gate of the mill. A large number went inside the mill premises. Some stayed in the yard and others went inside the mill building. Some were carrying sticks and the handles from peaveys, which are tools used in sawmills. The presence of a large group of strangers inside the mill took the Mainland employees by surprise. The strangers were noisy and intimidating. Many scattered throughout the mill and forced the afternoon shift employees to leave their posts. The next shift employees were prevented from entering the mill. The mill was shut down. Police attended, but made no arrests.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claim that the defendants trespassed on the Mainland premises and shut down the mill operation by means of violence, physical force, intimidation and threats. The principal causes of action are assault and assault with battery. The plaintiffs each claim general, aggravated and punitive damages against all defendants. They claim that the personal defendants are joint tortfeasors and that the IWA Local 1-3567, the USW Local 1-3567 (the Union) and the USW Local 1-3567 Society (the Society) are vicariously liable for the torts of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Mainland Sawmills Ltd. (Mainland), a division of Terminal Forest Products Ltd., operates a custom cut sawmill on Yukon Street in Vancouver. Mainland operates 24 hours per day with three working shifts - day, afternoon and graveyard. The personal plaintiffs were afternoon and graveyard shift employees of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three main groups of personal plaintiffs:</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afternoon shift employees who claim to have been assaulted and battered (Rampal Berar, Rajinder Braich, Michael De Verteuil, Hari Gill, Jamie Hadley, Devinder Ladhar, Mohinder Ladhar, Ron Lee, James Lillyman, Efren Ocampo, Christopher Parnell, Guiseppe Pinzarrone, Dave Stuart and Lee Young);</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afternoon shift employees who claim to have been assaulted only (Larry Anderson, Aman Aujla, Bruno Benetton, Parmjit Birk, Walter Girotto, Dan Griffiths, Donald Haldorson, Gorman Khayrah, Sohan Mann, Sukbir Moore, Iqbal Parmar, Miguel Perez, Alessandro Pinzarrone, Karnail Shergill, Jhalman Uppal and Bill Vidovic); and</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graveyard shift employees who claim to have been assaulted (Satnam Aujla, Narendra Gounder and Paul Larocque).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respect to the third group of plaintiffs, the amended statement of claim brought actions in intimidation and harassment. During final argument, Mr. McDonell withdrew those claims and applied for leave to amend the statement of claim to frame those actions in assault. Leave was granted in respect of three of these plaintiffs who Mr. McDonell submitted had made out claims in the tort of assault. Because the other claims were withdrawn, the actions by the remaining graveyard shift plaintiffs (Victor Alvarez, Harpal Berar, Balbir Dusanj, Garry Filgate, Kim Haberman, Tennes Hamre, Santokh Hiar, Dean Jule, Avtar Judge, Surjit Kondola, Juancho Ocampo, Inderbar Sahi, Gregory Stang, Paul Talbot and Dwayne Wiebe) are dismissed. Two other plaintiffs (Major Grewal, Joginder Jugpal) did not testify at trial and their actions were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trial, the plaintiffs Mainland and Terminal Forest Products Ltd. settled their claims with the Union and the Society for $148,600 plus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December 2003, the elected officers of IWA Local 1-3567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President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Sonny Ghag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1st Vice President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Barry King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2nd Vice President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Earl Graham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3rd Vice President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 Veale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4th Vice President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Larry Kellum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5th Vice President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Don White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Financial Secretary</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Brian Harder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Recording Secretary</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Leonard Yalowicka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Warden</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Cheryl Williams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Conductor</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Arnie Rancourt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Initially, all officers were joined as defendants in this action. During the trial, the plaintiffs filed consent dismissals of the actions against Don White, Brian Harder, Cheryl Williams and Arnie Rancourt. They did the same as against defendants Sue Nielsen, Andy Elesko, Trevor Richardson and Wayne Milligan.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evidence that Les Veale was involved in any discussions about Mainland on December 16th, nor did he attend there. The evidence does not support a finding of personal liability against Mr. Veale and the action against him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IWA merged with the USW in September 2004. The defendant Society holds assets for the USW Local 1-3567. At the time of the merger, the officers and executive board members of the Union Local 1-3567 and the Society did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All defendants but Sonny Ghag, Barry King and John Doe were represented by counsel at trial. In December 2003, Sonny Ghag and Barry King were, respectively, the President and 1st Vice-President of IWA Local 1-3567. Mr. Ghag appeared in person and participated in the trial. Mr. King also appeared in person but did not participate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Other than Mr. Ghag and Mr. King, there are three main groups of personal defendants: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who were allegedly involved in organizing the event and who attended at Mainland on December 16, 2003;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who attended on December 16th and entered the Mainland property;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who attended on December 16th but did not enter the Mainland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refer to the Union, the Society and the individual defendants represented by counsel as Certain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Many of the plaintiffs testified that they felt the security of their workplace was violated. They were particularly offended that those who violated their workplace were fellow union members. They say that the defendants had no justification for invading Mainland Sawmills on December 16, 2003. They ask this court to uphold the rule of law by way of significant damage awards. They seek an award of approximately $1.4 million, which includes punitive damages in an amount over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say that the Union and the Society are vicariously liable for the assaults and batteries committed by individuals who attended at Mainland, and that the USW Local 1-3567 is essentially the same entity as the original IWA Local 1-3567. They say that all personal defendants are joint tortfeasors because they all participated in the wrongdoing by attending at Mainland and not dissociating themselves from the wrongdoing at any time, whether inside the mill premises or outside on the road and at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Certain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Union does not deny that IWA Local 1-3567 organized picketers to attend at Mainland on December 16, 2003 and does not dispute that it is vicariously liable for trespass on Mainland property. However, the Union, the Society and other personal defendants say that the decision to enter the Mainland premises and the torts that were committed there are directly attributable to Sonny Ghag, Barry King and persons unknown (John Doe). The personal defendants say they were not at fault and there is insufficient connection between the acts of Mr. Ghag and the acts of other defendants to make them joint tortfeasors with Mr. Ghag.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Union says that it is not vicariously liable for the torts committed at Mainland because these actions resulted from Sonny Ghag acting outside the scope of his employment duties and without authorization from the Union, and the torts were not sufficiently connected to the expected picketing activities of the Union. The Society says that it is not liable because it is a separate corporate entity which does not direct, control or employ the defendants, but only holds assets for the USW Local 1-3567.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event that there is liability, the Union says that no punitive damages should be awarded against a vicariously liable party and that an award of punitive damages against it would not serve the objective of punitive damages. It also says that an excessive award of punitive damages would be inappropriate in this case. The personal defendants say that damages should not be awarded against any of them unless there is proof that they engaged in tortious or criminal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Union and the Society in turn bring third party claims against Sonny Ghag, seeking indemnification should they be found vicariously liable to the plaintiffs. Other personal defendants seek contribution from Mr. Ghag, should they be found jointly and severally liable for any damages awarded to the plaintiffs. The Union also seeks indemnification from Mr. Ghag for the damages it paid to Mainland and Terminal Forest Products Ltd. to settle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Sonny Ghag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Ghag admits that he attended at Mainland on December 16, 2003, but denies that he organized people to attend there to picket and he denies that he committed any torts. He says that he was at all times acting as President of Local 1-3567, and he went there to diffuse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Barry 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only evidence from Barry King was an affidavit adduced into evidence by the plaintiffs, without objection from any of the defendants. No one addressed the purpose for which this affidavit was admitted, except that the plaintiffs relied on only several paragraphs, the contents of which they allege are not true. No application was made under Rule 40(44) to have Mr. King's evidence in chief be given by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not considered Mr. King's affidavit as evidence of its contents. It is, however, an exhibit which establishes that all defendants were represented by the same counsel in January 2004, when the affidavit was sworn.</w:t>
      </w:r>
      <w:bookmarkStart w:id="324"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324"/>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plaintiffs allege tortious conduct that may also be criminal in nature. While the standard of proof in this civil case is clearly the balance of probabilities, where serious allegations involving intentional torts are made, the court may be required to assess the evidence with more scrutiny; in other words, the civil standard of proof should be applied so that it is "commensurate with the occasion": </w:t>
      </w:r>
      <w:r>
        <w:rPr>
          <w:rFonts w:ascii="arial" w:eastAsia="arial" w:hAnsi="arial" w:cs="arial"/>
          <w:b/>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xml:space="preserve">, leave to appeal to the S.C.C. requested, </w:t>
      </w:r>
      <w:hyperlink r:id="rId968" w:history="1">
        <w:r>
          <w:rPr>
            <w:rFonts w:ascii="arial" w:eastAsia="arial" w:hAnsi="arial" w:cs="arial"/>
            <w:i/>
            <w:color w:val="0077CC"/>
            <w:sz w:val="20"/>
            <w:u w:val="single"/>
            <w:shd w:val="clear" w:color="auto" w:fill="FFFFFF"/>
            <w:lang w:val="en-US" w:eastAsia="en-US" w:bidi="ar-SA"/>
          </w:rPr>
          <w:t>[2007] S.C.C.A. No. 328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principle is applied where there are allegations of fraud or sexual assault. None of the parties submitted that this higher level of scrutiny is to be applied in a case such as this, where the allegations are of assault and assault and battery. In any event, I have considered the allegations to be serious and I have assessed the evidence with a degree of scrutiny that takes into the account the seriousness and nature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Forest Industrial Relations Ltd. (FIR) is the accredited bargaining agent for over 100 B.C. coastal forest industry employers. FIR negotiates with five USW union locals (formerly IWA), including Local 1-3567 and Local 2171. In 2003, FIR and these locals operated under the Coast Master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April 2003, FIR and the IWA began collective bargaining to renew the Coast Master Agreement. In a Protocol Agreement, the parties agreed that during negotiations, no local union would strike and no company would lock out for any reason. On November 6, 2003, the IWA held a strike vote, and a number of operations within three local unions, including Local 1-3567, engaged in a one-day strike. FIR took the position that this strike action ended the collective agreement. Interfor, a member of FIR, notified its employees that it considered it was entitled to impose a new collective agreement at certain mills, which included concessions that were unacceptable to the employees. One of those mills was Interfor Hammond Cedar, whose employees were represented by Local 1-3567. The IWA took the position that a strike had not been called, and took the matter to the Labour Relations Board (LRB). On the afternoon of November 21, 2003, the LRB released its decision, which determined that the November 6, 2003 strike action constituted discontinuance of collective bargaining under the Protocol Agreement. Once the decision was released, the strike was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employees of Mainland Sawmills are represented by Local 2171. On November 21, 2003, before the LRB released its decision, members of Local 1-3567 went to Mainland to picket. They attempted to prevent Mainland's afternoon shift from going to work. The Mainland employees proceeded to work, despite the picket line. Local 1-3567 members were "ticked off" by this. This information was passed on to others within Local 1-3567. Their members were surprised and did not like it; some were heard calling the Mainland employees "scabs". The incident became "common knowledge" in the union office of Local 1-3567 and Mainland became a "hot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December 6, 2003, members of Local 1-3567 heard that Mainland employees had agreed to drop their picket line to allow Mainland to load some lumber. Some members attended at Mainland and recorded images of lumber being loaded onto a truck. This also became common knowledge within Local 1-3567. The video was shown to Local 1-3567 members during an executive board meeting on December 13, 2003. This was a well-attended meeting, as it preceded the local's annual Christmas party, and Dave Haggard (President of IWA Canada) attended as one of the guest speakers. The IWA's position about back-to-work legislation was the topic of discussion. Showing the video at this meeting exacerbated the animosity between members of the two local unions.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Local 1-3567 subsequently filed complaints about both of these incidents to the IWA national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Local 2171 did not take kindly to Local 1-3567's attendances at Mainland Sawmills. At some point after December 6th, Sonny Ghag, on behalf of Local 1-3567, agreed to stop "interfering" in the affairs of Local 2171. Despite this, some Local 1-3567 members continued to attend at Mainland to talk to union members who were picketing.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provincial government intervened in the strike. The IWA agreed to the imposition of back-to-work legislation on certain terms. One term was that the companies were required to operate under the terms of the previous Coast Master Agreement during a mediation and arbitration process. On December 14, 2003, Premier Gordon Campbell, Dave Haggard and Duncan Davies (Chair of FIR) announced the agreement among the government, the IWA and FIR. The Premier stated that the government would quickly introduce legislation that would put in place a process agreed to by both the union and the employers. Mr. Haggard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ask our members to go back as soon as possible and I would hope that the industry will put them back to work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Darrell Wong, the President of Local 2171, interpreted Mr. Haggard's comments as an announcement that the strike was over. He made inquiries of the IWA national office as to when members could return to work. He was of the view that the vote taken by the IWA negotiating committee on December 14th effectively ended the strike and he did not see the point of keeping people off the job if the back-to-work legislation was going to be passed. He was advised that members could return to work, but some locals - in particular Local 1-3567 - would not return until the legislation was passed. Mr. Wong advised his staff to tell members they could go back to work when their employers called them, provided they were working under the old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Mainland employees returned to work for the graveyard shift on the evening of December 14, 2003, shortly after the agreement was announced. Local 1-3567 directed its members not to return to work until the back-to-work legislation was passed. The legislation passed in the provincial legislature shortly after 10:00 pm on December 16, 2003, during the time several hundred people, many identified as IWA members, attended at Mainland Sawmills.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events of December 16,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about an hour before 10:00 pm on December 16, 2003, a large group of people began to assemble on the public road outside the premises of Mainland Sawmills in South Vancouver. Some of these people carried IWA picket signs and some carried sticks of various kinds, including peavey handles and 2x4's (dunnage). Many witnesses who attended estimated a crowd of close to 200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crowd assembled near the corner of Kent and Ash streets by the railway tracks. After a short while, a large portion of the crowd walked east along South Kent Street toward Mainland Sawmills. At some point after this crowd reached the entrance gate, they proceeded inside the mill yard. There is disputed evidence about who was responsible for leading the crowd into the mill. Some of the defendants said that they either saw or heard Mr. Ghag lead them in. Mr. Ghag said that another member, Dale Johnson, waved people in. Mr. Johnson denied this. There is also disputed evidence about Mr. Ghag's actions before the crowd went inside. Some defendants said that he spoke to the crowd, getting people "built up". Again, Mr. Ghag denied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Once inside, most of the crowd moved into the yard toward the green chain, and others went inside the mill building. The crowd was angry. There was a lot of shouting, swearing and banging of sticks and peavey handles. The shouting was to this effect: "We are on strike; you should not be working; get out of here". The actions of the crowd caused the Mainland employees to shut down their equipment and leave their jobs. The first area to shut down was the green chain, which is located at the east side of the mill yard. After that, when the crowd dispersed inside, the remaining Mainland employees were forced to leave. In the process, a number of Mainland employees were surrounded by groups of people and were pushed or struck. Some were physically injured. All of them feared or apprehended for their safety. The mill was shut down. Most of the crowd dispersed out of the mill within about 30 minutes. Most of the Mainland employees left as soon as they could. Some waited inside until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Outside, at the tracks, Mainland's graveyard shift employees began arriving for their shift. Most of them reached the tracks at about 11:00 pm. They encountered a rather large crowd there, and were told that the mill was shut down and they were not working. There were few picket signs. Some of the people in the crowd carried peavey handles or other kinds of sticks. None of the graveyard shift employees crossed the tracks. Their evidence was that this crowd was loud and angry, and some of them were threatened if they attempted to cross the picket line. Most of the graveyard shift employees gathered together on Kent Street until their union representative arrived to confirm that they were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clear that this event was very frightening to the employees who were working in the mill. An angry, noisy crowd of that magnitude suddenly entering their workplace late at night was unprecedented, particularly when some individuals were carrying sticks, including peavey handles, which could be used as weapons. The crowd along the road and at the tracks bolstered the effect of the crowd inside, as they shouted "scabs" and various obscenities at the Mainland workers as they left the area. The crowd at the tracks also prevented the next shift of workers from entering the mill. No one outside the mill was struck or pushed.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mill supervisor contacted 9-1-1 shortly after 10:00 pm. Police records indicate that dispatch received a call at 10:14 pm and that police arrived at 10:23 pm. The police report noted that the officers who attended were advised to remain on the scene to keep the peace and to provide a safe exit from the mill for staff, and that they remained on the scene until the protesters vacated. Mill managers also arrived at various times. One of them, Gerald Montgomery, could not get past the crowd at the tracks, and had to be escorted in by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some point, the media arrived at the scene. Mr. Ghag spoke to them. Part of his interview was recorded on video. In the video, Mr. Ghag is recorded to have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went in there, marched in there and told them that scabbing is not allowed, get the hell out, go home, they went home and they were kind enough to go home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guys decided to scab the goddamn place. We're still on strike and they were running the joint.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we know is that we got the word they were working and we showed up and kicked their ass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video, Mr. Ghag appeared to be somewhat inebriated. He admitted that he had been drinking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Montgomery drove around the area adjacent to the mill later that night and found an IWA picket sign and a peavey handle in a ditch, which he retrieved. The police report refers to an officer seizing two sticks and a sawed off axe handle.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shows that the crowd entered the mill property shortly before 10:00 pm. While some who went only into the yard began to leave after about 10 minutes, most of them remained inside for close to one-half hour. By the time the police arrived at 10:23 pm, it appears that most of the crowd had retreated out the gate. However, they did not leave the area outside Mainland for several hours. A crowd remained at the tracks for some time, as they prevented the graveyard shift from entering the mill. Many witnesses said they stayed until after midnight and the police report indicates that officers cleared the scene at 2:18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Events after December 16,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following day, December 17th, Sonny Ghag apologized to Darrell Wong and the members of Local 2171 for the comments he made to the media. In a letter to Mr. Wong, Mr. Ghag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discussion earlier today, I am writing to confirm that my membership will be told to stay away from your Local Union's jurisdiction. What happened on December 16, 2003 is unacceptable behaviour. Furthermore, I sincerely want to apologize to you and your membership for the comments made to the media. Derogatory remarks were made. Obviously, I cannot erase what was said, but I will state that such remarks will never be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Ghag asked Mr. Wong to convey his apology to Local 2171's membership at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December 19, 2003, Mr. Ghag resigned as 4th Vice President of the national IWA. In a letter to Dave Haggard, he expressed regret for what took place on December 16th after "reflecting on the comments made to the media". He took the position then that the situation was out of his control and that he had attended there in order to diffuse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commenced an action on January 9, 2004 and a second action on February 23, 2004. These were subsequently consolidated into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first Executive Board meeting after the events of December 16, 2003 was held on January 24, 2004. It was extremely well attended. Sonny Ghag offered to resign as President of Local 1-3567. The minutes of that meeting show that all of the officers, 40 executive board members and 25 visitors signed in. Of those people, about a dozen had attended at Mainland on December 16th and almost all of them had gone inside the mill property. The executive board members voted unanimously in favour of Mr. Ghag remaining as President, with only Norma Lahti abstaining. There was no discussion, however, about the December 16th incident. Norma Lahti put forward a motion to add the matter to the agenda, but Mr. Ghag determined that it was out of order because the matter was before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January 27, 2004, Barry King, on his own behalf and on behalf of Local 1-3567, brought charges under the IWA Constitution against Local 2171, its officers, the Mainland Plant Chair and Mainland employees, regarding the incidents on November 21 and December 6, 2003. In February 2004, Local 2171 and Local 1-3567 filed formal complaints against each other under the IWA Constitution. These complaints were resolved in October 2004 by way of a settlement. One of the terms was that USW Local 1-3567 paid compensation to Local 2171 in the amount of $34,000 to cover the lost wages for Mainland's graveyard shift employees for their shift on December 16-17, 2003 and for other employees who subsequently lost shifts, and for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September 2004, before the settlement was effected, the IWA merged with the USW. In June 2005, Sonny Ghag and all of the officers of USW Local 1-3567 were suspended pending a USW Commission hearing into allegations of financial misconduct and harassment. None of the allegations related to the events at Mainland Sawmills. On August 26, 2005, Mr. Ghag was barred from membership in the USW.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How the events of December 16th came to be is very much in dispute. Certain Defendants say that those who attended did so with the intention of picketing and without any plan to trespass or engage in tortious conduct. Ms. Young also submitted that not all those who attended were members of the union. The plaintiffs say that the fact that so many attended and that some arrived with weapons, shows that their intentions were otherwise. Mr. McDonell says that there is no evidence that anyone but Local 1-3567 members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little dispute as to what happened to many of the plaintiffs, other than the extent of their injuries or damages. But there is a significant dispute as to who committed the assaults, who is responsible for them, and who was responsible for setting the events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McDonell challenged the credibility of all of the defendants. He submitted that none of them acknowledged the numerous incidents of assault as described by the plaintiffs, and only acknowledged inappropriate or tortious activity if it involved Sonny Ghag.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 outline below, this is a case where the plaintiffs and the defendants appear to have experienced entirely different events. None of the plaintiffs were substantially challenged about what happened to them. Few of them could identify the individual who pushed or struck them, which is understandable in the circumstances. Their evidence as a whole was consistent. Most of them had been union members for many years. I accept the evidence of the plaintiffs, most of which was not disputed by the defendants, that the crowd that entered Mainland that night was large, up to 200 people; that they were loud and angry; that they shouted and swore; and that some carried peavey handles or other kinds of sticks or bats which they banged on the ground or on machinery for the purpose of intimidating the Mainland workers. I also accept the evidence of the plaintiffs that the crowd at the tracks acted in a similar manner, although there were fewer of them. Few plaintiffs saw picket signs and most of them did not consider the crowd to be picketing in the sense that many of them had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have considerable difficulty with much of the evidence of the defendants. Few of them acknowledged seeing any confrontations or violence on December 16th. Some of them acknowledged that the crowd was noisy but few acknowledged that there was threatening behaviour. I do not accept the evidence of the defendants to the effect that the crowd was just noisy and non-threatening. This makes no sense, given the surrounding circumstances and more importantly, the evidence of the plaintiffs, which I have accepted as consistent and reliable. For reasons set out below, I do not accept the evidence of the defendants who denied an intention to do anything other than picket and I do not accept the evidence of the defendants who were involved in organizing the event that they were simply intending to set up a normal picket line. The denials of the defendants were not credible, considering the context in which this event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the identity of everyone who attended at Mainland is not known, there is no evidence that anyone other than IWA members attended. Because the primary activity was related to picketing and union issues, the most reasonable inference to draw is that the crowd was made up of IWA members, most likely members of Local 1-3567, and I find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What happened on December 16th?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Few plaintiffs from the afternoon shift saw picket signs and all of them were surprised by the presence of strangers in the mill. Most plaintiffs saw some of the strangers carrying peavey handles or other kinds of sticks, which they described as dunnage (2x4's) or baseball bats. All plaintiffs testified that the people who came in were loud and angry, that they swore and yelled at the Mainland workers to get out, calling them "scabs".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At the green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who worked at the green chain (Guiseppe Pinzarrone, Ron Lee, Lee Young, Gorman Kayrah, Sukhbir Moore and Aman Aujla) were the first to encounter the defendants. They saw a group of people come into the yard, yelling at them, some with peavey handles and baseball bats. Aman Aujla, who described a "really violent mood" and the situation as "getting really ugly really quick", went to shut off the chain. Guiseppe Pinzarrone turned it back on and questioned what the group was doing. There was a scuffle. A smaller group of men approached Mr. Pinzarrone and one man - whom he later identified as Sonny Ghag - pushed Mr. Pinzarrone and choked him three times. A man with a peavey handle swung it at Ron Lee, but missed, and another man pushed Mr. Lee. Sukhbir Moore saw a man throw a 2x4 at the chain while telling him to get out of the way. Lee Young described the people as looking "fierce" and he saw confrontations between some of these people and other workers, where sticks were used to push the Mainland workers. Mr. Young obeyed "whatever was demanded" of him in order to avoid confrontation. Aman Aujla and Gorman Kayrah alerted Larry Anderson, the charge hand, and went to the foreman's office inside the mill. Ron Lee, Lee Young and Sukbir Moore also went to the foreman's office and waited there until they felt it was safe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press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Three forklift drivers and several workers in the press area (Devinder Ladhar, Rajinder Braich, Christopher Parnell, Efren Ocampo, Alessandro Pinzarrone, James Lillyman and Karnail Shergill) were the next to encounter the strangers. Most of these plaintiffs thought there were about fifty people coming into the area. Devinder Ladhar said that about six men came towards him while he was in his forklift, about two with peavey handles and two with baseball bats. When he asked them what was going on, one man speared at him with a piece of dunnage. Rajinder Braich was approached by ten to twelve men, again some with sticks or baseball bats. When Mr. Braich challenged these people, one man threatened to hit him with a bat if he did not leave, and several others pushed him on the shoulders. Karnail Shergill saw people arguing with Rajinder Braich. Mr. Braich and Mr. Shergill wanted to go to the foreman's office, but were prevented from doing so by some men who followed them, telling them to go to the gate. Christopher Parnell described a group of 30 to 40 people coming in to the press area and surrounding him in a horseshoe shape. One man became upset when Mr. Parnell told the group that they were trespassing. The man struck Mr. Parnell three times with an open hand - twice on the side of his cheek and once on his neck. Mr. Parnell was also hit in the leg by something. The keys belonging to Mr. Braich's and Mr. Parnell's forklifts were grabbed and thrown away. Efren Ocampo was surrounded by a group of people who were swearing and screaming at him and calling him a "scab", and someone pushed him with a 2x4. James Lillyman saw a group surround Mr. Parnell and he saw someone push Mr. Ocampo. He went into a shed at the press area, and was followed there by a group of six to twelve men. One man - later identified as Lloyd Hill - grabbed Mr. Lillyman by the shirt with both hands. Mr. Lillyman broke away and was prepared to defend himself, but the group left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Guiseppe Pinzarrone got his red Dodge Dakota pickup truck and went to pick up his son Alessandro near the press area. As he was leaving with his son, someone threw something at the truck. Keijo Lahti admitted that he threw his peavey handle at this truck. There was approximately $500 damage to the truck. There is evidence that Guiseppe Pinzarrone was driving quickly through the mill yard. He agreed that he was trying to get out of the mill and he was not going to stop for anybody. He said, "They choked me already, I was not going to give them a second chance". Alessandro described "tons of guys all over the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Inside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Either during these exchanges or immediately after, a large number of the defendants went inside the mill building. Some of the plaintiffs saw people coming in from various places. A group of about twenty people approached several workers near the grading table and trim saws. Rampal Berar and Hari Gill and another worker were surrounded. Hari Gill saw a man carrying a peavey handle. Mohinder Ladhar saw a man hit a heater above Rampal Berar with a baseball bat and he saw the group argue with Mr. Berar and then start to beat him up. Mr. Berar was punched and pushed to the ground, and then kicked on his right leg. He identified the man who punched and pushed him as Sonny Ghag, but he did not see who kicked him. A man told Hari Gill that they should go because the men were drunk and they would do the same to him. The rest of the crowd was telling them all to go home, using profanities. Mr. Ladhar tried to protect Mr. Berar but it was too much for him. When he went to shut off his saw, a few of the men went after him and pushed him from behind, telling him to go outside quickly. Mr. Berar, Mr. Gill and Mr. Ladhar left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Jamie Hadley saw the group pushing people at the grading station. From his position at the #1 trim saw, he saw people move from the grading area and the chipper towards the foreman's office and scatter around the mill. He described the crowd as getting more and more aggressive. Those with peavey handles were banging them on the railings. He saw twenty to thirty people in an area near the foreman's office. The crowd was moving and people were darting in and out, up and down the stairs. A man jumped out of the crowd and screamed at Mr. Hadley to get out of there and go home, using abusive language. Another man jumped out and put his hands around Mr. Hadley's throat, looked him in the eyes and told him to get out "right now". Mr. Hadley ran down the stairs and towards his car. He felt as if people were chasing him and he was concerned that he would get hit with a peavey stick. He did not identify any of the defendants as his assailant.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Dave Stuart left his position at the #1 trim saw to see what was going on. He saw people outside with peavey sticks and pipes, several men on the catwalks outside the foreman's office and a group of about six to seven men standing outside the lunchroom. He told them it was not a good idea for them to be up there. As he turned to walk away, a man lunged at him. Mr. Stuart closed his eyes and ducked, but the man grabbed him and swung him around, injuring his face. He said that several people were grabbing him. The identity of the man who lunged at him is unknown. Mr. Stuart picked up his things and went to the foreman's office. Eventually, he went to the main gate with the foreman to talk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Michael De Verteuil was heading back to his work station in the saw filing room when he noticed a crowd of about twelve to fifteen people by the foreman's office. They came towards him, shouting "you're shut down" and various obscenities. There was some back and forth between Mr. De Verteuil and several individuals in the group. Mr. De Verteuil said that he thought the strike was over. Their response was "I'm still on strike, get the *f* out", "we've had trouble with you people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De Verteuil was not prepared to leave. He told them they would have to drag him out. One man, whom Mr. De Verteuil later identified as Jeff Lavigne, told the others, "this guy needs to be dragged out". At that point, someone hit Mr. De Verteuil with an open hand on his right jaw. He then felt a blow to his temple and another man grabbed him by the shoulders, pushed him around and told him to "get the *f* out". He started to go back upstairs, and the same man shoved him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De Verteuil went back to the filing room. There were several people there, shouting at his co-worker, Walter Girotto, to get out. When Mr. De Verteuil walked toward the stairs to leave, the same man "swooped" at him from the right, reached up and removed his glasses, taunting him and threatening to beat him up. Mr. De Verteuil was eventually able to retrieve his glasses. While walking out, the man told Mr. De Verteuil to take a message to his local, that they were a bunch of ** and were "screwing up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Walter Girotto described those who came in to the filing room as looking "pretty mad" and noisy, calling the workers "scabs". One man had an axe handle, which he pounded on a wooden box. Mr. Girotto identified Sonny Ghag as the spokesman of the group and as the man who yelled at him the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Jhalman Uppal was running the edger saw in his booth when he saw people on the catwalk, "pounding with a peavey handle" and "making a bunch of noise". Four to five people came to his booth and told him to shut it down or "we'll shut it down for you". Eight to ten people were standing outside the booth. He was scared, as he thought they would beat him up if he made any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Donald Haldorson, the senior charge hand, went to the foreman's office and called 9-1-1. There are several video monitors in the office from which he could see what was happening at various locations in the mill. A number of workers came into the office, including Dave Stuart (with injuries to his cheek), Larry Anderson, Ron Lee, Lee Young, Devinder Ladhar, Aman Aujla, Bruno Benetton, Bill Vidovic, Gorman Khayrah, Sukhbir Moore and Jhalman Uppal. Most of them stayed until the police arrived at the mill and they felt it was safe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Most of the plaintiffs who were in the foreman's office could see people on the catwalks outside the office, at least one man with a peavey stick, another with a bat and one with a metal pipe. Mr. Haldorson identified the man with the peavey stick as Keijo Lahti. He said that this man was banging the peavey stick on the floor "for intimidation" and a few others followed him, banging sticks. Mr. Lahti denied going inside the building. Mr. Haldorson also identified Sonny Ghag, Barry King and Norma Lahti as individuals he saw in the mill that night. Almost none of the plaintiffs saw picket signs inside the mill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Anderson felt "scared and helpless", isolated and "almost trapped" in the foreman's office. He did not think the people were there to picket, but rather were there to shut the mill down and "thump a few out". He was aware that this was the second time people had tried to shut down the mill and he was very concerned about what would happen the next time. Mr. Haldorson was also anxious and concerned for the safety of the workers. He was on the phone with the 9-1-1 operator for about 20 minutes. He then called the mill manager and went to the main office near the gate. Other management people arrived, as did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Four men who were described as agitated came into the millwright shop where Dan Griffiths was working. They "ordered" Mr. Griffiths off the site because they were going to close down the mill. Mr. Griffiths told the men that he had to make sure all of the equipment was shut off. He felt "a little threatened" by one of the men, who was younger and heavier. Mr. Griffiths went around the mill to check on the equipment. There were many people on the stairs and on the catwalk, including at least two men with peavey sticks. About three or four men followed him around the mill. They kept telling Mr. Griffiths to leave the equipment and get off the job. He did not want to stop and confront them. However, he stayed on the site for about 45 minutes to an hour, checking all of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Miguel Perez, Iqbal Parmar, Parmjit Birk and Sohan Mann left the mill when told to do so. Mr. Perez and Mr. Parmar expressed concern for their safety. Neither Mr. Birk nor Mr. Mann expressed the same concern, but the fact that they left their posts and walked out of the mill because of the actions of the crowd indicates that they felt some fear or apprehension while inside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Outside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By the time most of the plaintiffs reached the area outside the mill by the gate, police had arrived. When outside the mill, the crowd continued to behave in a similar but less intimidating manner. Many plaintiffs described a large group by the gate (estimates ranged from 50 to 100 people) in a violent mood, swearing, calling the Mainland workers "scabs" and shouting things like "we'll get you". Some plaintiffs saw people with peavey sticks, 2x4s and bats. Rajinder Braich heard someone tell people to throw their sticks away, and he saw some sticks being thrown on the railway tracks. Hari Gill saw a man throw a knife and another throw a peavey in the ditch by the road. Few plaintiffs recalled seeing any picket signs. Dan Griffiths described people outside the gate, on both sides of the road down to the tracks at Ash Street, "like a gauntlet".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no doubt that the crowd continued to be noisy, aggressive and quite threatening. While many plaintiffs did not see any weapons, it is clear that there were some peavey handles and other sticks in the area. None of the plaintiffs engaged in any discussion with those in the crowd as they went outside and began leaving. For example, Dan Griffiths did not want to get into any verbal conflict because he was concerned that things could escalate. Other plaintiffs did not leave immediately, but few stayed around for more than 10 to 15 minutes. None of the plaintiffs were pushed or shoved outside the mill and no one physically interfered with their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At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was no less threatening at the tracks. Gerald Montgomery had a difficult time getting through that crowd. His truck was surrounded and someone opened the passenger door, glaring at him. He was eventually escorted through by police. Most plaintiffs who were leaving the mill estimated about 50 to 60 people at the tracks, swearing and yelling "scabs" and "go home". Again, few plaintiffs recalled seeing any picket signs there. All afternoon shift plaintiffs were frightened as they drove through that crowd. Ron Lee said that people were pounding on his car. He described them as acting "like a bunch of pirates". Jamie Hadley saw a man swing a peavey handle at his vehicle's driver's side window, but there was no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graveyard shift workers began arriving close to 11:00 pm. Some of these workers had limited contact with the crowd. They all described a reasonably large group at the tracks, in an angry mood, telling each of them that the mill was shut down and to leave. Satnam Aujla, Narendra Gounder and Paul Larocque were confronted by a number of angry people and described being threatened with harm if they attempted to cross the tracks.</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told a different story. Some admitted to bringing, carrying or seeing others with peavey handles (Keijo Lahti, Norma Lahti, Brian Lund, Lloyd Hill, Dale Johnson, Keith Legge, Ken Fleming, Jim Ferris, Kulbir Thandi, Michael Lee, Martin Cheremkora) but few acknowledged seeing any violent behaviour. Some of them saw or heard Mr. Ghag speaking to the crowd before going inside, getting the crowd "built up", saying things like "these scabs" were working behind the picket line and shouldn't be (Randy Baust, Lloyd Hill, Leonard Yalowicka, Ralph Altenreid, Keith Legge, Mike Kelly). Most said that they followed Mr. Ghag into the mill and some saw Mr. Ghag wave the crowd inside (Dale Johnson and Jeff Lavigne).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Some defendants heard or witnessed some of the confrontations at the green chain and press area (Randy Baust, Dale Johnson, Ralph Altenreid, Jim Ferris, Ray Hudon, Mike Kelly). Many agreed that there were "people everywhere" (Earl Graham, Dale Johnson) and there was shouting. Some agreed that people were swearing and shouting "scabs" (Keijo Lahti, Lloyd Hill) and racial slurs (Jim Ferris). No one admitted any wrongdoing, other than trespassing. A few defendants were uncomfortable with the atmosphere inside the premises and admitted that they wanted to get out before things "really got out of hand" (Roger Rudyk, Kulbir Thandi, Mike Kelly). Some defendants described the event as "pretty orderly" (Jeff Lavigne), "just another picket line" (Ralph Altenreid) and without yelling or banging on the catwalks (Philip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None of the defendants who stayed at the tracks acknowledged the appearance of weapons or any confrontational behaviour; however, one (Grazio Odorisio) agreed that the people at the tracks were "wound up" and it was "kind of tense" when the graveyard shift workers began to arrive. Most of the evidence given by these defendants was vague, and many of them simply did not notice or remember very much (Grazio Odorisio, Martin Cheremkora, Ron Pastor, Michael Lee, James Sim, Mohinder Gidda, Jack Bigg, Patrick Goslawski and Rick Reandy).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appreciate that individuals in large crowds will experience different things, and that many of the defendants may not have witnessed physical altercations with Mainland workers. In general, however, I find that the defendants either had no appreciation of or simply refused to acknowledge the extent of their actions and the effect on the plaintiffs. I do not accept the evidence of any defendants who denied the heated nature of the atmosphere both inside the mill and at the tracks, particularly those who described the event as if it were "just another picket line". Such evidence is not consistent with any of the plaintiffs' evidence, nor is it consistent with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any event, there was a considerable amount of evidence that was uncontradicted: the crowd that entered Mainland on December 16th was large, up to 200 people; they were loud and angry; they shouted obscenities at the Mainland workers, called them "scabs" and demanded that they leave the mill; some individuals carried peavey handles, bats or 2x4s, which they used primarily to intimidate the workers; and the smaller crowd at the tracks behaved in a similar manner, although their action in gathering on a public road was somewhat less intimidating.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Brian Lund admitted that he brought peavey handles to Mainland from the union office. Keijo Lahti saw this and Norma Lahti saw them being handed out. Mr. Ghag and Mr. King were seen leading the crowd, and Mr. King was seen banging a peavey handle on the ground or on catwalks in the mill. Keijo Lahti admitted that he carried a peavey handle (without a picket sign) wherever he went, that he banged it on the ground or on machinery in order to "emphasize to people to get out", and that he became more aggressive if his demand was not obeyed. He saw others carrying peavey handles and 2x4s, with and without picket signs. He agreed that there was a lot of "colourful language" used that night. He also admitted throwing his peavey handle at Guiseppe Pinzarrone's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Lahti said that he intended to put a picket sign on the peavey stick. I do not accept his evidence about that. Given the size of a peavey handle, it is simply too heavy to be useful for holding a picket sign. Some of the defendants admitted this. Moreover, Mr. Lahti clearly used his peavey handle for intimidation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Norma Lahti stayed close by Mr. Ghag throughout the evening. She said that she saw Mr. Ghag taunt Michael de Verteuil with his glasses. She admitted that the members of the crowd called the Mainland workers "scabs". While leaving Mainland's premises, she said that Mr. Ghag bragged about choking somebody.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Lloyd Hill also acknowledged that people were calling the Mainland workers "scabs", yelling at them to get out, and that inside the building, upstairs near the foreman's office, people were banging peaveys on the catwalks. Leonard Yalowicka acknowledged that he led the Hammond group into the mill, that he was aware he was leading them on to private property, that he was concerned about their safety because of the presence of peavey sticks, and that he was cautious because he understood that Mr. Ghag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Dale Johnson and Jeff Lavigne described people "going everywhere" once inside the mill. Mr. Johnson said that he went to the river by the log booms with Phillip Rose, looking for a fire alarm. Not finding one, they left. This is denied by Mr. Rose, who said that he went inside the mill and left by himself. Mr. Lavigne went to the green chain area and inside the mill, but he denied seeing any pushing or shoving. He acknowledged that he was telling people to leave, but he did not recall what he said or how he said it. He denied having any kind of weapon, he denied pushing or shoving anyone and he denied hearing sticks banging on the catwalks. He described things as "pretty orderly" in that all the Mainland employees and the group walked out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Afterwards, Mr. Johnson went to Jeff Lavigne's house with a number of others. He agreed that people were pumped up about their "success" and proud of what they had done. Mr. Lavigne agreed that the flavour of the conversation was, "We really shut those guys down, we really showed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Yalowicka testified that he asked and received permission to enter Mainland from a security guard. He said that the guard did not seem afraid and that he indicated it was "not a problem" to go inside the mill. I do not accept that evidence. Mainland did not employ a security guard. It appears that the person to whom Mr. Yalowicka may have spoken was the driver of a chip truck. It is difficult to accept that anyone could have reasonably thought that such a person was a Mainland security guard. It is more difficult to accept that such a person - regardless of who he was - would have had "no problem" with a crowd of about 200 unidentified people marching into the mill premises late at night. All of the defendants admitted that this action of entering private property was unprecedented in their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also gave markedly different descriptions of the crowd at the tracks. Most of them testified that they did not see any threats or confrontations, that the people were calm and just "milling about" and that it was an "average picket line" which was "generally informational". Some defendants acknowledged that there was some yelling back and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do not accept the evidence of the defendants about the nature of the crowd at the tracks. Their descriptions were vague and made no sense, given the totality of the evidence about the event. This was not an "average picket line". The defendants were not happy with the actions of their fellow union members in Local 2171 and they were there to make that clear. None of the defendants' descriptions accord with any of the evidence given by the plaintiffs. I accept the evidence of the plaintiffs, as it was not seriously challenged, it is consistent with all of the other evidence and it simply makes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Ghag told an even different story. He denied talking to the crowd. He claimed he was told that Dale Johnson waved the crowd in to Mainland and he simply followed suit. He said that the green chain was already shut down when he entered Mainland. I do not accept that evidence. While I have some concerns about the evidence of Certain Defendants regarding Mr. Ghag's role, I find that he was very involved in this incident and his presence there, as President of Local 1-3567, set much of the tone for what took place. He admitted that he spoke to the media. His statements, and the manner in which he made them (as evident in the video) show that he was very much involved and caught up in the aggressive atmosphere. His reference to "scabbing" contributed significantly to that atmosphere. Mr. Ghag also went to Mr. Lavigne's house afterwards, with others who were celebrating what they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Ghag submitted that the evidence of the defendants who testified that he spoke to the crowd before it went inside Mainland was inconsistent and should not be believed. There were inconsistencies in details, such as whether Mr. Ghag was standing on the back of a truck. Some witnesses saw this; others did not. I do not consider those kinds of inconsistencies to be unusual in an event such as this. It is not surprising that individuals saw different things from different places in the crowd and at different times. In my view, the weight of the evidence shows that Mr. Ghag played a significant leadership role at Mainland and that he gave a message to the crowd that they had to go in and get the "scabs" out. As President of Local 1-3567, Mr. Ghag's words and actions had significant power. The evidence also shows that the other union officers, leaders and members willingly followed his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clear that calling a fellow union member a "scab" is very offensive. Sonny Ghag acknowledged this. Norma Lahti admitted that it is a "terrible thing to say" and that she would be shocked if someone came to her workplace and called her a "scab". Many defendants acknowledged that violence is not acceptable. Dale Johnson and Ray Hudon acknowledged that, in hindsight, what they did at Mainland was wrong and they were not proud of it. Kulbir Thandi admitted that he would not have attended had he known the Mainland workers had been authorized to work by their local union.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claims in assault and assault with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All plaintiffs frame their causes of action in the tort of assault or assault and battery. Claims of assault only are unusual, since there is no physical injury. The tort of assault, which is a trespass to the person, involves a threat by the defendant to apply some degree of force to the plaintiff. It has been described as intentionally causing another person to fear or apprehend imminent contact of a harmful or oppressive nature: see Gerald 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2nd ed. (Toronto: Carswell, 2002) at p. 71. The plaintiffs' fear or apprehension of imminent harm must be reasonable. It is described as follows in Lewis N. Klar's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3rd ed. (Toronto: Carswell, 2003) at pp. 41 to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must have caused a reasonable apprehension of imminent harm. It does not matter if the defendant did not have the actual ability to cause harm as long as a reasonable person would have felt threatened. The plaintiff need not have been in fear, as long as the harm was apprehended.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underlying policy of the tort of assault is the reduction of violence. A threat to do harm at some future time does not constitute an assault because such a threat is not as likely to spur retaliation. Allen M. Linden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 Butterworths, 2006), gives examples where threats lack the required immediacy for assault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shaking one's fist at someone who is out of reach, making a threat over the telephone, or reaching for someone who is standing safely behind a counter ..." (p.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Linden also provides some useful examples of conduct that constitutes an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Shaking a fist at another person, lunging at someone in an effort to attack, and swinging an axe at another person are actionable assaults. An assault may also be committed if a person is surrounded by a group of people in a hostile manner. ... Blocking another person's progress has also been said to amount to an assault, but this is questionable. (p.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Whatever the words, action and context, the plaintiff must reasonably believe that he is in danger of violence: </w:t>
      </w:r>
      <w:r>
        <w:rPr>
          <w:rFonts w:ascii="arial" w:eastAsia="arial" w:hAnsi="arial" w:cs="arial"/>
          <w:b/>
          <w:i/>
          <w:color w:val="000000"/>
          <w:sz w:val="20"/>
          <w:lang w:val="en-US" w:eastAsia="en-US" w:bidi="ar-SA"/>
        </w:rPr>
        <w:t>Bruce v. Dyer</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(1966), 58 D.L.R. (2d) 211</w:t>
        </w:r>
      </w:hyperlink>
      <w:r>
        <w:rPr>
          <w:rFonts w:ascii="arial" w:eastAsia="arial" w:hAnsi="arial" w:cs="arial"/>
          <w:color w:val="000000"/>
          <w:sz w:val="20"/>
          <w:lang w:val="en-US" w:eastAsia="en-US" w:bidi="ar-SA"/>
        </w:rPr>
        <w:t xml:space="preserve"> (Ont. H.C.), aff'd </w:t>
      </w:r>
      <w:hyperlink r:id="rId970" w:history="1">
        <w:r>
          <w:rPr>
            <w:rFonts w:ascii="arial" w:eastAsia="arial" w:hAnsi="arial" w:cs="arial"/>
            <w:i/>
            <w:color w:val="0077CC"/>
            <w:sz w:val="20"/>
            <w:u w:val="single"/>
            <w:shd w:val="clear" w:color="auto" w:fill="FFFFFF"/>
            <w:lang w:val="en-US" w:eastAsia="en-US" w:bidi="ar-SA"/>
          </w:rPr>
          <w:t>(1967), 8 D.L.R. (3d) 592</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Certain Defendants challenged some of the plaintiffs' claims for assault - particularly those of the graveyard shift employees - primarily on the basis that words or threats alone are not sufficient to found an assault and that in some cases, the plaintiff did not reasonably fear or apprehend imminent physical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It is clear that a threat of violence which exhibits an intention to assault and a present ability to carry out the threat will constitute an assault: </w:t>
      </w:r>
      <w:r>
        <w:rPr>
          <w:rFonts w:ascii="arial" w:eastAsia="arial" w:hAnsi="arial" w:cs="arial"/>
          <w:b/>
          <w:i/>
          <w:color w:val="000000"/>
          <w:sz w:val="20"/>
          <w:lang w:val="en-US" w:eastAsia="en-US" w:bidi="ar-SA"/>
        </w:rPr>
        <w:t>Read v. Coker</w:t>
      </w:r>
      <w:r>
        <w:rPr>
          <w:rFonts w:ascii="arial" w:eastAsia="arial" w:hAnsi="arial" w:cs="arial"/>
          <w:color w:val="000000"/>
          <w:sz w:val="20"/>
          <w:lang w:val="en-US" w:eastAsia="en-US" w:bidi="ar-SA"/>
        </w:rPr>
        <w:t xml:space="preserve"> (1853), 138 E.R. 1437. While words alone, without some accompanying action, are not normally sufficient to constitute an assault, it is important to note that the context in which words are spoken may add substance to a verbal threat. The principles appear to be the same in the United States. Dan B. Dobbs,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St. Paul, Minn.: West Group, 2001), notes at p. 65, "The apparent reality of the threat, not its form, is what 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my view, all of the plaintiffs from the afternoon shift were verbally threatened by the defendants who went into the Mainland premises, and the action of the defendants as a large crowd entering the premises during a working shift, banging peavey handles and other kinds of sticks in a menacing manner, shouting and swearing at the plaintiffs to get out, constitute positive action, in addition to any words or threats, that showed a clear and present ability and an intention to use physical force. Similarly, a verbal threat by the defendants at the tracks, in the context of the presence of a fairly large and noisy crowd, some with sticks, is also sufficient to constitute an assault. In my opinion, it was reasonable for the plaintiffs to fear or apprehend imminent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While it is not clear how many weapons were brought to Mainland (and were present either at the tracks, on the road or inside the premises), I accept that the number was quite small relative to the size of the crowd. There was evidence that some defendants were drinking beer. Other than the alcohol consumption earlier in the evening which was admitted by Sonny Ghag and Keijo Lahti, I do not consider alcohol to have been a significant factor in the incident.</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Afternoon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appreciate that some plaintiffs did not testify at length about their fear or apprehension. Some plaintiffs were reluctant to give details about their experience on December 16th. I did not interpret their reluctance to mean that they did not apprehend some kind of imminent physical contact as a result of the words and actions of the defendants as a group. These plaintiffs did not strike me as people who would readily admit to being fearful. Their actions in leaving their posts before the end of the shift in response to the demands of the defendants indicated their fear or apprehension. In my view, all of the plaintiffs who were working the afternoon shift at Mainland on December 16th did fear or apprehend some kind of imminent physical contact by one or more of the defendants, and I find that all of the afternoon shift plaintiffs who testified were assaulted. Some were assaulted and battered.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Graveyard shift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Three of the graveyard shift plaintiffs proceeded with claims for assault. Certain Defendants say that none of these plaintiffs feared or apprehended imminent physical contact and that all of them were in a position to leave the area and avoid any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After being approached in his car by four to five men (one with a peavey handle and another with a stick), Satnam Aujla parked his car and went to talk to them. They used abusive language. Mr. Aujla wanted to talk to someone else. Sonny Ghag was pointed out to him as the "main guy". Mr. Aujla said that he then had a conversation with Mr. Ghag, which was quite heated. He was more afraid when he talked to Mr. Ghag because Mr. Ghag was saying the same things as the others, called him a "company man" and would not let him in. He smelled alcohol on Mr. Ghag's breath. It is not clear what Mr. Ghag said to Mr. Aujla, but Mr. Aujla said that he felt threatened as a result. Mr. Aujla also said that he saw people kicking his car while he was talking to Mr. Ghag.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were some inconsistencies in Mr. Aujla's evidence. For example, in an affidavit sworn in this proceeding on December 21, 2005, he stated that he saw someone break the antenna from his car; at trial he said that he did not actually see this. While I have difficulty with some of Mr. Aujla's evidence, I do not attribute it to dishonesty, but rather to a limited ability to express himself in the English language. Of more concern with respect to his claim, is the lack of evidence of a specific threat by Mr. Ghag or anyone else to harm Mr. Aujla. Mr. Aujla admitted that Mr. Ghag did not say that he was going to hit him. However, considering Mr. Aujla's evidence as a whole, the most reasonable inference to be drawn is that there was an implicit threat, and Mr. Aujla reasonably apprehended imminent harm because of the context in which he and Mr. Ghag exchanged words - the crowd, the presence of peavey sticks and the smell of alcohol on Mr. Ghag's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About four or five people approached Narendra Gounder's car as he drove toward the tracks. He saw someone wearing an IWA jacket and he saw a picket sign. He rolled down his window to ask what was going on and was told that there was a strike and he should leave. One of the men had a stick that was four to six feet long. He told Mr. Gounder in abusive language that if he crossed the line they were going to hurt him. Mr. Gounder later identified the man who spoke to him as Sonny Ghag.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Gounder turned his car around and parked it on the other side of the road. He stayed on the street with some of his co-workers for about an hour, until his union representative arrived and confirmed that they would not be working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Gounder's evidence establishes that he was threatened, that the person who threatened him was holding a stick that could be used as a weapon, that the threat was accompanied by the presence of a crowd of angry people, and that he was fearful that if he did not do what they demanded of him, he would be subject to imminent physical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About ten to twelve people came towards Paul Larocque's car and two came to his window. He did not see anyone with sticks. One man (whom Mr. Larocque later identified as Sonny Ghag) told him to go home, as they were still on strike, and if he did not go, the man would break all the lights on his car. Mr. Larocque, who saw a police car nearby, told the man to go ahead. The man leaned in and said, "You're going to pay". Mr. Larocque smelled beer. A second man leaned in and said he would pull Mr. Larocque out of the car. Mr. Larocque said he could not, as he had his seatbelt on. He saw others from his shift across the street, moved his car, and parked. He stood outside with his co-workers for awhile.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Larocque thought he "might have got a couple of shots" if he tried to leave. He was "kind of wary" about getting hit but only if he tried to cross the line of people: "As long as I went backwards, I felt I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Mistry submitted that apprehension of harm by any of these three plaintiffs was not imminent because they simply had to avoid crossing the line to avoid the harm, which each did. He challenged the notion of "conditional assault", as described by Linden: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person points a gun at another and says, "Your money or your life!" it might be argued that it is not assault because the plaintiff may avoid any harm by complying with the condition and parting with his money. It could be contended that the requirement of immediacy is absent. Such an argument is fallacious, however, for one cannot impose conditions upon another, when one has no legal right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Mr. Mistry reviewed the authorities cited for this principle: </w:t>
      </w:r>
      <w:r>
        <w:rPr>
          <w:rFonts w:ascii="arial" w:eastAsia="arial" w:hAnsi="arial" w:cs="arial"/>
          <w:i/>
          <w:color w:val="000000"/>
          <w:sz w:val="20"/>
          <w:lang w:val="en-US" w:eastAsia="en-US" w:bidi="ar-SA"/>
        </w:rPr>
        <w:t>Prosser and Keeton on the Law of Torts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Keefe v. The State</w:t>
      </w:r>
      <w:r>
        <w:rPr>
          <w:rFonts w:ascii="arial" w:eastAsia="arial" w:hAnsi="arial" w:cs="arial"/>
          <w:color w:val="000000"/>
          <w:sz w:val="20"/>
          <w:lang w:val="en-US" w:eastAsia="en-US" w:bidi="ar-SA"/>
        </w:rPr>
        <w:t xml:space="preserve"> (1857), 19 Ark. 190; </w:t>
      </w:r>
      <w:r>
        <w:rPr>
          <w:rFonts w:ascii="arial" w:eastAsia="arial" w:hAnsi="arial" w:cs="arial"/>
          <w:b/>
          <w:i/>
          <w:color w:val="000000"/>
          <w:sz w:val="20"/>
          <w:lang w:val="en-US" w:eastAsia="en-US" w:bidi="ar-SA"/>
        </w:rPr>
        <w:t>Trogdon v. Terry</w:t>
      </w:r>
      <w:r>
        <w:rPr>
          <w:rFonts w:ascii="arial" w:eastAsia="arial" w:hAnsi="arial" w:cs="arial"/>
          <w:color w:val="000000"/>
          <w:sz w:val="20"/>
          <w:lang w:val="en-US" w:eastAsia="en-US" w:bidi="ar-SA"/>
        </w:rPr>
        <w:t>, (1916) 172 N.C. 540. In my view, these authorities support Linden's proposition. In this case, the defendants had no right to prevent the plaintiffs from proceeding across the tracks to go to work. A number of them admitted this. While they had every right to try to convince the plaintiffs not to do so, they had no right to impede their access. None of the threats was accompanied by gestures indicating that the defendants did not intend to cause harm immediately if their demands were not heeded. Simply because these plaintiffs were able to avoid imminent harm by not crossing the line does not absolve the defendants of liability for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the circumstances, I find that each of these three graveyard shift plaintiffs has established the tort of assault. They were threatened with imminent harm should they attempt to do what they were entitled to do - cross the tracks and proceed to work - and in the context of the angry crowd they reasonably feared or apprehended such harm if they did not accede to the defendants'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Who were the wrongdoers?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have concerns about the overall reliability about the evidence identifying individual defendants as wrongdoers. First, the events took place very quickly and most of the plaintiffs were taken by surprise. Their only means of identifying individuals was by viewing photographs taken after the event and posted on the walls at Mainland and by seeing Mr. Ghag on the television news. Second, while some defendants gave evidence that was consistent with some of the plaintiffs' identification evidence, the only person the defendants sought to identify was Sonny Ghag. The whole tenor of the case brought by Certain Defendants was that Mr. Ghag was the only one responsible for what happened, and I have not accepted that. There was also evidence of a serious personal rift between Mr. Ghag and Norma and Keijo Lahti in November 2004 (for reasons unrelated to this action) which causes me to question the motivation of some of Norma Lahti's evidence as it relates to Mr. Ghag.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Nevertheless, I have made some specific findings. None of these findings affect the apportionment of liability, as (for the reasons set out below) I have considered all of the defendants to be joint tortfeasors in a joint enterprise.</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Sonny Ghag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only defendant identified by a number of plaintiffs and some defendants was Sonny Ghag. Mr. Ghag is well known to the parties. Many plaintiffs saw him on the television news following the incident. His photograph, along with photographs of many other defendants, was subsequently posted on walls at the Mainland Sawmill. Several plaintiffs mentioned Mr. Ghag for the first time at trial and two of them only when they were re-called for further cross-examination. While I do not doubt that the plaintiffs who identified Mr. Ghag honestly believed that he was directly involved in the assault, it was my impression that they tended to place the blame on Mr. Ghag because he was the one who was most recognizable.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Ghag admitted that he went into the Mainland premises but denied being at the green chain area and denied assaulting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Guiseppe Pinzarrone was certain that Mr. Ghag was the man who choked him at the green chain. He recognized Mr. Ghag when he saw him on the TV news after the December 16th incident. However, Mr. Pinzarrone was just as certain that this was the same man with whom he spoke on November 21, 2003, when members of Local 1-3567 set up a picket line at Mainland. This is inconsistent with other evidence. In addition to Mr. Ghag's denial, Keijo Lahti, who was present on November 21st and was quite involved, confirmed that Mr. Ghag was not there. Moreover, the conversation Mr. Pinzarrone described having with the man he thought was Mr. Ghag did not make sense considering Mr. Ghag's position as President of Local 1-3567. According to Mr. Pinzarrone, the man said he was not happy with the representation from the union. Mr. Pinzarrone told the man that there were procedures under the IWA Constitution to make a complaint if he was not happy. It is quite clear that Mr. Pinzarrone was mistaken about seeing Mr. Ghag on November 21st.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Randy Baust and Dale Johnson testified that they saw Mr. Ghag shove someone at the green chain. Norma Lahti testified that Mr. Ghag told her he had choked somebody by grabbing him in the throat, and that he was "pumped" about it. While this is consistent with Mr. Pinzarrone's evidence, for the reasons set out above, I do not consider it sufficiently reliable to confirm the identification of Mr. Ghag. Mr. Pinzarrone was mistaken about Mr. Ghag's identity on November 21st and he may well have been mistaken about it on December 16th. I do not find this evidence sufficient to support a finding that Mr. Ghag assaulted Guiseppe Pinzarrone.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Ghag was the only person Rampal Berar was able to identify as one of his assailants. He did so from a video tape and some photographs he was shown after December 16th. Hari Gill also identified Mr. Ghag as the man who punched and kicked Mr. Berar. When he was outside the mill near the gate, Mr. Gill saw a man arguing with a police officer. He said that someone in the group told him that the man was Sonny Ghag. He also saw Mr. Ghag on the television news, and he recognized him as the same man who pushed Mr. Berar. Mohinder Ladhar identified Mr. Ghag as one of the men who argued with Mr. Berar, but he was not able to say who committed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have concerns about Mr. Gill's identification of Mr. Ghag. He did not mention this before he gave his testimony at trial and he was clearly angry at Mr. Ghag. It was my impression that Mr. Gill's anger clouded his objectivity. I find it likely that Mr. Ghag was among the group that surrounded Mr. Berar, and I appreciate that Mr. Berar was quite certain that Mr. Ghag is the one who pushed him. However, given the manner in which Mr. Berar identified Mr. Ghag and the other evidence overall, I do not consider the evidence to be sufficiently reliable to make a finding that Mr. Ghag was the individual who assaulted and battered Mr. Berar.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Michael De Verteuil described the man who pushed him and who taunted him with his glasses as a taller East Indian man wearing an IWA jacket with lots of union patches, but he did not identify Mr. Ghag as that man. He could not say who hit him in the jaw. Norma Lahti testified that she saw Mr. Ghag taunt one of the Mainland workers with his glasses. Walter Girotto said that he saw Mr. Ghag in the filing room, where Mr. De Verteuil went just before he was taunted, but he did not witness the taunting.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Considering Norma Lahti's relationship with Mr. Ghag, I do not consider her evidence to be sufficiently reliable, particularly when viewed with Mr. De Verteuil's evidence, to find that Mr. Ghag was the individual who assaulted Michael De VerteuiI.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Satnam Aujla consistently asserted that Mr. Ghag was the person with whom he had an altercation. This altercation involved some back and forth arguments. Juancho Ocampo, another graveyard shift worker, also identified Mr. Ghag as the person who was arguing with Mr. Aujla. Both Narendra Gounder and Paul Larocque identified Mr. Ghag as well, but they mentioned this for the first time when they were re-called for cross-examination at the end of the trial. No one else witnessed Mr. Ghag speaking to either of them. I do not doubt that these plaintiffs believed that the person they encountered was Mr. Ghag, but I am concerned that Mr. Ghag's notoriety among the two local unions may have influenced these witnesses to identify him more readily. I accept Mr. Aujla's evidence identifying Mr. Ghag, but not the evidence of Mr. Gounder and Mr. Larocque.</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Lloyd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James Lillyman identified Lloyd Hill as the person who grabbed him by the shirt at the press area. Mr. Hill denied this, saying that he "did not touch one person there". Mr. Lillyman identified Lloyd Hill by looking at a number of photographs of various members of Local 1-3567 that were taken in January 2004. He was sure that the man in one of the photographs was the man who grabbed him, but was less sure if the man in another photograph was the same man (both were photographs of Lloyd Hill). He also described the man as 5' 10" or 5'11", about 210 lbs, "on the husky side", having a shaggy grey beard with streaks through it, wearing jeans and a union jacket. The man had nothing on his head and was not carrying a peavey handle or dunnage. He thought the man was in his fifties, but could have been between 45 and 50. Mr. Lillyman said quite adamantly that he remembered the man and the shape of his face. However, the photograph in which he identified Mr. Hill did not reveal the shape of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Lillyman had a fairly good memory of the image of this man, which matched the photographs he identified, and matched Mr. Hill's actual appearance. Another plaintiff who worked in the press area, Efren Ocampo, described a man with a long beard yelling at everyone to go home. Mr. Hill admitted that he went in as far as the press area. All of the evidence, except Mr. Hill's denial, is consistent. Mr. Hill was in the press area, he was yelling at the Mainland workers, and he was not carrying a peavey or any other 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Lloyd Hill is a fairly large, distinctive looking man, with a long grey beard. It is surprising that Mr. Lillyman was sure about Mr. Hill's identity in one photograph but not sure about his identity in the other. However, Mr. Hill looks quite different in the two photographs, and it was my impression that Mr. Lillyman was being quite careful on this point. While I have concerns about the reliability of identification evidence through photographs viewed in this manner, I found Mr. Lillyman's evidence about Mr. Hill to be quite convincing. Mr. Hill's denial, on the other hand, was simply too broad and too adamant to be believed. I accept Mr. Lillyman's evidence that Lloyd Hill was the man who pushed him.</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Jeff Lavigne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Michael De Verteuil identified Jeff Lavigne in a photograph as the person who shouted to others in the crowd that "this guy needs to be dragged out". This took place immediately before Mr. De Verteuil was struck by another individual. Mr. De Verteuil described Mr. Lavigne as having distinctive, full lips, who looked much younger in person than in a photograph.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Lavigne acknowledged that there was shouting and that the Mainland employees were being told to leave, but he denied saying anything "that could be interpreted as a threat". Yet he could not remember what he said to people or how he said it. He denied hearing sticks banging on the catwalks and he denied seeing Mr. Ghag at all when he was inside the mill building. He described things as "pretty orderly" in that the Mainland workers and the group walked out of the mill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Lavigne's evidence is inconsistent with the vast majority of the evidence, particularly as to the loud, angry and aggressive mood of the crowd, and it is simply not credible. On the other hand, Mr. De Verteuil's description of Mr. Lavigne was surprisingly consistent with Mr. Lavigne's photograph and with his appearance in person. It is also consistent with evidence that Mr. Lavigne was inside the mill building. Mr. Lavigne was not well known like Mr. Ghag. I accept Mr. De Verteuil's identification evidence about Jeff Lavigne.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Who organized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Late in the afternoon of December 16, 2003, a number of union members gathered at Local 1-3567's office for drinks. In attendance were Sonny Ghag, Barry King, Keijo Lahti, Brian Lund, Earl Graham, Larry Kellum, and for a short while later, Brian Harder and Norma Lahti. Keijo Lahti, Brian Harder and Earl Graham testified that there were discussions that afternoon with Mr. Ghag and Mr. King about going to Mainland. Mr. Harder was concerned because Mr. Ghag, Mr. King and Mr. Lahti had been drinking, and he hoped that they would "go home and pass out". However, he did not dissuade them from going to Mainland. Mr. Harder candidly admitted that he did not think any union local should have sent its members back to work before the back to work legislation was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Brian Lund testified that he loaded peavey handles from a storage locker into his van, at Mr. Ghag's request. Mr. Lahti saw him do this. Most of those who were at the office knew that the plan was in place before they left for the evening. Mr. Kellum did not remember discussing Mainland at all, but his memory of these events was very poor and his evidence was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only evidence which contradicted any of this was that of Mr. Ghag, who denied it all. He said that initially he did not want to go to Mainland, but later changed his mind, giving no reason for doing so. His explanation that he attended in order to diffuse the situation is not credible in light of all of the other evidence. I accept the evidence of the other defendants on this issue. The plan to go to Mainland was discussed among the officers and the members present at the union office and Mr. Lund loaded peavey sticks into his van before they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From the office, Keijo Lahti, Norma Lahti and others went to dinner with Sonny Ghag at the home of his friend Ms. Wilson. Mr. Lahti and Mr. Ghag admitted that they had been drinking, and Mr. Lahti was too inebriated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Calls were made to a number of union leaders to organize people to go to Mainland later that evening, between 9:00 and 10:00 pm. Those defendants who were called initially and who in turn called others were Leonard Yalowicka from Hammond, Grazio Odorisio and Dale Johnson from Weyerhaeuser and Lloyd Hill from Fraser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is evidence that Sonny Ghag, Barry King and Keijo Lahti made these calls. Mr. Ghag denied calling anyone. Leonard Yalowicka testified that he received calls from Keijo Lahti, Barry King and Sonny Ghag, wanting him to organize a "flying picket" line. Mr. Johnson said that he received a call from Mr. Ghag as early as "the middle of the day". Grazio Odorisio received a call from Barry King at around dinner time. Lloyd Hill did not recall who phoned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Whether or not Mr. Ghag made any calls himself is not in my view critical. As President, he did not have to make any calls. He had others to do this for him. In general, I find the position of Certain Defendants that responsibility for the entire incident falls at the feet of Sonny Ghag to be unreasonable and not supported by the evidence. Regardless of who made the calls, the message from each of them was the same. Mr. Ghag was responsible for organizing the event, but he did not do it alone. He had many eager assistants and participants: officers and executive board members of Local 1-3567 (Barry King, Earl Graham, Larry Kellum, Leonard Yalowicka and Brian Lund) and plant committee chairs or active members employed by Hammond (Leonard Yalowicka, Keijo Lahti), Weyerhaeuser (Grazio Odorisio and Dale Johnson) and Fraser Mills (Lloyd Hill). They all heard the message and were eager to pass it along, support the direction and go to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What was the message? Why did they 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With few exceptions, the defendants testified that they attended at Mainland on December 16th because they objected to Mainland's employees returning to work before the back-to-work legislation was passed in the provincial Legislature. Mr. Ghag testified that the members of Local 1-3567 went because they were angry about rumours that Mainland had cut logs belonging to Weyerhaeuser. A number of defendants acknowledged hearing these rumours but some did not recall when they heard them or said they heard them after December 16th. Lloyd Hill's evidence was inconsistent with all other defendants about the reason for attending at Mainland; he appeared to have his very own version of events. (He thought that Mainland was cutting Fraser Mills' wood during the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Ghag acknowledged that these rumours about "hot logs" were not true, but that he learned this from one of Mainland's customers who was at the mill on the night of December 16th. He challenged the credibility of the other defendants, questioning why most of them were employees of either Weyerhaeuser or Hammond. He also alleged that the other officers and plant chairs were aware by December 15th that Mainland employees had returned to work, and in that context, it makes little sense that these people would wait until the next night to take steps to shut down the mill for the reasons they gave.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is true that in addition to the union officers and executive board members, most of the other defendants who went to Mainland on December 16th were employees of either Hammond (Ralph Atlenreid, Randy Baust, Ken Fleming, Keith Legge, Mohinder Gidda, Michael Lee) or Weyerhaeuser (Martin Cheremkora, Jim Ferris, Patrick Goslawski, Ray Hudon, Baldev Hundal, Mike Kelly, Jeff Lavigne, Ron Pastor, Rick Reandy, Philip Rose, Roger Rudyk, James Sim, Kulbir Thandi). Lloyd Hill and Jack Bigg were employees of Fraser Mills. However, there were many more people at Mainland than just these defendants, who I have found were members of Local 1-3567. Mr. Ghag's contention that some of the defendants were aware on December 15th that the Mainland employees were working has a bearing on their credibility, but it does not support his explanation, which is inconsistent with any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accept that all of the defendants legitimately believed that no union member should return to work before the back-to-work legislation was in place. I accept their evidence that they attended at Mainland because they disagreed with the actions of the Mainland employees. They intended to picket with the objective of shutting down the mill. Some defendants may have initially intended only to prevent the graveyard shift employees from going to work. However, that intention escalated when they arrived at Mainland. Not only were the defendants going to prevent the graveyard shift from coming to work, they were going to make sure that the afternoon shift workers left before their shift was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All of the directions to do this were given by the local union leaders at the end of a strike where there had been considerable conflict between Local 1-3567 and Local 2171, particularized to Mainland. The incidents of November 21st and December 6th were well known. Local 1-3567 members were angry that Local 2171 members at Mainland had not, from their perspective, honoured their picket line on November 21st, and had collaborated with their employer to allow lumber to be moved during the strike. Many Local 1-3567 members were calling the Mainland workers "scabs" after November 21st and December 6th. This was confirmed by Brian Harder and a number of defendants, including Keijo Lahti, who was actively involved in all of these incidents, Dale Johnson, Leonard Yalowicka and Lloyd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was no secret that the officers, executive board and many members of Local 1-3567 were not supportive of the union being legislated back to work. Some controversy arose from Mr. Haggard's comments on December 14, 2003, encouraging union members to go back to work as soon as possible. The leaders of Local 1-3567 held the view that members should not return to work until the legislation was passed. Local 2171 clearly took a different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Yalowicka said that the message he received from Mr. Ghag, Mr. King and Mr. Lahti was that members were going to go to Mainland to "make sure they come out". He attributed to Mr. Ghag comments that the Mainland workers were "scabs" and they had to "force" or "drive them out". Mr. Yalowicka said that he did not interpret those comments to mean that the members would go in and take the Mainland workers out physically, but rather that they would stand at the gate and yell at them to come out. I find this evidence quite telling and I do not accept Mr. Yalowicka's interpretation of the message. Whether or not it was Mr. Ghag, Mr. King or Mr. Lahti who made such comments, I find that there was a clear, underlying message conveyed to all Local 1-3567 members to go to Mainland to "take out" the workers who should not have been working. Nothing more explicit was ever said, but considering the well-known animosity between the two locals, nothing more explicit was necessary. The implicit direction was to do whatever was necessary to shut down Mainland Sawmills. In my view, the willingness of the union members to follow this direction shows a common intention to use threats or force, if necessary, to carry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Almost all of the defendants testified that they did not know that the Mainland employees had gone back to work before they were called on December 16th. Mr. Ghag testified that many defendants were aware of this a day earlier, at a meeting where the representatives from all of the operations that were on strike discussed whether members of Local 1-3567 should return to work immediately or wait until the legislation had passed. He said that a motion was passed after some debate, and not unanimously, that they would wait for the legislation. He said that those who attended that meeting were aware that Local 2171 had already put their people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While I have not accepted much of Mr. Ghag's testimony about his role in the incident, this aspect of his evidence is consistent with the evidence of some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Ghag testified that he called this meeting as a result of a telephone call he received the day before from Keith Tones, a member of Local 1-3567 who worked at Weyerhaeuser. Mr. Tones wanted to know if members could return to work before the back to work legislation was passed. Mr. Ghag said that he then called the business agents for the struck operations and asked them to set up a meeting. According to Mr. Ghag, Mr. Tones attended the December 15th meeting. Keith Tones was called by Certain Defendants as a rebuttal witness. He agreed that he had called Mr. Ghag to ask when they could go back to work, but he denied attending a meeting on December 15th to discuss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Young submitted that Mr. Ghag's evidence about this "fictitious" meeting should not be believed. Because Mr. Ghag did not cross-examine some defendants about this meeting, leave was given for Certain Defendants to be re-called as counsel saw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Each defendant who was re-called (Earl Graham, Les Veale, Leonard Yalowicka and Brian Harder) denied attending such a meeting or that such a meeting ever took place. However, Mr. Ghag did initially question some of the defendants about this alleged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Brian Lund agreed in cross-examination that there was a discussion on December 15th about when people would go back to work. He acknowledged that there was a motion on the floor regarding the option of returning immediately or waiting until the legislation passed. Some wanted to go back immediately, but the majority voted to wait. He was aware that some operations in other locals had returned to work, and he admitted that at that meeting he learned from Mr. Ghag or someone else that Local 2171 had gone back to work. Lloyd Hill appeared to agree with Mr. Ghag's suggestion that there was a meeting on December 15th, but his evidence was not entirely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Graham acknowledged such a meeting when he was initially cross-examined by Mr. Ghag, and he admitted that he may have known before December 16th that Local 2171 had sent their people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saying that the decision was that we would only go back if the legislation was passed?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was that decision made? Maybe that's probably a better question.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decision was made on the 15th with the FIR operations.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 so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wasn't executive board.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You'll just find my question is very simple. Prior to the 16th, that evening, did you have any knowledge that 2171 and 363 and some of the other locals, had put people back to work? You had no knowledge?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you may have brought it up that they were -- they were back to work. Or someone would have. I -- I don't recall who but obviously we're going to put a picket up there, there has to be a reason behind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question is just simple. If you had knowledge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recall for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But you said you or somebody else may have mentioned that 2171 was put -- they could go back to work? I say to you that discussion took place on a Monday, on the 15th, ten o'clock, when we met with all of the picketers about Vancouver Local and others had gone back to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Does that jog your memory?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possible, Sonny,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When he was re-called, Mr. Graham testified that he was not contacted to attend a meeting on December 15th to vote on whether to return to work before the legislation passed. He denied attending a meeting that day for that purpose and he said that he had not heard before this testimony that such a meeting had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When Leonard Yalowicka was initially cross-examined by Mr. Ghag, he agreed with the suggestion that there was a meeting on December 15th to discuss whether to go back to work, that the majority agreed to wait until the legislation passed, but he did not think he knew if some locals were sending their people back sooner. When he was re-called on this point, Mr. Yalowicka denied that there was a meeting on December 15th and that he did not remember a meeting where a vote was taken as to when to return to work. He agreed that Local 1-3567 decided not to go back until the legislation was passed, but he thought that decision was made on December 13th.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find the reversal of evidence by Mr. Graham and Mr. Yalowicka to be quite astonishing. Not only did they completely contradict their earlier testimony, but they also did not seem to recall that such testimony had been given at all. Whether or not Mr. Graham was specifically aware that Local 2171 had sent its members back to work, he assumed that the Mainland employees went back because the President of Local 2171 said they could. This assumption came from somewhere.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Ghag's evidence about this issue makes sense. Mr. Haggard's comments during the press announcement on December 14th were unclear. He had encouraged IWA members to return to work as soon as possible. A number of defendants acknowledged that the decision about when to return to work in these rather unusual circumstances was the decision of each local. The only time any discussion within Local 1-3567 could have taken place about whether or not to return to work immediately, if any such discussion did in fact take place, would have had to occur after the December 14th announcement.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According to Mr. Ghag, and this was not disputed, the IWA was concerned about the welfare of its members being out on strike during the Christmas season. While he did not support back to work legislation, Mr. Ghag agreed with Mr. Haggard that it would be better for the union members and their families to be legislated back, provided they could return to work under the existing collective agreement. This was the deal that the IWA, FIR and the government struck. Also according to Mr. Ghag, Local 1-3567 was quite militant, or to use the words of Mr. Yalowicka, their members had "attitude". There were people who wanted to get back to work, but the majority of the local did not agree. It makes sense that there would be some kind of meeting to discuss this rather controversial issue after the announcement of December 14th. Whether or not Keith Tones attended a meeting on December 15th is not, in my view, material. It is clear that Mr. Tones called Mr. Ghag about this very issue. The details of the meeting are not clear, which is not surprising given how busy these people were during the strike and the length of time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this issue, I accept Mr. Ghag's evidence and I reject the evidence of the Mr. Graham and Mr. Yalowicka denying that such a meeting took place. I find that Mr. Graham, Mr. Lund and Mr. Yalowicka were aware on December 15th that members of Local 2171 had returned to work after the December 14th announcement. A reasonable inference to be drawn from this evidence, in the context of the earlier events of November 21st, December 6th and December 13th, is that this was the last straw as far as the leaders of Local 1-3567 were concerned. They wanted to deal with Local 2171 and Mainland was the obvious target</w:t>
      </w:r>
      <w:bookmarkStart w:id="325"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325"/>
      <w:r>
        <w:rPr>
          <w:rFonts w:ascii="arial" w:eastAsia="arial" w:hAnsi="arial" w:cs="arial"/>
          <w:color w:val="000000"/>
          <w:sz w:val="20"/>
          <w:lang w:val="en-US" w:eastAsia="en-US" w:bidi="ar-SA"/>
        </w:rPr>
        <w:t>. Why they waited until the next night to take any action was not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Given the animosity that Local 1-3567 had for the Mainland employees due to their more moderate approach to union actions during the strike, and given the size and nature of the crowd that assembled on December 16th, I find it inconceivable that almost none of the defendants acknowledged this. I also find it inconceivable that none of the defendants, particularly those who were actively involved in calling members and organizing pickets, seriously questioned the wisdom of what they were doing, especially considering that the legislation was being debated that very night in a Legislature with only two opposition members. Several defendants were aware of the debate that night (Sonny Ghag, Leonard Yalowicka, Lloyd Hill, Brian Lund) and others were aware that the legislation was in the process of going forward (Earl Graham, Randy Baust, Martin Cheremkora, Ralph Altenreid).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Brian Lund's evidence was telling. While he was walking towards the gate to the Mainland premises, he received a telephone call from Douglas Tingley, an executive board member and chair of the plant committee at Acorn Forest Products. Mr. Tingley, who was at home watching the debate on television, told Mr. Lund that the back to work legislation had just passed. Mr. Lund told no one about this important information. He carried on and followed the crowd inside Mainland's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significant that Mr. Lund kept this information to himself. It shows that no one - especially those in positions of authority within Local 1-3567 - questioned the wisdom of what they were doing. That the legislation passed as the crowd went inside shows how redundant and inappropriate these actions really were. It may have been too late for Mr. Lund to do anything about the actions of the crowd; however, that no effort was made to communicate this demonstrates that Mr. Lund, and the others who were in a position to know about the debate that night, simply did not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Dale Johnson described the crowd walking in to the mill yard "like sheep following the flock". This is consistent with the approach taken by many of the defendants. For example, Randy Baust was not aware that the president of Local 2171 had authorized his members to go back to work, and he did not ask any questions about why the Mainland employees were working on December 16th. He said that he would have gone anywhere he was asked to go by the leader of his local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Many defendants acknowledged the legitimacy of an employee returning to work at the request of his employer and with the sanction of the local union. In my opinion, it is not good enough for any defendant to say that he was simply following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my view, the evidence supports a number of findings: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Sonny Ghag and Barry King were actively involved in planning, organizing and carrying out the event on December 16, 2003 with the assistance and participation of Earl Graham, Larry Kellum, Leonard Yalowicka, Brian Lund, Keijo Lahti, Grazio Odorisio, Dale Johnson and Lloyd Hill.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these defendants were aware that members of Local 1-3567 were antagonistic towards the Local 2171 members employed at Mainland as a result of Mainland employees' refusal to stay behind the picket line on November 21, 2003 and their apparent cooperation with management in loading lumber on December 6, 2003. Members of Local 1-3567 were calling the Mainland workers "scabs" after November 21st.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Sonny Ghag, Earl Graham, Brian Lund and Leonard Yalowicka were aware on December 15th that Local 2171 had sent their members back to work.</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Barry King, Brian Lund, Keijo Lahti and other Local 1-3567 members brought peavey handles to Mainland and Mr. King and Mr. Lahti used those handles in an intimidating manner at Mainland.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Local 1-3567 members brought other kinds of bats or sticks to Mainland, including an axe handle.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either assaulted or assaulted and battered by individual members of Local 1-3567 who attended at Mainland on December 16, 2003. Sonny Ghag was directly involved in threatening Satman Aujla, Lloyd Hill was involved in pushing James Lillyman and Jeff Lavigne was involved in threatening Michael De Verteuil.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plaintiffs say that all of the individual defendants are jointly and severally liable for the assaults committed because they all participated in the violence that took place and did not dissociate themselves from those who were committing the assaults. Mr. McDonell relies primarily on </w:t>
      </w:r>
      <w:r>
        <w:rPr>
          <w:rFonts w:ascii="arial" w:eastAsia="arial" w:hAnsi="arial" w:cs="arial"/>
          <w:b/>
          <w:i/>
          <w:color w:val="000000"/>
          <w:sz w:val="20"/>
          <w:lang w:val="en-US" w:eastAsia="en-US" w:bidi="ar-SA"/>
        </w:rPr>
        <w:t>Bains v. Hofs</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(1992), 76 B.C.L.R. (2d) 98</w:t>
        </w:r>
      </w:hyperlink>
      <w:r>
        <w:rPr>
          <w:rFonts w:ascii="arial" w:eastAsia="arial" w:hAnsi="arial" w:cs="arial"/>
          <w:color w:val="000000"/>
          <w:sz w:val="20"/>
          <w:lang w:val="en-US" w:eastAsia="en-US" w:bidi="ar-SA"/>
        </w:rPr>
        <w:t xml:space="preserve"> (S.C.), where Boyd J. found one defendant liable for another defendant's wrong on the basis that "one who knowingly assists or encourages another to commit a tort, or one who is merely present as a conspirator in the wrong that is done is, in law, a joint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Certain Defendants say that the personal defendants (other than Mr. Ghag and John Doe) should not be held jointly liable for the assaults that were committed because these torts were unrelated to and independent of the joint venture (picketing) and none of the personal defendants other than Mr. Ghag was involved in the assaults. Ms. Young submitted that mere presence as a witness to a tort does not make one a joint tortfeasor. She says that there must be a finding of fault before there can be a finding of liability and there is no proof that any of the personal defendants other than Mr. Ghag and John Doe were at fault. She relies on s. 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two cases: </w:t>
      </w:r>
      <w:r>
        <w:rPr>
          <w:rFonts w:ascii="arial" w:eastAsia="arial" w:hAnsi="arial" w:cs="arial"/>
          <w:b/>
          <w:i/>
          <w:color w:val="000000"/>
          <w:sz w:val="20"/>
          <w:lang w:val="en-US" w:eastAsia="en-US" w:bidi="ar-SA"/>
        </w:rPr>
        <w:t>Harrison v. Biggs</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[1991] B.C.J. No. 192</w:t>
        </w:r>
      </w:hyperlink>
      <w:r>
        <w:rPr>
          <w:rFonts w:ascii="arial" w:eastAsia="arial" w:hAnsi="arial" w:cs="arial"/>
          <w:color w:val="000000"/>
          <w:sz w:val="20"/>
          <w:lang w:val="en-US" w:eastAsia="en-US" w:bidi="ar-SA"/>
        </w:rPr>
        <w:t xml:space="preserve"> (S.C.), varied on another point </w:t>
      </w:r>
      <w:hyperlink r:id="rId973" w:history="1">
        <w:r>
          <w:rPr>
            <w:rFonts w:ascii="arial" w:eastAsia="arial" w:hAnsi="arial" w:cs="arial"/>
            <w:i/>
            <w:color w:val="0077CC"/>
            <w:sz w:val="20"/>
            <w:u w:val="single"/>
            <w:shd w:val="clear" w:color="auto" w:fill="FFFFFF"/>
            <w:lang w:val="en-US" w:eastAsia="en-US" w:bidi="ar-SA"/>
          </w:rPr>
          <w:t>(1992), 74 B.C.L.R. (2d) 164</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Fillipowich v. Nahachewsky</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(1969), 3 D.L.R. (3d) 544</w:t>
        </w:r>
      </w:hyperlink>
      <w:r>
        <w:rPr>
          <w:rFonts w:ascii="arial" w:eastAsia="arial" w:hAnsi="arial" w:cs="arial"/>
          <w:color w:val="000000"/>
          <w:sz w:val="20"/>
          <w:lang w:val="en-US" w:eastAsia="en-US" w:bidi="ar-SA"/>
        </w:rPr>
        <w:t xml:space="preserve"> (Sask.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Bains v. Hofs</w:t>
      </w:r>
      <w:r>
        <w:rPr>
          <w:rFonts w:ascii="arial" w:eastAsia="arial" w:hAnsi="arial" w:cs="arial"/>
          <w:color w:val="000000"/>
          <w:sz w:val="20"/>
          <w:lang w:val="en-US" w:eastAsia="en-US" w:bidi="ar-SA"/>
        </w:rPr>
        <w:t>, the plaintiffs claimed damages against three defendants as a result of two acts of arson that destroyed a shed and a barn on their farm. The judge found that the defendants Hofs and Devries acted jointly in planning and setting the barn fire. The third defendant, Langbroek, was not involved in planning the incident, but he was aware that Hofs and Devries intended to burn something down. He drove them to the plaintiffs' farm, at their direction. When they got there, Langbroek realized the scope and seriousness of their intentions. He tried, without success, to dissuade them. After the two got out of the vehicle, Langbroek drove around and eventually returned to pick them up as they ran away from the fire. The three discussed the matter and agreed to keep it secret. It was not until a police investigation re-opened some eight years later that their actions were uncovered.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finding Langbroek liable as a joint tortfeasor, Boyd J. referred to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7th ed. (Sydney: Law Book Co., 1987), ch. 11, pp. 229, 230: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tort is imputed to several persons as joint tortfeasors in three instances, viz. Agency, vicarious liability, and concerted action ... The critical element of the third is that those participating in the commission of the tort must have acted in furtherance of a common design. There must be concerted action to common end', not merely a coincidence of separate acts which by their conjoined effect cause damage' (The Koursk </w:t>
      </w:r>
      <w:hyperlink r:id="rId975"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 id="_x0000_i1250" type="#_x0000_t75" style="width:11pt;height:10pt">
            <v:imagedata r:id="rId976" o:title=""/>
          </v:shape>
        </w:pict>
      </w:r>
      <w:r>
        <w:rPr>
          <w:rFonts w:ascii="arial" w:eastAsia="arial" w:hAnsi="arial" w:cs="arial"/>
          <w:color w:val="000000"/>
          <w:sz w:val="20"/>
          <w:lang w:val="en-US" w:eastAsia="en-US" w:bidi="ar-SA"/>
        </w:rPr>
        <w:t xml:space="preserve"> at 156). Broadly speaking, this means a conspiracy with all participants acting in furtherance of the wrong, though it is probably not necessary that they should realize that they are committing a tort. All persons acting in pursuance of a common end, being thus identified with each other, are accordingly responsible for the entire result and so it was laid down in 1612 that all coming to do an unlawful act, and of one party, the act is the act of all the same party being present' (Heydon's Case, 77 E.R. 1150 at 1151).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requisite degree of participation has not been precisely defined in modern decisions, there is a cogent support both in principle and ancient authority for the suggestion that it may well correspond with the description attached by the criminal law to principles in the first and second degree. This would include, besides the actual perpetrator, anyone who aids and abets', whether or not he actively intervenes. Knowingly assisting, encouraging or merely being present as a conspirator at the commission of the wrong would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At para. 24, Boyd J. found Langbroek liable as a joint tortfeasor despite his limited knowledge of the purpose of the trip to the Bains' farm: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clear that on his arrival there he did indeed become fully aware of the unlawful nature of the plan. He tried unsuccessfully to dissuade Devries and Hofs. Then he did what I consider to be his most critical act - he did not disassociate himself from the wrong that was being done nor did he do anything to stop the other two. Rather he circled the block three times and returned to pick them up after they set the fire, in effect driving the getaway car. He then met with the others to discuss a coverup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Johnston v. Burton</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(1970), 16 D.L.R. (3d) 660</w:t>
        </w:r>
      </w:hyperlink>
      <w:r>
        <w:rPr>
          <w:rFonts w:ascii="arial" w:eastAsia="arial" w:hAnsi="arial" w:cs="arial"/>
          <w:color w:val="000000"/>
          <w:sz w:val="20"/>
          <w:lang w:val="en-US" w:eastAsia="en-US" w:bidi="ar-SA"/>
        </w:rPr>
        <w:t xml:space="preserve"> (Man. Q.B.), a case of assault, was cited in </w:t>
      </w:r>
      <w:r>
        <w:rPr>
          <w:rFonts w:ascii="arial" w:eastAsia="arial" w:hAnsi="arial" w:cs="arial"/>
          <w:b/>
          <w:i/>
          <w:color w:val="000000"/>
          <w:sz w:val="20"/>
          <w:lang w:val="en-US" w:eastAsia="en-US" w:bidi="ar-SA"/>
        </w:rPr>
        <w:t>Bains</w:t>
      </w:r>
      <w:r>
        <w:rPr>
          <w:rFonts w:ascii="arial" w:eastAsia="arial" w:hAnsi="arial" w:cs="arial"/>
          <w:color w:val="000000"/>
          <w:sz w:val="20"/>
          <w:lang w:val="en-US" w:eastAsia="en-US" w:bidi="ar-SA"/>
        </w:rPr>
        <w:t xml:space="preserve">. There, three defendants were alleged to have been involved in assaulting two youths. The plaintiff was not able to say which of two defendants caused his injury. A third defendant had actively prevented the plaintiff's companion from coming to his aid. Wilson J. found all three defendants to be joint tortfeasors by virtue of their participation by design and intention in a concerted action. He referred to the 8th edition of </w:t>
      </w:r>
      <w:r>
        <w:rPr>
          <w:rFonts w:ascii="arial" w:eastAsia="arial" w:hAnsi="arial" w:cs="arial"/>
          <w:i/>
          <w:color w:val="000000"/>
          <w:sz w:val="20"/>
          <w:lang w:val="en-US" w:eastAsia="en-US" w:bidi="ar-SA"/>
        </w:rPr>
        <w:t>Winfield on Tort</w:t>
      </w:r>
      <w:r>
        <w:rPr>
          <w:rFonts w:ascii="arial" w:eastAsia="arial" w:hAnsi="arial" w:cs="arial"/>
          <w:color w:val="000000"/>
          <w:sz w:val="20"/>
          <w:lang w:val="en-US" w:eastAsia="en-US" w:bidi="ar-SA"/>
        </w:rPr>
        <w:t xml:space="preserve">, (London: Sweet &amp; Maxwell, 1967), c. 26 at p. 659-660, which adopted the definition from The "Koursk", </w:t>
      </w:r>
      <w:hyperlink r:id="rId975"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 id="_x0000_i1251" type="#_x0000_t75" style="width:11pt;height:10pt">
            <v:imagedata r:id="rId976" o:title=""/>
          </v:shape>
        </w:pict>
      </w:r>
      <w:r>
        <w:rPr>
          <w:rFonts w:ascii="arial" w:eastAsia="arial" w:hAnsi="arial" w:cs="arial"/>
          <w:color w:val="000000"/>
          <w:sz w:val="20"/>
          <w:lang w:val="en-US" w:eastAsia="en-US" w:bidi="ar-SA"/>
        </w:rPr>
        <w:t xml:space="preserve"> at p.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are said to be joint tortfeasors when their respective shares in the commission of the tort are done in furtherance of a common design ... but mere similarity of design on the part of independent actors, causing independent damage is not enough; there must be concerted action to a common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Wilson J. noted, the mere fact that a group of people are doing things together does not necessarily make them joint tortfeasors. The key is whether they are acting in the furtherance of a common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He quoted from Glanville Williams'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A Study of Concurrent Fault</w:t>
      </w:r>
      <w:r>
        <w:rPr>
          <w:rFonts w:ascii="arial" w:eastAsia="arial" w:hAnsi="arial" w:cs="arial"/>
          <w:color w:val="000000"/>
          <w:sz w:val="20"/>
          <w:lang w:val="en-US" w:eastAsia="en-US" w:bidi="ar-SA"/>
        </w:rPr>
        <w:t xml:space="preserve"> (London: Stevens, 1951), at pp.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relating to parties to a tort has not been so well worked out as that relating to parties to a crime. In criminal law a principal in the second degree shares the full guilt of the actual perpetrator of the crime, and is defined as anyone (other than the principal in the first degree) who, being a conspirator, is present at the time of the crime, or who (whether a conspirator or not) assists in its commission. It is submitted that a similar definition can be used in tort to indicate a joint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conspirator may be held liable for an assault committed inside a house even though he is himself standing outside at the time ... On the other hand mere presence will not make a person a joint tortfeasor any more than it makes him a party to a crime.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if the case against the defendants was that by chance they happened to be on the scene, witnessed what was going on but merely stood by, taking no part, there would be then no case against them. ... But while it may be no crime, no part of joint liability, merely to watch what goes on, the rule is different if one deliberately takes part, where such participation was by design and done deliberately.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tort committed does not have to be the result of a concerted action to the common end. As Scrutton L.J. said at p. 155 of The "Koursk":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 classes of persons seem clearly to be "joint tortfeasors" ... two persons who agree on common action, in the course of, and to further which, one of them commits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This was the issue in </w:t>
      </w:r>
      <w:r>
        <w:rPr>
          <w:rFonts w:ascii="arial" w:eastAsia="arial" w:hAnsi="arial" w:cs="arial"/>
          <w:b/>
          <w:i/>
          <w:color w:val="000000"/>
          <w:sz w:val="20"/>
          <w:lang w:val="en-US" w:eastAsia="en-US" w:bidi="ar-SA"/>
        </w:rPr>
        <w:t>Newcastle (Town) v. Mattatall</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(1988), 87 N.B.R. (2d) 238</w:t>
        </w:r>
      </w:hyperlink>
      <w:r>
        <w:rPr>
          <w:rFonts w:ascii="arial" w:eastAsia="arial" w:hAnsi="arial" w:cs="arial"/>
          <w:color w:val="000000"/>
          <w:sz w:val="20"/>
          <w:lang w:val="en-US" w:eastAsia="en-US" w:bidi="ar-SA"/>
        </w:rPr>
        <w:t xml:space="preserve"> (C.A.), leave to appeal to S.C.C. refused, </w:t>
      </w:r>
      <w:hyperlink r:id="rId979" w:history="1">
        <w:r>
          <w:rPr>
            <w:rFonts w:ascii="arial" w:eastAsia="arial" w:hAnsi="arial" w:cs="arial"/>
            <w:i/>
            <w:color w:val="0077CC"/>
            <w:sz w:val="20"/>
            <w:u w:val="single"/>
            <w:shd w:val="clear" w:color="auto" w:fill="FFFFFF"/>
            <w:lang w:val="en-US" w:eastAsia="en-US" w:bidi="ar-SA"/>
          </w:rPr>
          <w:t>[1996] S.C.C.A. No. 342</w:t>
        </w:r>
      </w:hyperlink>
      <w:r>
        <w:rPr>
          <w:rFonts w:ascii="arial" w:eastAsia="arial" w:hAnsi="arial" w:cs="arial"/>
          <w:color w:val="000000"/>
          <w:sz w:val="20"/>
          <w:lang w:val="en-US" w:eastAsia="en-US" w:bidi="ar-SA"/>
        </w:rPr>
        <w:t>. Three defendants broke into an ice arena with the common intention of stealing. While inside, one of them negligently caused a fire to break out in the building. The trial judge found that the defendant had lit matches in order to see if there was anything worth stealing and that this was in direct furtherance of the common purpose. On that basis, all three defendants were jointly and severally liable for the damage caused by the negligent use of the fire. The New Brunswick Court of Appeal agreed with the trial judge's conclusion that, the tort having been committed in direct furtherance of the common purpose, all three defendants were jointly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Ms. Young does not quarrel with these principles. She says, however, that the defendants were not acting in concert with those who committed the assaults, and the assaults went beyond what any of them expected. In </w:t>
      </w:r>
      <w:r>
        <w:rPr>
          <w:rFonts w:ascii="arial" w:eastAsia="arial" w:hAnsi="arial" w:cs="arial"/>
          <w:b/>
          <w:i/>
          <w:color w:val="000000"/>
          <w:sz w:val="20"/>
          <w:lang w:val="en-US" w:eastAsia="en-US" w:bidi="ar-SA"/>
        </w:rPr>
        <w:t>Harrison v. Biggs</w:t>
      </w:r>
      <w:r>
        <w:rPr>
          <w:rFonts w:ascii="arial" w:eastAsia="arial" w:hAnsi="arial" w:cs="arial"/>
          <w:color w:val="000000"/>
          <w:sz w:val="20"/>
          <w:lang w:val="en-US" w:eastAsia="en-US" w:bidi="ar-SA"/>
        </w:rPr>
        <w:t xml:space="preserve">, the plaintiff Harrison was shackled to a ball and chain at his bachelor party. He did not like the ritual, and tried to escape from the party on foot. A group of men went after him intending to bring him back to the party. They found him on the street in front of a store window. When they confronted Harrison, he panicked, fell through the window, and was seriously injured. Harrison's action against the men proceeded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trial judge found three of the defendants liable as joint tortfeasors, on the basis that they formed a common intention to bring Harrison back to the party, using force if necessary. He found that these defendants breached the duty of care they owed to Harrison by actively pursuing and confronting him, knowing he was seeking to escape and was in a highly emotional state, that Harrison fell through the window as a direct result of the pursuit and confrontation, and that the injuries suffered were reasonably foreseeable. The trial judge found that one of the defendants was not a joint tortfeasor because he was not acting in concert with the other defendants with respect to the confrontation, did not participate in it and was a mere bystander. These findings were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Fillipowich v. Nahachewsky</w:t>
      </w:r>
      <w:r>
        <w:rPr>
          <w:rFonts w:ascii="arial" w:eastAsia="arial" w:hAnsi="arial" w:cs="arial"/>
          <w:color w:val="000000"/>
          <w:sz w:val="20"/>
          <w:lang w:val="en-US" w:eastAsia="en-US" w:bidi="ar-SA"/>
        </w:rPr>
        <w:t xml:space="preserve"> involved two defendants, a father and son, who attacked the plaintiff with the common intention of bruising him. However, when the father picked up a stone and struck the plaintiff in the head, the judge found that he was no longer acting in concert with the son, but was acting independently. There was no evidence that the son knew or ought to have known that the father would use a stone as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Similar findings cannot be made in this case. There is no defendant who was a mere bystander at Mainland on December 16, 2003, and there is no defendant who was acting independently. As I explain below, each and every one of them acted in concert with other defendants to shut down Mainland Sawmills. The degree of knowledge and participation of each of the defendants is relevant only with respect to his degree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A final issue is whether the common purpose must be unlawful or wrongful in some way. In </w:t>
      </w:r>
      <w:r>
        <w:rPr>
          <w:rFonts w:ascii="arial" w:eastAsia="arial" w:hAnsi="arial" w:cs="arial"/>
          <w:b/>
          <w:i/>
          <w:color w:val="000000"/>
          <w:sz w:val="20"/>
          <w:lang w:val="en-US" w:eastAsia="en-US" w:bidi="ar-SA"/>
        </w:rPr>
        <w:t>Bains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Newcastle</w:t>
      </w:r>
      <w:r>
        <w:rPr>
          <w:rFonts w:ascii="arial" w:eastAsia="arial" w:hAnsi="arial" w:cs="arial"/>
          <w:color w:val="000000"/>
          <w:sz w:val="20"/>
          <w:lang w:val="en-US" w:eastAsia="en-US" w:bidi="ar-SA"/>
        </w:rPr>
        <w:t xml:space="preserve">, the concerted action of the defendants was found to be unlawful. In </w:t>
      </w:r>
      <w:r>
        <w:rPr>
          <w:rFonts w:ascii="arial" w:eastAsia="arial" w:hAnsi="arial" w:cs="arial"/>
          <w:b/>
          <w:i/>
          <w:color w:val="000000"/>
          <w:sz w:val="20"/>
          <w:lang w:val="en-US" w:eastAsia="en-US" w:bidi="ar-SA"/>
        </w:rPr>
        <w:t>Newcastle</w:t>
      </w:r>
      <w:r>
        <w:rPr>
          <w:rFonts w:ascii="arial" w:eastAsia="arial" w:hAnsi="arial" w:cs="arial"/>
          <w:color w:val="000000"/>
          <w:sz w:val="20"/>
          <w:lang w:val="en-US" w:eastAsia="en-US" w:bidi="ar-SA"/>
        </w:rPr>
        <w:t>, the Court of Appeal stated that normally parties to a common, lawful action will not be liable for the tortious act of one. Liability was based on the fact that three persons were engaged in a wrongful activity during which one of them, in furtherance of a common plan to steal, committed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my view, for the personal defendants in this case to be liable as joint tortfeasors, the torts that were committed must have been committed in furtherance of a common purpose, and the common purpose must have been unlawful or wrongful in some way. Otherwise there would be little, if any, connection between the common purpose and the torts that were committed. In other words, if the common purpose was only to picket outside the premises of Mainland and by doing so convince the Mainland employees not to stay or enter the mill, and one or more individuals committed assaults, the other defendants would not necessarily be joint tortfeasors. In such circumstances, it may not be reasonable to expect that such torts would be committed or to conclude that they were committed in furtherance of the common purpose. However, that is not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common purpose of all of the defendants was to picket at Mainland with the objective of shutting down the mill. Local 1-3567 leaders gave an implicit direction to the members to force the Mainland workers out. This was not a normal picket line, and it was not intended to be one. Once they were at Mainland, the defendants formed a common purpose to force the workers out by trespassing on Mainland's property and using threats or force, if necessary, to accomplish their objective. This was unlawful. A few of the defendants who went inside were not comfortable with what was going on and decided to leave the premises within a short time. However, they did not sufficiently dissociate themselves from the common action, as they remained in the area along with the rest of the crowd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 smaller number of the defendants stayed at the tracks to aggressively prevent the graveyard shift employees from entering. All of these defendants were aware that the rest of the crowd had gone inside. A few of them did not seem to know this until after the group began exiting. However, none of them dissociated themselves with that action at any time. They stayed at the tracks and continued to carry out their objective. They also harassed many of the afternoon shift employees who were leaving. Their presence at the tracks was a necessary part of the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Even if the defendants did not intend to trespass or use threats or force before they went to Mainland, they formed that intention once they were there. This common purpose was unlawful, and it is no surprise that some people were assaulted in the process, especially considering the large number of people in the crowd, the well-known animosity between the two local unions, and the presence of peavey sticks and other weapons. The assaults that took place inside Mainland and at the tracks were clearly in the course of and in furtherance to the common, wrongful purpose, and it is my opinion that all of the personal defendants are liable as joint tortfeasors under the principles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will only add that the lawfulness of the picketing is not the issue. I have assumed that it was lawful</w:t>
      </w:r>
      <w:bookmarkStart w:id="326"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326"/>
      <w:r>
        <w:rPr>
          <w:rFonts w:ascii="arial" w:eastAsia="arial" w:hAnsi="arial" w:cs="arial"/>
          <w:color w:val="000000"/>
          <w:sz w:val="20"/>
          <w:lang w:val="en-US" w:eastAsia="en-US" w:bidi="ar-SA"/>
        </w:rPr>
        <w:t>. It was the trespass on to Mainland property and the manner in which the defendants sought to shut down the mill which made the common purpose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Ms. Young submitted that there must be a specific finding of fault against a defendant in order to find liability - in other words, to find that a specific defendant committed a specific assault. In my opinion, this is not necessary. First, all of the personal defendants were at Mainland on December 16, 2003, and the plaintiffs were assaulted by persons who attended. If the defendants are joint tortfeasors, they are jointly responsibility for the torts that were committed. Individual responsibility need not be proven for each of them for what was done. Second, with few exceptions, the plaintiffs were not able to identify or link each of their injuries with the defendant who caused that specific injury. This is through no fault of their own. The very nature of the incident, including the number of people attending, made it impossible for a plaintiff to say definitively which defendant pushed or struck him. I find the principles expressed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 27 regarding the exceptions to the "but for" test of causation to be pertinent and analogous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situation requiring an exception to the "but for" test is the situation where it is impossible to say which of two tortious sources caused the injury, as where two shots are carelessly fired at the victim, but it is impossible to say which shot injured him: </w:t>
      </w:r>
      <w:r>
        <w:rPr>
          <w:rFonts w:ascii="arial" w:eastAsia="arial" w:hAnsi="arial" w:cs="arial"/>
          <w:i/>
          <w:color w:val="000000"/>
          <w:sz w:val="20"/>
          <w:lang w:val="en-US" w:eastAsia="en-US" w:bidi="ar-SA"/>
        </w:rPr>
        <w:t>Cook v. Lewis</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[1951] S.C.R. 830</w:t>
        </w:r>
      </w:hyperlink>
      <w:r>
        <w:rPr>
          <w:rFonts w:ascii="arial" w:eastAsia="arial" w:hAnsi="arial" w:cs="arial"/>
          <w:color w:val="000000"/>
          <w:sz w:val="20"/>
          <w:lang w:val="en-US" w:eastAsia="en-US" w:bidi="ar-SA"/>
        </w:rPr>
        <w:t>. Provided that it is established that each of the defendants carelessly or negligently created an unreasonable risk of that type of injury that the plaintiff in fact suffered (i.e. carelessly or negligently fired a shot that could have caused the injury), a material contribution test may be appropriately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this case, the defendants created an unreasonable risk of the type of injuries that the plaintiffs suffered by participating in an unlawful common enterprise. The assaults that took place may have been spontaneous, but they arose from and were related to the concerted action of picketing, trespassing, threatening and forcing Mainland employees to shut down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Having made this determination, I do not consider that all of the defendants should share equal responsibility. Some are clearly more responsible than others, particularly those who were active in organizing the event and those who trespassed on Mainland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word "fault" in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has been given a broad meaning and is not limited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also encompasses intentional torts: </w:t>
      </w:r>
      <w:r>
        <w:rPr>
          <w:rFonts w:ascii="arial" w:eastAsia="arial" w:hAnsi="arial" w:cs="arial"/>
          <w:b/>
          <w:i/>
          <w:color w:val="000000"/>
          <w:sz w:val="20"/>
          <w:lang w:val="en-US" w:eastAsia="en-US" w:bidi="ar-SA"/>
        </w:rPr>
        <w:t>Bains v. Hofs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Siegl v. Sylvester</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(1987), 47 D.L.R. (4th) 97</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Anderson v. Stevens</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(1981), 29 B.C.L.R. 355</w:t>
        </w:r>
      </w:hyperlink>
      <w:r>
        <w:rPr>
          <w:rFonts w:ascii="arial" w:eastAsia="arial" w:hAnsi="arial" w:cs="arial"/>
          <w:color w:val="000000"/>
          <w:sz w:val="20"/>
          <w:lang w:val="en-US" w:eastAsia="en-US" w:bidi="ar-SA"/>
        </w:rPr>
        <w:t xml:space="preserve"> at p. 359 (S.C.), </w:t>
      </w:r>
      <w:r>
        <w:rPr>
          <w:rFonts w:ascii="arial" w:eastAsia="arial" w:hAnsi="arial" w:cs="arial"/>
          <w:b/>
          <w:i/>
          <w:color w:val="000000"/>
          <w:sz w:val="20"/>
          <w:lang w:val="en-US" w:eastAsia="en-US" w:bidi="ar-SA"/>
        </w:rPr>
        <w:t>Bell Canada v. Cope (Sarnia) Ltd.</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(1980), 31 O.R. (2d) 571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Long v. Gardner</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(1983), 144 D.L.R. (3d) 73</w:t>
        </w:r>
      </w:hyperlink>
      <w:r>
        <w:rPr>
          <w:rFonts w:ascii="arial" w:eastAsia="arial" w:hAnsi="arial" w:cs="arial"/>
          <w:color w:val="000000"/>
          <w:sz w:val="20"/>
          <w:lang w:val="en-US" w:eastAsia="en-US" w:bidi="ar-SA"/>
        </w:rPr>
        <w:t xml:space="preserve"> (Ont. H. Ct. Jus); </w:t>
      </w:r>
      <w:r>
        <w:rPr>
          <w:rFonts w:ascii="arial" w:eastAsia="arial" w:hAnsi="arial" w:cs="arial"/>
          <w:b/>
          <w:i/>
          <w:color w:val="000000"/>
          <w:sz w:val="20"/>
          <w:lang w:val="en-US" w:eastAsia="en-US" w:bidi="ar-SA"/>
        </w:rPr>
        <w:t>Sedgemore v. Block Bros. Realty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(1985), 39 R.P.R. 38</w:t>
      </w:r>
      <w:r>
        <w:rPr>
          <w:rFonts w:ascii="arial" w:eastAsia="arial" w:hAnsi="arial" w:cs="arial"/>
          <w:color w:val="000000"/>
          <w:sz w:val="20"/>
          <w:lang w:val="en-US" w:eastAsia="en-US" w:bidi="ar-SA"/>
        </w:rPr>
        <w:t xml:space="preserve"> (B.C.S.C.); P. Kutner, "Contribution Among Tortfeasors: Liability Issues in Contribution Law" (1985), 63 Can. Bar Rev. 1 at pp. 33-7. Accordingly, the statute permits apportionment of liability between intentional and negligent wrongdoers (</w:t>
      </w:r>
      <w:r>
        <w:rPr>
          <w:rFonts w:ascii="arial" w:eastAsia="arial" w:hAnsi="arial" w:cs="arial"/>
          <w:b/>
          <w:i/>
          <w:color w:val="000000"/>
          <w:sz w:val="20"/>
          <w:lang w:val="en-US" w:eastAsia="en-US" w:bidi="ar-SA"/>
        </w:rPr>
        <w:t>Siegl v. Sylvester</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Anderson v. Stevens</w:t>
      </w:r>
      <w:r>
        <w:rPr>
          <w:rFonts w:ascii="arial" w:eastAsia="arial" w:hAnsi="arial" w:cs="arial"/>
          <w:color w:val="000000"/>
          <w:sz w:val="20"/>
          <w:lang w:val="en-US" w:eastAsia="en-US" w:bidi="ar-SA"/>
        </w:rPr>
        <w:t>) and among intentional wrongdoers only (</w:t>
      </w:r>
      <w:r>
        <w:rPr>
          <w:rFonts w:ascii="arial" w:eastAsia="arial" w:hAnsi="arial" w:cs="arial"/>
          <w:b/>
          <w:i/>
          <w:color w:val="000000"/>
          <w:sz w:val="20"/>
          <w:lang w:val="en-US" w:eastAsia="en-US" w:bidi="ar-SA"/>
        </w:rPr>
        <w:t>Bains v. Hofs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To apportion liability among the personal defendants, the Court must look at the causative conduct in terms of relative or comparative blameworthiness or culpability to see in what degrees the parties departed from the norm of reasonable conduct: </w:t>
      </w:r>
      <w:r>
        <w:rPr>
          <w:rFonts w:ascii="arial" w:eastAsia="arial" w:hAnsi="arial" w:cs="arial"/>
          <w:b/>
          <w:i/>
          <w:color w:val="000000"/>
          <w:sz w:val="20"/>
          <w:lang w:val="en-US" w:eastAsia="en-US" w:bidi="ar-SA"/>
        </w:rPr>
        <w:t>Anderson v. Stevens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Overall, it is clear that Sonny Ghag must bear a significant portion of responsibility for what took place. He was the President of Local 1-3567 and the members followed his lead. The evidence shows that he was a strong leader who enjoyed considerable support. I do not accept Mr. Ghag's evidence that he attended at Mainland only to attempt to diffuse the situation. Even if he had, it is quite clear that he played a major role once he was there. His behaviour departed significantly from the conduct expected of a union president. I find Mr. Ghag to be 40% at fault for the torts committed at Mainland on December 16,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Barry King, Earl Graham, Larry Kellum, Leonard Yalowicka, Brian Lund, Keijo Lahti, Dale Johnson and Lloyd Hill, who were either officers of the union or involved in organizing the event, and were among the group who trespassed at Mainland, must also bear a significant portion of responsibility. These individuals played leadership roles within Local 1-3567 and the members relied on their judgment. Barry King and Keijo Lahti used peavey sticks in an intimidating manner. I find these defendants to be 30% at fault for the torts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who entered the mill property should bear more responsibility than the defendants who did not. Grazio Odorisio did not trespass, but he was involved in organizing the event. I find these defendants to be 20% at fault for the torts committed. I find the remaining defendants - those who did not trespass or organize - to be 10%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plaintiffs submit that the Union and the Society are vicariously liable for the actions of their members, relying on the principles set out in </w:t>
      </w:r>
      <w:r>
        <w:rPr>
          <w:rFonts w:ascii="arial" w:eastAsia="arial" w:hAnsi="arial" w:cs="arial"/>
          <w:b/>
          <w:i/>
          <w:color w:val="000000"/>
          <w:sz w:val="20"/>
          <w:lang w:val="en-US" w:eastAsia="en-US" w:bidi="ar-SA"/>
        </w:rPr>
        <w:t>Bazley v. Curry</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and their application in </w:t>
      </w:r>
      <w:r>
        <w:rPr>
          <w:rFonts w:ascii="arial" w:eastAsia="arial" w:hAnsi="arial" w:cs="arial"/>
          <w:b/>
          <w:i/>
          <w:color w:val="000000"/>
          <w:sz w:val="20"/>
          <w:lang w:val="en-US" w:eastAsia="en-US" w:bidi="ar-SA"/>
        </w:rPr>
        <w:t>Matusiak v. B.C. and Yukon Territory Building and Construction Trades Council</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[1999] B.C.J. No. 2416</w:t>
        </w:r>
      </w:hyperlink>
      <w:r>
        <w:rPr>
          <w:rFonts w:ascii="arial" w:eastAsia="arial" w:hAnsi="arial" w:cs="arial"/>
          <w:color w:val="000000"/>
          <w:sz w:val="20"/>
          <w:lang w:val="en-US" w:eastAsia="en-US" w:bidi="ar-SA"/>
        </w:rPr>
        <w:t xml:space="preserve"> (S.C.). Mr. McDonell makes no distinction between IWA Local 1-3567, USW Local 1-3567 and the Society. He says that all three are one entity, in that the local Union and the Society operate as one organization, IWA Local 1-3567 and USW Local 1-3567 represent the same people, and the effect of the merger of the two was simply a name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Ms. Young submits that IWA Local 1-3567 is not vicariously liable for the tortious acts committed by Mr. Ghag, Mr. King and John Doe and that the USW Local 1-3567, both as a successor union under the </w:t>
      </w:r>
      <w:r>
        <w:rPr>
          <w:rFonts w:ascii="arial" w:eastAsia="arial" w:hAnsi="arial" w:cs="arial"/>
          <w:b/>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and under the terms of the Merger Agreement between the two unions, is not responsible for any damages awarded against IWA Local 1-3567. She also says that the Society, as a separate corporate entity that does not control or employ the defendants, is not vicariously liable for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IWA Local 1-3567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 employers are vicariously liable for "(1) employee acts authorized by the employer; or (2) unauthorized acts so connected with authorized acts that they may be regarded as modes (albeit improper modes) of doing an unauthorized act": </w:t>
      </w:r>
      <w:r>
        <w:rPr>
          <w:rFonts w:ascii="arial" w:eastAsia="arial" w:hAnsi="arial" w:cs="arial"/>
          <w:b/>
          <w:i/>
          <w:color w:val="000000"/>
          <w:sz w:val="20"/>
          <w:lang w:val="en-US" w:eastAsia="en-US" w:bidi="ar-SA"/>
        </w:rPr>
        <w:t>Bazley v. Curry</w:t>
      </w:r>
      <w:r>
        <w:rPr>
          <w:rFonts w:ascii="arial" w:eastAsia="arial" w:hAnsi="arial" w:cs="arial"/>
          <w:color w:val="000000"/>
          <w:sz w:val="20"/>
          <w:lang w:val="en-US" w:eastAsia="en-US" w:bidi="ar-SA"/>
        </w:rPr>
        <w:t>, para. 10. The plaintiffs' position, as I understand it, is that the Union is vicariously liable under either branch of this test, because (1) the wrongdoing was organized and carried out by the guiding minds of the Union, and subsequently ratified, and (2) the wrongful acts were sufficiently related to the conduct authorized by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position of Certain Defendants is that IWA Local 1-3567 did not authorize or ratify any tortious acts, the acts fall outside the scope of the expected activities of a union, and there is an insufficient connection between the IWA Local 1-3567 as an organization and the tortious acts that were committed.</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First branch of the</w:t>
      </w:r>
      <w:r>
        <w:rPr>
          <w:rFonts w:ascii="arial" w:eastAsia="arial" w:hAnsi="arial" w:cs="arial"/>
          <w:b/>
          <w:color w:val="000000"/>
          <w:sz w:val="20"/>
          <w:lang w:val="en-US" w:eastAsia="en-US" w:bidi="ar-SA"/>
        </w:rPr>
        <w:t xml:space="preserve"> Salmond </w:t>
      </w:r>
      <w:r>
        <w:rPr>
          <w:rFonts w:ascii="arial" w:eastAsia="arial" w:hAnsi="arial" w:cs="arial"/>
          <w:b/>
          <w:i/>
          <w:color w:val="000000"/>
          <w:sz w:val="20"/>
          <w:lang w:val="en-US" w:eastAsia="en-US" w:bidi="ar-SA"/>
        </w:rPr>
        <w:t>test - authorized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first branch of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 is a question of fact. The plaintiffs say that the events at Mainland on December 16, 2003 were supported by Local 1-3567's officers, executive board and rank and file members at the time and were ratified by the Executive Board on January 24, 2004. Local 1-3567 says that it did not accept or ratify the actions of Mr. Ghag because it did not authorize the assaults and the members did not have complete information on January 24,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accept that Local 1-3567 did not explicitly authorize assaults in advance of the December 16th incident. However, the Local did authorize a large group of its members to attend at Mainland in highly risky circumstances. Union officers directed members to go to Mainland to make sure the workers came out and to shut down the mill. Once there, Sonny Ghag, as President of Local 1-3567, led the charge into the Mainland property. His message to the members was that "these scabs are working behind the picket line and shouldn't be". He received considerable assistance from Barry King, the 1st Vice-President. Mr. Ghag was well aware of the views of his members and at the very least he ought to have known that the plan to shut down the Mainland mill could very well result in some of the members resorting to assaultive behaviour. Mr. Ghag did not step out of his role as President. To the contrary, he used his role to bring all those members together to protest what they all considered to be improper conduct by fellow union members. Mr. King did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also find that Local 1-3567 ratified Mr. Ghag's leadership and by doing so, the conduct of its members on December 16th. At an executive board meeting on January 24, 2004, Norma Lahti put forward a motion to discuss the Mainland incident. Mr. Ghag ruled it out of order because an action had already been commenced and the matter was before the courts. Despite the limited discussion, all of the officers and executive board members (with the exception of Norma Lahti who abstained) voted to support Mr. Ghag's continued leadership. This vote was taken in the context of the Mainland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Young submitted that because of the severe restriction on what was discussed, it was not clear what Mr. Ghag's involvement at Mainland had been, and the people who voted to support him had no knowledge about what had happened. That does not accord with the weight of the evidence. Many officers (Sonny Ghag, Barry King, Earl Graham, Larry Kellum and Len Yalowicka), some executive board members (Lloyd Hill, Norma Lahti, Brian Lund, Martin Cheremkora) and visitors (Keijo Lahti, Dale Johnson, Ron Pastor, Jack Bigg) who attended the January 24, 2004 meeting had attended at Mainland on December 16th. Most of these individuals had gone inside the Mainland premises and were aware of the large, loud and angry crowd, the presence of peavey sticks and the charged atmosphere. Some of them were aware that people had been shoved or pushed. Lloyd Hill and Dale Johnson each testified that they saw Mr. Ghag shove someone at the green chain and regardless of what any of them saw or heard that night, they all admitted that after the fact they heard rumours that assaults and violence had taken place. Not one of them made any inquiries or suggested that the Union investigate what had actually occurred and not one of them challenged Mr. Ghag about his role or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Earl Graham voted to support Mr. Ghag because he was their President, he had knowledge about the issues of importance to the members and the Union was still involved in negotiations with FIR. Les Veale understood that members had "pushed a few people around" and that Mr. Ghag had called workers "scabs" on TV. He believed that Mr. Ghag's resignation from the national board was a reasonable sacrifice in the circumstances. Brian Lund expressed a similar view, saying that one incident does not make a bad president. Leonard Yalowicka knew there were allegations against Mr. Ghag, but he considered nothing proven and was happy for him to remain as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officers and executive board members supported Mr. Ghag's leadership on January 24, 2004 despite of what took place at Mainland and they had enough information about the event to justify some kind of internal investigation. If they were not fully informed, it was primarily because they chose not to inform themselves. In those circumstances, they cannot hide behind their lack of knowledge. I find that their support of Mr. Ghag effectively ratified the tortious conduct of the members who attended at Mainland on December 16th.</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Second branch of</w:t>
      </w:r>
      <w:r>
        <w:rPr>
          <w:rFonts w:ascii="arial" w:eastAsia="arial" w:hAnsi="arial" w:cs="arial"/>
          <w:b/>
          <w:color w:val="000000"/>
          <w:sz w:val="20"/>
          <w:lang w:val="en-US" w:eastAsia="en-US" w:bidi="ar-SA"/>
        </w:rPr>
        <w:t xml:space="preserve"> Salmond </w:t>
      </w:r>
      <w:r>
        <w:rPr>
          <w:rFonts w:ascii="arial" w:eastAsia="arial" w:hAnsi="arial" w:cs="arial"/>
          <w:b/>
          <w:i/>
          <w:color w:val="000000"/>
          <w:sz w:val="20"/>
          <w:lang w:val="en-US" w:eastAsia="en-US" w:bidi="ar-SA"/>
        </w:rPr>
        <w:t>test - unauthorized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Even if I accepted the position of Certain Defendants that Local 1-3567 did not authorize or ratify the tortious conduct of its members, I would still conclude that it is vicariously liable under the second branch of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 In my view, the assaults that were committed were not entirely independent acts, but constituted an unauthorized mode of performing an authorized act. In addition, there is a connection between the Union's employment enterprise and the wrong that justifies the imposition of vicarious liability on Local 1-3567 for the wrong in terms of the policy considerations discussed in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xml:space="preserve"> (fair allocation of the consequences of the risk and deterrence) and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(no countervailing policy reasons for unions in this kind of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As McLachlin C.J. stated in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a court should first determine whether there are precedents that unambiguously determine on which side of the line vicarious and no liability falls. If there are no clear precedents, a court should determine whether vicarious liability should be imposed in light of the broader policy rationales behind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Unions have been found vicariously liable for wrongful acts committed by their members or agents. In </w:t>
      </w:r>
      <w:r>
        <w:rPr>
          <w:rFonts w:ascii="arial" w:eastAsia="arial" w:hAnsi="arial" w:cs="arial"/>
          <w:b/>
          <w:i/>
          <w:color w:val="000000"/>
          <w:sz w:val="20"/>
          <w:lang w:val="en-US" w:eastAsia="en-US" w:bidi="ar-SA"/>
        </w:rPr>
        <w:t>Adams Laboratories Ltd. v. Retail, Wholesale &amp; Department Store Union, Local 580</w:t>
      </w:r>
      <w:r>
        <w:rPr>
          <w:rFonts w:ascii="arial" w:eastAsia="arial" w:hAnsi="arial" w:cs="arial"/>
          <w:color w:val="000000"/>
          <w:sz w:val="20"/>
          <w:lang w:val="en-US" w:eastAsia="en-US" w:bidi="ar-SA"/>
        </w:rPr>
        <w:t xml:space="preserve"> (8 June 1979), Vancouver C791000 (B.C.S.C.), the union was found to be in contempt of a court order for prohibited acts committed by its members on a picket line that was authorized and supervised by the officers of the union. In </w:t>
      </w:r>
      <w:r>
        <w:rPr>
          <w:rFonts w:ascii="arial" w:eastAsia="arial" w:hAnsi="arial" w:cs="arial"/>
          <w:b/>
          <w:i/>
          <w:color w:val="000000"/>
          <w:sz w:val="20"/>
          <w:lang w:val="en-US" w:eastAsia="en-US" w:bidi="ar-SA"/>
        </w:rPr>
        <w:t>Leroux v. Molgat</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(1985), 67 B.C.L.R. 29</w:t>
        </w:r>
      </w:hyperlink>
      <w:r>
        <w:rPr>
          <w:rFonts w:ascii="arial" w:eastAsia="arial" w:hAnsi="arial" w:cs="arial"/>
          <w:color w:val="000000"/>
          <w:sz w:val="20"/>
          <w:lang w:val="en-US" w:eastAsia="en-US" w:bidi="ar-SA"/>
        </w:rPr>
        <w:t xml:space="preserve"> (S.C.) the union was found responsible for damages arising from irregularities in an election, where its agents with control of the electoral procedures permitted or deliberately arranged the irregularities.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Cohen J. found the defendant unions vicariously liable for intentional torts committed by their members on both branches of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 There, the members of the defendant unions were engaging in picketing that had been declared illegal by the LRB. After a period of sustained protests, intimidation and harassment of the plaintiffs, they were assaulted during a large protest while attempting to serve a Supreme Court order that enjoined the picketing. Cohen J. found that the union representatives were aware that their members had threatened, intimidated and harassed the plaintiffs and either participated in the activities or took no active steps to stop them. He also found that the violence that eventually occurred during the large protest was a planned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With respect to the second branch of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 Cohen J. did not consider that any of the three categories of precedents (those based on furtherance of the employer's aims, the employer's creation of a situation of friction or dishonest employees) applied in the context of unions, so he considered the policy rationales for imposing vicarious liability. In addition to the rationales of just remedy and deterrence, he considered countervailing policy reasons why vicarious liability should not be imposed on unions for the conduct of their members. At para.91, he recognized that unions are different in purpose, form and structure from non-profit organizations and ordinary employers: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where the strategy employed by unions engaging in protest is so closely connected to the tortious conduct, that it can be said that their strategy fostered and promoted the unlawful activity, Unions may attract vicarious liability for the actions of their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He noted that some conduct by union members would not be sufficient to attract vicarious liability, and emphasized that his conclusion was based on the totality of factors that were present, which included assaults, property damage, intimidation, threats and harassment. He concluded at para.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evidence overwhelmingly establishes the defendants' vicarious liability to the plaintiffs. There is no question but that the illegal picketing engaged in by the BTUs' members, and encouraged by the BTUs' leaders, not only provided the opportunity for the BTUs' members to commit the wrongs they did against the plaintiffs, but also materially enhanced the risk of harm, in the sense of significantly contributing to it. In my opinion, there is a significant connection between the creation and enhancement of the risk and the wrongs complained of by the plaintiffs. Therefore, I think that the imposition of vicarious liability on the defendants is entirely justified under the second branch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Ms. Young submitted that the wrongful acts in this case were not sufficiently related to the conduct authorized by the Union to justify the imposition of vicarious liability, in that the assaults were outside the scope of what the Union had authorized and that they were not foreseeable. She pointed out that the facts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were more egregious than the facts in this case, and that it was decided without the benefit of submissions regarding the application of the principles in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 find Cohen J.'s consideration of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xml:space="preserve"> and his application of the principles to be very helpful. I agree that the conduct of the union and its members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was in some ways more serious. Here, the members of Local 1-3567 were not engaged in picketing that had been declared illegal, and there was no sustained period of protests, harassment and intimidation. Nonetheless, there had been two incidents involving conflict with the Mainland workers (November 21st and December 6th) that were widely known among the membership of Local 1-3567; officers and other members of Local 1-3567 referred to the Mainland workers as "scabs" throughout this period of time; the President publicly called them "scabs" while at Mainland on December 16th; and the actions of the defendants (who included union officers and executive board members) became unlawful once they trespassed on the Mainland property and began to move about the premises, banging weapons, verbally threatening workers and demanding that they leave the mill. This is not a situation where union members were simply engaged in picketing. Moreover, this case affected many more plaintiffs. As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the union's strategy fostered and promoted the unlawful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these circumstances, I find that the wrongful acts were sufficiently related to the conduct authorized by the union to justify the imposition of vicarious liability. As McLachlin C.J. explained in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xml:space="preserve">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is generally appropriate where there is a significant connection between the creation or enhancement of the risk and the wrong that accrues therefrom, even if unrelated to the employer's desires.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test is not whether or not the harm or the assaults were foreseeable; there must be a material increase in the risk as a consequence of the union's enterprise and the duties entrusted to its members on the picket line: see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xml:space="preserve"> at para. 42. In my view, that test is clearly met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USW Local 1-3567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IWA no longer exists. On September 1, 2004, it merged with the USW.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Ms. Young submitted that the Merger Agreement did not have the effect of transferring liabilities from an IWA local to a USW local, as the agreement is between the national office of the IWA and the international office of the USW. She also submitted that the Merger Agreement exempted from its general term respecting the assumption of liability by the USW any liability for litigation not expressly listed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my opinion, the Merger Agreement effectively transferred all assets, debts and other obligations of the IWA to the USW, both at the national and local level. Article VI provides that the "geographic and organizational continuity of existing IWA local unions is assured" and that all assets of former IWA local unions and local holding societies shall continue to be owned, held and controlled by them. By these terms, the USW local unions also assumed all assets of their respective IWA local unions</w:t>
      </w:r>
      <w:bookmarkStart w:id="327" w:name="Backward_fnref_fnr-4_0"/>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327"/>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Article IX provides that all property of the IWA National Union is transferred to and vested in the USW and the USW then assumes and becomes liable for all of the IWA's debts and other obligations. With respect to suits, actions or proceedings, Article IX(B)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the termination of IWA's separate existence, the USWA shall be substituted for IWA as a party to any suit, action or proceeding in which IWA may then be a party and in any order then outstanding against it or in its favour as if the USWA had originally been such a party or been named in such order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For reasons that were never explained, the IWA did not list in Appendix B to the Agreement, this proceeding, which was under way in September 2004. Appendix B is simply blank. However, there is no provision exempting the USW from assuming liability for suits not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any event, I note that the Merger Agreement was signed by the officers of the IWA National, including Sonny Ghag, and the leadership of Local 1-3567 remained the same after the merger. Also, shortly after the merger, on October 21, 2004, the USW settled the dispute between Local 1-3567 and Local 2171 under the Union constitution. The terms of the settlement required that $34,000 be paid to Local 2171 to cover lost wages for Mainland workers. There is evidence that the national Union paid most of this amount. There is also evidence that the national Union was involved in directing the conduct of this litigation. Given all of this, it is clear that not only was the USW aware of this matter, but it also assumed responsibility for IWA Local 1-3567's liabilities arising from the December 16, 2003 incident. In this sense, I agree with Mr. McDonell that the settlement agreement is an admission of liability by the USW.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Given the nature of the union organization and the terms of the Merger Agreement, I conclude that the USW assumed all of the assets and liabilities of the IWA, at both the national and local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 consider the successorship issue to be irrelevant. Clearly, the USW required the declaration under the </w:t>
      </w:r>
      <w:r>
        <w:rPr>
          <w:rFonts w:ascii="arial" w:eastAsia="arial" w:hAnsi="arial" w:cs="arial"/>
          <w:b/>
          <w:i/>
          <w:color w:val="000000"/>
          <w:sz w:val="20"/>
          <w:lang w:val="en-US" w:eastAsia="en-US" w:bidi="ar-SA"/>
        </w:rPr>
        <w:t>Labour Relations Code</w:t>
      </w:r>
      <w:r>
        <w:rPr>
          <w:rFonts w:ascii="arial" w:eastAsia="arial" w:hAnsi="arial" w:cs="arial"/>
          <w:color w:val="000000"/>
          <w:sz w:val="20"/>
          <w:lang w:val="en-US" w:eastAsia="en-US" w:bidi="ar-SA"/>
        </w:rPr>
        <w:t xml:space="preserve"> to assume the bargaining rights of the IWA. That has no bearing on the terms and effect of the Merger Agreement as it relates to the assumption of assets and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USW Local 1-3567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Society holds and manages the assets of USW Local 1-3567 Union. In practice, the Society and the Union function as one organization, because the elected officers of the Local Union are also the officers of the Society, and all paid-up members of the Local Union are automatically members of the Society. The Society meets once a year for the purpose of approving its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However, I disagree with Mr. McDonell's submission that the Local Union and the Society are one entity. They are not. The Local Union operates under the terms of the Union's constitution. The Society operates under the terms of its own Constitution and By-Laws. It is the Local Union that authorizes members to picket, not the Society. The Mainland incident arose from activities of individuals as members of the Union, not the Society, and it was the Local Union that ratified the action and the leadership. In my opinion, there is no basis to hold the Society vicariously liable for torts committed by its members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It is my opinion that USW Local 1-3567 (formerly IWA Local 1-3567) is vicariously liable for the intentional torts committed by its employees and members at Mainland on December 16, 2003. The Society is not vicariously liable, as it is a separate legal entity with a different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Fourteen plaintiffs claim damages for assault and battery and 19 plaintiffs claim damages for assault only. Most of the claims for assault and battery range from $5,000 to $25,000 for general damages, $2,500 to $12,500 for aggravated damages and $5,000 to $50,000 for punitive damages. One claim, of Michael De Verteuil, is much higher. Most of the claims for assault only range from $500 to $10,000 for general damages, $500 to $5,000 for aggravated damages and $3,500 to $40,000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Mr. McDonell based the amounts for each claim on the damage awards given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where Cohen J. awarded $20,000 for general damages, $25,000 for aggravated damages and $100,000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amounts claimed are in dispute. Ms. Young submitted that the range for general damages for most of the claims of assault and battery is under $2,000 and for the claims of assault below $1,000. She also disputes the claims for aggravated and punitive damages on a number of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General and aggravated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plaintiffs claim separate amounts for general and aggravated damages. Both types of damages are compensatory in nature. Aggravated damages may be awarded where the defendant's conduct has been insulting, high-handed, spiteful, malicious or oppressive, and where it has increased the plaintiff's mental distress. Aggravated damages address "the additional harm caused to the plaintiff's feelings by the defendant's outrageous and malicious conduct": </w:t>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188-189. There must be a finding that the defendant was motivated by malice. Aggravated damages may be considered separately or included within the award for general damages: </w:t>
      </w:r>
      <w:r>
        <w:rPr>
          <w:rFonts w:ascii="arial" w:eastAsia="arial" w:hAnsi="arial" w:cs="arial"/>
          <w:b/>
          <w:i/>
          <w:color w:val="000000"/>
          <w:sz w:val="20"/>
          <w:lang w:val="en-US" w:eastAsia="en-US" w:bidi="ar-SA"/>
        </w:rPr>
        <w:t>S.Y. v. F.G.C.</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my opinion, there are a number of aggravating factors that justify awards of aggravated damages. A large crowd of noisy, angry people, some with weapons, suddenly entering the plaintiffs' workplace late at night was a frightening experience for all of the plaintiffs. Some of the plaintiffs were physically assaulted. They all suffered distress because of the high-handed and spiteful conduct of the defendants. The defendants used abusive language and called the plaintiffs "scabs", which was offensive to them. There is some evidence of racial slurs. The plaintiffs were appalled that their union brothers and sisters would treat them in such a manner. None of the defendants considered whether the plaintiffs had a legitimate reason for being at work, and none of them questioned the wisdom of what they were doing. They did not care. The defendants were angry at the Mainland workers for their actions on November 21st and December 6th, they were angry at them for returning to work before the back-to-work legislation was passed into law, and they acted maliciously on December 16th.</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the plaintiffs were assaulted by a number of individuals in the crowd as they attempted to serve a Supreme Court order enjoining the picketing. The plaintiff Matusiak was punched in the face, kicked in the groin and struck with a bag of chainsaw oil. When he got back inside his vehicle, a mob tried to overturn it. He did not think he would get out of there alive. The plaintiff Braaten was pushed, grabbed, shoved and thrown to the ground. As he got up and walked back to his vehicle persons in the crowd screamed at him and threatened him. When he got back inside the vehicle, someone threw chainsaw oil at the windshield. As he tried to back up, people were rocking the vehicle back and forth and a ballpeen hammer struck the window. This was one of the scariest incidents he had ever experienced. All of this was preceded by months of intimidation and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Both plaintiffs testified about the effects of the assaults, testimony which was corroborated and confirmed by medical evidence. Matusiak suffered from headaches, anger, loss of concentration, sleep disturbances and memory loss. His physician diagnosed him with significant acute stress and depression. He began counselling, but discontinued treatment for financial reasons. Braaten suffered from chest pain and he had difficulty sleeping and concentrating. His physician diagnosed "significant symptoms of stress" and anxiety attacks. Both plaintiffs were able to return to work without taking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Ms. Young relied on several cases where awards ranged from $1,000 to $10,000 for general and aggravated damages. In </w:t>
      </w:r>
      <w:r>
        <w:rPr>
          <w:rFonts w:ascii="arial" w:eastAsia="arial" w:hAnsi="arial" w:cs="arial"/>
          <w:b/>
          <w:i/>
          <w:color w:val="000000"/>
          <w:sz w:val="20"/>
          <w:lang w:val="en-US" w:eastAsia="en-US" w:bidi="ar-SA"/>
        </w:rPr>
        <w:t>Sirois v. Gustafson</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[2003] 3 W.W.R. 110</w:t>
        </w:r>
      </w:hyperlink>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2002 SKQB 452</w:t>
        </w:r>
      </w:hyperlink>
      <w:r>
        <w:rPr>
          <w:rFonts w:ascii="arial" w:eastAsia="arial" w:hAnsi="arial" w:cs="arial"/>
          <w:color w:val="000000"/>
          <w:sz w:val="20"/>
          <w:lang w:val="en-US" w:eastAsia="en-US" w:bidi="ar-SA"/>
        </w:rPr>
        <w:t xml:space="preserve">, $1,000 was awarded to a plaintiff who suffered a short term eye injury and minor anxiety attacks and nightmares for six to seven weeks following a road rage incident. $2,000 was awarded to the second plaintiff for emotional stress that included anxiety, sleep loss, nightmares, fear of future confrontation and aggravation of a pre-existing condition. A similar amount was awarded in </w:t>
      </w:r>
      <w:r>
        <w:rPr>
          <w:rFonts w:ascii="arial" w:eastAsia="arial" w:hAnsi="arial" w:cs="arial"/>
          <w:b/>
          <w:i/>
          <w:color w:val="000000"/>
          <w:sz w:val="20"/>
          <w:lang w:val="en-US" w:eastAsia="en-US" w:bidi="ar-SA"/>
        </w:rPr>
        <w:t>Wanli v. Preston</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[2003] B.C.J. No. 1934</w:t>
        </w:r>
      </w:hyperlink>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2003 BCPC 290</w:t>
        </w:r>
      </w:hyperlink>
      <w:r>
        <w:rPr>
          <w:rFonts w:ascii="arial" w:eastAsia="arial" w:hAnsi="arial" w:cs="arial"/>
          <w:color w:val="000000"/>
          <w:sz w:val="20"/>
          <w:lang w:val="en-US" w:eastAsia="en-US" w:bidi="ar-SA"/>
        </w:rPr>
        <w:t xml:space="preserve">, another road rage case, where the defendant assaulted the plaintiff by hitting him in the chest and pushing him into a wall, using profanities. The plaintiff had short-term chest pain. Romilly P.C.J. awarded $1,500 for general damages and $500 aggravated damages. In </w:t>
      </w:r>
      <w:r>
        <w:rPr>
          <w:rFonts w:ascii="arial" w:eastAsia="arial" w:hAnsi="arial" w:cs="arial"/>
          <w:b/>
          <w:i/>
          <w:color w:val="000000"/>
          <w:sz w:val="20"/>
          <w:lang w:val="en-US" w:eastAsia="en-US" w:bidi="ar-SA"/>
        </w:rPr>
        <w:t>Saviskoff v. Morton</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[1997] B.C.J. No. 441</w:t>
        </w:r>
      </w:hyperlink>
      <w:r>
        <w:rPr>
          <w:rFonts w:ascii="arial" w:eastAsia="arial" w:hAnsi="arial" w:cs="arial"/>
          <w:color w:val="000000"/>
          <w:sz w:val="20"/>
          <w:lang w:val="en-US" w:eastAsia="en-US" w:bidi="ar-SA"/>
        </w:rPr>
        <w:t xml:space="preserve"> (S.C.), McEwan J. assessed damages at $8,000 for physical injuries that included bruising to the cheek and forehead, a broken nose, a stiff neck, upper back pain and the fact that the plaintiff was somewhat more traumatized due to his particular nature. A 70-year-old plaintiff was awarded $10,000 in </w:t>
      </w:r>
      <w:r>
        <w:rPr>
          <w:rFonts w:ascii="arial" w:eastAsia="arial" w:hAnsi="arial" w:cs="arial"/>
          <w:b/>
          <w:i/>
          <w:color w:val="000000"/>
          <w:sz w:val="20"/>
          <w:lang w:val="en-US" w:eastAsia="en-US" w:bidi="ar-SA"/>
        </w:rPr>
        <w:t>Mignelli v. Scavo</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[2004] O.J. No. 2083</w:t>
        </w:r>
      </w:hyperlink>
      <w:r>
        <w:rPr>
          <w:rFonts w:ascii="arial" w:eastAsia="arial" w:hAnsi="arial" w:cs="arial"/>
          <w:color w:val="000000"/>
          <w:sz w:val="20"/>
          <w:lang w:val="en-US" w:eastAsia="en-US" w:bidi="ar-SA"/>
        </w:rPr>
        <w:t xml:space="preserve"> (Sup. Ct. J.). She was assaulted when the defendant knocked a fence on her. She suffered soft tissue injuries to her neck, shoulder and hip that caused discomfort and distress for about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Ms. Young also submitted that the awards of damages should reflect the nature and impact of the battery (</w:t>
      </w:r>
      <w:r>
        <w:rPr>
          <w:rFonts w:ascii="arial" w:eastAsia="arial" w:hAnsi="arial" w:cs="arial"/>
          <w:b/>
          <w:i/>
          <w:color w:val="000000"/>
          <w:sz w:val="20"/>
          <w:lang w:val="en-US" w:eastAsia="en-US" w:bidi="ar-SA"/>
        </w:rPr>
        <w:t>T.O. v. J.H.O</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(2006), 266 D.L.R. (4th) 209</w:t>
        </w:r>
      </w:hyperlink>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2006 BCSC 560</w:t>
        </w:r>
      </w:hyperlink>
      <w:r>
        <w:rPr>
          <w:rFonts w:ascii="arial" w:eastAsia="arial" w:hAnsi="arial" w:cs="arial"/>
          <w:color w:val="000000"/>
          <w:sz w:val="20"/>
          <w:lang w:val="en-US" w:eastAsia="en-US" w:bidi="ar-SA"/>
        </w:rPr>
        <w:t xml:space="preserve">) and that the plaintiffs who were assaulted without injury are entitled only to low damages. She referred to another road rage case, </w:t>
      </w:r>
      <w:r>
        <w:rPr>
          <w:rFonts w:ascii="arial" w:eastAsia="arial" w:hAnsi="arial" w:cs="arial"/>
          <w:b/>
          <w:i/>
          <w:color w:val="000000"/>
          <w:sz w:val="20"/>
          <w:lang w:val="en-US" w:eastAsia="en-US" w:bidi="ar-SA"/>
        </w:rPr>
        <w:t>Herman v. Graves</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[1998] 9 W.W.R. 542</w:t>
        </w:r>
      </w:hyperlink>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1998 ABQB 471</w:t>
        </w:r>
      </w:hyperlink>
      <w:r>
        <w:rPr>
          <w:rFonts w:ascii="arial" w:eastAsia="arial" w:hAnsi="arial" w:cs="arial"/>
          <w:color w:val="000000"/>
          <w:sz w:val="20"/>
          <w:lang w:val="en-US" w:eastAsia="en-US" w:bidi="ar-SA"/>
        </w:rPr>
        <w:t>, where one defendant was the driver of a truck that ran into the back of the plaintiff's vehicle and forced it off the road. A second defendant then assaulted the plaintiff, breaking his nose and causing other physical injury. The first defendant was found to have used the truck to assault the plaintiff, but was not found to be a joint tortfeasor with respect to the battery. Compensatory damages against the first defendant were set at $750, which presumably reflected the fact that there was no physical injury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 agree that damages should reflect the nature and impact of the assault and battery on each plaintiff. However, the cases involving individual assaults are of limited assistance in considering an appropriate range of damages in this case, because the particular circumstances in which these assaults took place were significantly different. The majority of the plaintiffs here were assaulted in their workplace, late at night, by a mob of angry defendants who were members of the same union. The range of damages suggested by these cases is, in my view, too low to reflect the serious nature of an assault in these circumstances. Only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considers assaults in an analogous context. However, none of the assaults in this case, nor the aggravating factors, are as serious as those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I consider the aggravating factors here to justify a higher award for general damages than would otherwise be the case, but not in the range awarded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I have considered the aggravating factors in assessing general damages, and included them in one award for compensatory damages.</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Emotional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All of the plaintiffs' claims include damages for emotional injuries. None of them adduced medical evidence about these complaints. Ms. Young submitted that there must be some corroborating evidence of emotional injuries, either expert medical or other lay evidence. She referred to </w:t>
      </w:r>
      <w:r>
        <w:rPr>
          <w:rFonts w:ascii="arial" w:eastAsia="arial" w:hAnsi="arial" w:cs="arial"/>
          <w:b/>
          <w:i/>
          <w:color w:val="000000"/>
          <w:sz w:val="20"/>
          <w:lang w:val="en-US" w:eastAsia="en-US" w:bidi="ar-SA"/>
        </w:rPr>
        <w:t>Saviskoff v. Morton</w:t>
      </w:r>
      <w:r>
        <w:rPr>
          <w:rFonts w:ascii="arial" w:eastAsia="arial" w:hAnsi="arial" w:cs="arial"/>
          <w:color w:val="000000"/>
          <w:sz w:val="20"/>
          <w:lang w:val="en-US" w:eastAsia="en-US" w:bidi="ar-SA"/>
        </w:rPr>
        <w:t>, where McEwan J. found insufficient evidence to establish the plaintiff's emotional trauma. Evidence from counsellors or medical sources was apparently available but not produced at trial. The court said this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was given no assistance towards putting the alleged emotional reaction to the assault into perspective with the two known "suicidal" episodes arising, at least partly, out of other causes. As such, the court is left with only its impression of the plaintiff as a somewhat timid man who may have found it more difficult to deal with the assault than someone with more personal strength or fortitude. There is simply insufficient evidence of the pathogenesis of his alleged emotional trauma to lay it at the defendant's doorstep. I think I am entitled ... to infer that the absence of evidence the plaintiff "might have expected to adduce had the claim been sound", means that such damages could not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agree that in order to prove damages, it may be necessary for a plaintiff to produce medical evidence regarding his emotional injuries, but this depends on the nature of the alleged injuries. In this case, none of the plaintiffs sought medical attention for their emotional injuries. Except for Michael De Verteuil, this is not surprising. The emotional problems each of these plaintiffs experienced were not severe. Most of them had difficulty getting the incident out of their minds and had difficulty sleeping for varying periods of time. These symptoms went away without any medical treatment. Moreover, these plaintiffs were not the type to discuss such issues with their physicians. Guiseppe Pinzarrone expressed it well. He said that he did not believe in taking medication for that kind of thing: "What is the doctor going to do? Give me a 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With the exception of Michael De Verteuil, I accept the plaintiffs' evidence about their emotional injuries. Medical, expert or other corroborating evidence is not necessary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Michael De Verteuil's claim is different because he alleges substantial psychological injuries. Considering the nature of his claim, which is outlined below, I do consider the lack of medical evidence supporting it to be fatal to much of his claim for damages.</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Assault &amp; battery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Fourteen plaintiffs claim damages for assault and battery. Not all of them were physically injured. One of them, Lee Young, was assaulted but not battered. In assessing damages, I have considered for each plaintiff the severity of the assault, the physical injuries and the emotional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Michael De Verteuil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Michael De Verteuil's claims are substantial: $100,000 for general damages, $15,000 for aggravated damages and $46,888 in special damages for the expenses he incurred in moving his family to Newfoundland.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De Verteuil is 49 years old. He was hit with an open hand on his right jaw, struck in his temple, grabbed by the shoulders and pushed around. He was also taunted by a man who took his glasses and threatened to beat him up. He was afraid as he drove away from the mill, and conflicted because he felt he was abandoning his post and leaving his fellow workers in a dangerous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His physical injuries included numbness and tingling on the right side of his face for about three months and jaw pain for about 6 months. He had a ringing in his ear and he could not move his head from side to side. He also had some bruises to his ribs and left wrist from being shoved, both of which resolved within a week. The worst thing, however, was his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He described having an anxiety attack when he arrived at work the next day, and feeling nauseous and dizzy while at work for about a month. He thought his fear would pass, but it didn't. His hands began to shake and he was irritable and reclusive at home. He began to dread going to work on Mondays. He stopped working overtime. He described having some neurological dysfunction in his hands, where his hand would not grasp a tool. Then he began having "crushing"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De Verteuil attributed these symptoms to stress from the December 16th incident. He said the assaults were constantly on his mind. He did not feel safe at work or at home and he began to fear for the safety of his children. He felt he had to move. When his wife's old job in St. John's, Newfoundland became available, they decided to move there. He gave notice to Mainland in March 2004, left his employment in June and the family moved to Newfoundland in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De Verteuil has continued to have problems. He has not been able to work for longer than three months since he left Mainland. He started improving in the spring of 2006, and at the end of that year he saw a counsellor. He expects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Young challenged these claims, and I accept much of her submission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De Verteuil's primary problem was psychological harm. This is what caused him, he says, to resign from his job at Mainland and move his family to Newfoundland. Yet, he consulted no physician about any of these problems. He called no expert witness to give opinion evidence about the nature of his psychological injuries, his diagnosis, prognosis, and recommended treatment, if any. He testified about anxiety symptoms related to other problems in his life, such as the death of his brother. Other than his own testimony, there is no evidence that links Mr. De Verteuil's psychological problems to the events at Mainland on December 16,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While I do not doubt that Mr. De Verteuil believes that all his problems stem from the Mainland incident, the fact that he suffered to the extent he described, yet told no one and sought no medical advice, causes me to question the reliability of his evidence. Without some other evidence - particularly an expert opinion - I am not able to find that Mr. De Verteuil has proven that his extensive psychological injuries were caused by the Mainland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It follows that I do not accept his evidence that his decision to move to Newfoundland was necessitated by the incident. Here, Mr. De Verteuil's evidence was, in my view, highly exaggerated. He said that "had it not been for the mob", he would not have been forced to make "a life altering decision" and from the accumulation of what was happening to his health, he would "be dead in Langley from the stress". The claim for moving expenses was also exaggerated. He based it only on his income tax return, he provided no receipts and he did not take into account the tax savings his family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have no doubt that the experience of being surrounded by an angry crowd of people in the circumstances here was a very frightening experience. I accept that Mr. De Verteuil may have been particularly vulnerable to a more serious reaction than others, and that he suffered some anxiety after the incident. I also accept his evidence about his physical injuries to his face and jaw and the bruises to his ribs and left wrist, all of which resolved within about six months. I assess his general and aggravated damages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Rampal Berar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Rampal Berar claims $25,000 for general and $12,500 for aggravated damages. Mr. Berar is 54 years old. He was punched in the face, pushed down and kicked in the leg. When he went to his car that night, he could not use his right arm to scrape the frost off his windows. He went to his family doctor the following day. He was given some medication for his shoulder. He had pain in his shoulder on and off for a year to two years. At one point, he saw a specialist who gave him medication by injections. At times he had trouble getting to sleep. For close to a year, it bothered him when he remembered what happened that night. His family doctor gave him some sleeping medication. He did not see a counsellor or a psychiatrist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 Berar was very upset about this assault, which was one of the most serious. I assess his general and aggravated damages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Hari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Hari Gill claims $15,000 for general and $10,000 for aggravated damages. Mr. Gill is 62 years old. He was working with Rampal Berar when they were surrounded and divided up by a group of people. After Mr. Berar was struck and thrown down, Mr. Gill was told to leave and was pushed. Mr. Gill was not physically injured. He never expected this from his own union's members. He said it was very frightening, because the people were threatening and forceful. He was scared, and had trouble sleeping for about three weeks. He did not see a doctor and he did not take any medication. I assess Mr. Gill's general and aggravated damages at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Mohinder Ladhar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Mohinder Ladhar claims $15,000 for general and $10,000 for aggravated damages. He saw some men assault Rampal Berar. He went to shut off his saw and a few of the men went after him and pushed him from behind, telling him to go outside quickly. He did not fall down. These men followed him out of the mill. He said that he was very scared. Mr. Ladhar's back was sore that night, and he was not able to sleep. For several days he had flashbacks and nightmares. This continued occasionally for two to three weeks. He did not see a doctor. I assess his general and aggravated damages at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Dave Stuart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Dave Stuart claims $25,000 for general and $12,500 for aggravated damages. Mr. Stuart is 46 years old. He was grabbed by several men and struck by one of them. He had bruised and swollen cheeks. Since that night, he looks at the front gate every day. He said he never used to do that, but he does so now out of fear of something happening. He did not seek any medical attention for his injuries, which resolved on their own. I assess Mr. Stuart's general and aggravated damages at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Jamie Hadley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Jamie Hadley claims $15,000 for general and $10,000 for aggravated damages. While he was walking towards the exit, a man jumped out of the crowd near the foreman's office and put his hands around his throat, looked him in the eyes and told him to get out "right now". When Mr. Hadley got home, he was quite upset and could not sleep. When he went back to work the next day, he felt nervous and was worried about his safety. Whenever he left the mill, he was tense and nervous when he passed the area near the foreman's office. He did not seek any medical treatment. I assess his general and aggravated damages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Christopher Parnell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Parnell claims $25,000 for general and $12,500 for aggravated damages. He was surrounded by a large group, struck three times on his cheek and neck and hit in the leg. The keys to his forklift were also thrown away by someone. He did not go to work the next day. He had a small bruise on his leg but no injury to his face. He did not see a doctor. The incident bothered him for about a week. He described it as humiliating and frightening. He kept thinking people were going to come through the gate and he found it difficult to focus on his work. I assess his general and aggravated damages at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Rajinder Braich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Rajinder Braich claims $25,000 for general and $12,500 for aggravated damages. When he got out of his forklift, a man threatened to hit him with a bat if he did not leave and several others pushed him on the shoulders. Another grabbed the keys to his forklift and threw them away. He was frightened. People screamed at him as he drove through the crowd at the tracks. His shoulder and back were sore for about a week. He went to the doctor and was advised to rest. He did not go to work the next day. What bothered him the most was his emotional reaction. He had trouble sleeping for two to three weeks and he had some violent dreams. He found it upsetting to give evidence at his examination for discovery and at trial. I assess his general and aggravated damages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Devinder Ladhar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Devinder Ladhar claims $12,500 for general and $5,000 for aggravated damages. He was speared by a man with a piece of dunnage when he got out of his forklift, which bruised him on his left side. Someone also grabbed him by the shoulder when he tried to get back into his forklift, telling him to "get out". The bruise healed in about one week. That night, he could not sleep, and this continued for about a week. He did not see a doctor for any of this. He continues to wonder if customers who come in to the mill are really customers. He described the people who came into the mill "like a wild pack of dogs". I assess his general and aggravated damages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James Lillyman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James Lillyman claims $12,500 for general and $5,000 for aggravated damages. Mr. Lillyman is 62 years old. He was grabbed by his shirt, but was not physically injured. He had difficulty sleeping for a week or two, which is something he had not experienced before. He wondered if this was going to happen again, since this was the second incident with Local 1-3567. He did not seek any medical attention, and his sleep problems resolved. I assess his general and aggravated damages at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Efren Ocampo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Efren Ocampo claims $10,000 for general and $5,000 for aggravated damages. Mr. Ocampo is 26 years old. He was surrounded by a group of people in the press area, many of whom held sticks and dunnage. They screamed and swore at him. Someone pushed him in the back with a 2x4 and another grabbed his arm. He was scared driving from the gate through the tracks, as people there were also screaming and swearing. He was very upset when he got home and he still cannot get the incident out of his mind. I assess his general and aggravated damages at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Guiseppe Pinzarrone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Guiseppe Pinzarrone claims $25,000 for general damages, $12,500 for aggravated damages and $536.77 in special damages for the damage to his truck. Mr. Pinzarrone is 56 years old. He was pushed and choked. He had trouble sleeping that night, and he had a sore neck for about three weeks. He refused to go to work the next day, December 17th. He went to see his doctor. He did not complain about his difficulty sleeping, as he considered it would go away on its own, which it did. However, he was afraid that the people would return to the mill, and he still thinks about what happened. I assess Mr. Pinzarrone's general and aggravated damages at $12,000. He is also entitled to special damages in the amount of $536.77 for the damage to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Ron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Ron Lee claims $15,000 for general and $10,000 for aggravated damages. Mr. Lee is 54 years old. At the green chain, a man swung a peavey stick at him but did not hit him. Another man pushed him around, but he did not fall down. He had no physical injury, but he had trouble sleeping for about a week. I assess his general and aggravated damages at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Lee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Lee Young claims $15,000 for general and $10,000 for aggravated damages. Mr. Young retired in 2004, after working in sawmills for over 30 years. He was not pushed or struck, but he saw some people use sticks to push other workers and he was afraid. He avoided confrontation by obeying what he was told. He said that he lost sleep because he was worried that he would not be able to work the next day. Others described Mr. Young as very shaken. Donald Haldorson was particularly worried about him because of this, and because Mr. Young was an older man. Mr. Young, who gave his evidence through an interpreter, appeared to minimize the effect of these events. Although he was assaulted only, I assess his general and aggravated damages at $6,000.</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Assault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Nineteen plaintiffs claim damages for assault. None of them suffered any physical injury. Their claims relate to the apprehension or fear from the assault and emotional upset or anxiety afterwards. Their claims for general and aggravated damages range from $1,000 to $17,500.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Dan Griffiths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Dan Griffiths claims $12,500 for general and $5,000 for aggravated damages. Mr. Griffiths was Mainland's millwright. He retired in 2005. He was approached by four "fairly agitated" men who came into the millwright shop and "ordered" him off the site because they were going to close down the mill. He felt "a little threatened" by one of the men, who was younger and heavier. Mr. Griffiths went around the mill to check on the equipment, with three or four men following him. The men kept telling Mr. Griffiths to leave the equipment and get off the job. He did not want to stop and confront them. He continued to check equipment for about 45 minutes to an hour. When he left Mainland, he felt threatened by the crowd on the road to the tracks, which he described as "like a gauntlet". He avoided contact because he was concerned that things could escalate.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Griffiths had difficulty sleeping that night. Subsequently, he changed his way of thinking at work. He made himself a wooden handle so he would not be vulnerable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Considering the severity of the assault, including the length of time that he was followed, the absence of any physical injury, his fear of retaliation and the short-term difficulties sleeping, I assess general and aggravated damages for Dan Griffiths at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Donald Haldorson, Larry Anderson, Walter Girotto and Bruno Benetton each claim $10,000 for general and $5,000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Donald Haldorson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Donald Haldorson was the senior charge hand who went to the foreman's office and called 9-1-1. He could see what was happening at various locations in the mill on monitors, and people outside on the catwalks could see that he was on the phone. He saw about 25 people on the catwalks and one man in particular banging a peavey handle. He testified that he was in "total" shock and fear because he did not know what was happening, and as the events unfolded he got more anxious, particularly about the safety of the crew. Workers came into the office, one with injuries (David Stuart) and others who appeared quite shaken. He was also anxious that he would be confronted by the strangers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Haldorson continued to fear that he would be targeted by someone who recognized him. He sold his car. However, he did not see a doctor about this fear and he did not miss any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Considering the severity of the assault, the absence of any physical injury, and the subsequent fear of retaliation, I assess general and aggravated damages for Donald Haldorson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Larry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Larry Anderson, a charge hand, was in the foreman's office with Mr. Haldorson. He felt "scared and helpless", isolated and "almost trapped" there. He thought the people were there to shut the mill down and "thump a few out". Because this was the second time people tried to shut down the mill, and because people were assaulted, he was very concerned about what would happen the next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Considering the severity of the assault, the absence of any physical injury, and the subsequent fear of retaliation, I assess general and aggravated damages for Larry Anderson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Bruno Benetton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Bruno Benetton retired in 2004. In December 2003, he was the head sawyer, who assisted Donald Haldorson. He also went to the foreman's office, where he stayed until he thought it was safe to leave. As he drove away, he described a lot of people on the road, especially at the tracks, saying things he did not want to repeat in court. Mr. Benetton was quite upset about this event, which was apparent when he gave his evidence. He said that he was quite scared for a few days, he would wake up at night, and in the back of his mind he thought these people would approach him again. He admitted that nothing did happen, but he still had to live with the scare. He described the event as an "invasion" and said that work was supposed to be a safe place. He did not see a doctor and he did not miss any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Considering the severity of the assault, the absence of any physical injury, the short-term sleeping difficulties and fear of retaliation, I assess general and aggravated damages for Bruno Benetton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Walter Girotto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Walter Girotto was working in the filing room when a noisy group came in looking "pretty mad", calling the workers "scabs" and telling them to get out. He felt surrounded and cornered, although he could have left. One man pounded a stick or an axe handle on a wooden box. He was followed by a group as he went out to the mill gate. He described angry "bunches of people" outside the gate and further down by the tracks. The group at the tracks were calling the workers "scabs".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Mr. Girotto did not get any sleep that night and for a few days he was "kind of scared". He was not sure if the people would show up again, considering they were "so riled" and that they had been to the mill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Considering the severity of the assault, the absence of any physical injury, the short-term difficulties sleeping and fearing retaliation, I assess general and aggravated damages for Walter Girotto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Bill Vidovic, Miguel Perez, Alessandro Pinzarrone, Gorman Khayrah, Sukhbir Moore and Karnail Shergill each claim $5,000 for general and $2,500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Bill Vidovic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Bill Vidovic, a sawyer, saw a lot of people milling about, including a short, stocky man with a short club and a tall man, identified as Barry King, with a peavey handle, pounding the floor. A "neat little guy" with a Hammond jacket told Mr. Vidovic to do what the men told him because they were dangerous. Mr. Vidovic shut down his saw and went to the foreman's office. He was "pretty scared" and wanted to go somewhere safe. He stayed until the police arrived, and then went to his car. Mr. Vidovic described the "intruders" like "a pack". He did not want to look them in the eye for fear of getting clubbed. He had trouble sleeping for a time, waking up in cold sweats and having bad dreams. He told no one and did not see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Considering the severity of the assault, the fear experienced at the time and the short-term sleeping difficulties that followed, I assess general and aggravated damages for Bill Vidovic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Miguel Perez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Miguel Perez was working inside the mill building at the gang drop sort area, next to the #1 trim operator. When he saw people coming in with peavey poles and 2x4s, he shut down his machine. He was forced to walk out of the mill with people behind him. He was concerned for his safety because the people were "really upset". At the gate he saw a lot of angry people, some with peavey poles and 2x4s, but he was able to leave without interference. For a few days, Mr. Perez was concerned that these people would come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Considering the severity of the assault, the fear experienced at the time and the short-term fear of retaliation that followed, I assess general and aggravated damages for Miguel Perez at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Alessandro Pinzarrone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Alessandro Pinzarrone was approached by three men while working in the press area. One with a peavey handle said the workers had to leave. He saw people "swarming" toward Efren Ocampo, poking at him with what looked like a peavey stick. His father, Guiseppe Pinzarrone, then picked him up in his red truck. He described his father as angry and scared, which was unusual, and he became worried. His father told him that he had been assaulted. As they started to drive away, Mr. Pinzarrone noticed a piece of dunnage flying through the air and he heard a bang on the box of the truck. His father kept driving, through the gate. There were "tons of guys all over the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Mr. Pinzarrone did not want to go to work the next day, but he did. The foreman assured him that there would be security guards at the gate and they could park inside the yard. He continued to do this for a few weeks, until he felt that this would not happen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Considering the severity of the assault, the fear experienced at the time and the short-term fear of retaliation that followed, I assess general and aggravated damages for Alessandro Pinzarrone at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Gorman Khayrah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Gorman Khayrah was in the foreman's office with Donald Haldorson, Larry Anderson and others, where he saw "a bunch of guys" walking across the catwalk, one with a peavey handle and one with a metal pipe. He left when the police arrived. He drove out with Christopher Parnell, whom he described as being shaken up. As they drove through the crowd at the tracks, people yelled "go home" and "scabs", but no one physically interfered with him. Mr. Khayrah was scared, shocked and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There is no evidence about the effect of the assault on Mr. Kayrah, other than his expressions of fear and confusion at the time. Considering the circumstances of the assault, I assess general and aggravated damages for Gorman Khayrah at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Sukhbir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Sukhbir Moore was working on the long side of the green chain when a group of people came in. One person threw a 2x4 at the chain and told him to "get the *f* out of the way". He was scared, and went to the foreman's office. He left after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There is no evidence about the effect of the assault on Mr. Moore, other than his expressions of fear at the time. Considering the circumstances of the assault, I assess general and aggravated damages for Sukhbir Moore at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Karnail Shergill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Karnail Shergill, working near the timber deck, saw an angry crowd, some carrying pieces of dunnage. He was afraid, and went inside the tally shack. He saw five to six men arguing with Rajinder Braich. One of them "ordered" him to go home. He started to walk towards the foreman's office with Mr. Braich, but some men following told them to go to the main gate. He went to his car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Mr. Shergill retired in 2004. There is no evidence about the effect of the assault on Mr. Shergill, other than his expression of fear at the time. However, considering the circumstances of the assault, I assess general and aggravated damages for Karnail Shergill at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Aman Aujla, Jhalman Uppal, Iqbal Parmar and Parmjit Birk each claim $1,500 for general and $1,000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Aman Aujla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Aman Aujla, working at the green chain, described 50 to 60 people come toward the area. He saw Guiseppe Pinzarrone scuffle with some in the group. A couple of men came toward him, swearing, saying that they should not be working and should leave. He was scared. He said that everyone was in a "really violent mood" and he thought the situation was "getting really ugly really quick". He saw two peavey handles and a bat and he could smell alcohol on the breath of one man who talked to him. He went to the foreman's office and left after about 20 minutes. He described the people by the gate as "in a violent mood", shouting and swearing. As he was leaving, people yelled "scabs" and "we'll get you". Mr. Aujla said he was shocked and scared, and wanted to drive out as fast as possible. He was "scared and stunned" when he got home and found it hard to sleep that night. When he went to work he felt "a little panicky". He was concerned about retaliation.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Considering the severity of the assault, the fear experienced at the time, the short-term sleep problem and fear of retaliation that followed, I assess general and aggravated damages for Aman Aujla at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Jhalman Uppal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Jhalman (Jimmy) Uppal was running the edger saw in his booth when he saw people on the catwalk, "pounding with a peavey handle" and "making a bunch of noise". A group came to his booth and told him to shut it down or "we'll shut it down for you". He was scared, as he thought they would beat him up if he made any move. He shut down his machine and went to the foreman's office. He left after about 15 minutes, and went to the gate. He was nervous to leave, and stayed there for awhile. The event bothered Mr. Uppal afterwards, as he was not sure if the people were going to come back. He described the way the people were pounding, swearing and threatening as "really horrible" and "scary".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Considering the severity of the assault, the fear experienced at the time and the short-term fear of retaliation that followed, I assess general and aggravated damages for Jhalman Uppal at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Iqbal Parmar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Iqbal Parmar, a re-saw operator, was working near the grading table and #2 trim saw when someone told him that "strange people" outside were stopping them from work. "Everyone said to go home" so he put his things away. He was "a little bit scared" but he did not want any trouble, so he left. He drove through the gate and over the tracks without any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There is no evidence about the effect of the assault on Mr. Parmar, which makes it difficult to assess damages, other than his expression of some fear at the time. Considering the circumstances of the assault, I assess general and aggravated damages for Iqbal Parmar at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Parmjit Birk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Parmjit Birk, an end stacker, was working just above the #1 trim saw when a green chain worker came in and told him that there were people in the mill and to stop work. He turned off his saw and saw about 15 to 25 people he did not recognize. About five or six were carrying baseball bats. They told him to go home. Mr. Birk said that he felt sad; he did not know if he would be coming back to work the next day and he had concerns that the people would come back. He drove home with Iqbal Parmar without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There is no evidence about the effect of the assault on Mr. Birk, other than his apprehension that the people would come back the following day. Considering the circumstances of the assault, I assess general and aggravated damages for Parmjit Birk at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Sohan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Sohan Mann claims $500 for general and $500 for aggravated damages. Mr. Mann retired in 2006. On December 16, 2003, he was working at the west end of the mill at the cut off saw when a worker told him that someone was coming inside to stop the mill. He saw two strangers near the river. When he went to the gate and saw close to 50 people there, some with small sticks, and about 100 people down the street. He stayed at the gate for about 15 minutes, and then got in his car. No one said anything to him while he was there and he drove through the crowd with no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There is no evidence about the effect of the assault on Mr. Mann, which makes it difficult to assess damages. However, considering the circumstances of the assault, I assess general and aggravated damages for Sohan Mann at $750.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Satnam Aujla, Narendra Gounder &amp; Paul Larocque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There is little to no evidence from the three graveyard shift plaintiffs, Satnam Aujla, Narendra Gounder and Paul Larocque, about the effect of the assault. Only Mr. Aujla said that he had a "lack of sleep" for a couple of weeks, but did not provide any details. Mr. Aujla and Mr. Gounder claim of $5,000 for general and $2,500 for aggravated damages. Paul Larocque claims $500 for general and $500 for aggravated damages. The amount of $7,500 is too high for these claims. Considering the nature of the assault, which was not inside the mill but at the tracks, I assess general and aggravated damages for Satnam Aujla at $1,000 to take into account his sleeping difficulties, and at $750 for each of Mr. Gounder and Mr. Larocque.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Punitive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Punitive damages are available in exceptional cases for "malicious, oppressive and high-handed" misconduct by a defendant that "offends the court's sense of decency": </w:t>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at para. 196. The objective of punitive damages is to punish the defendant rather than compensate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at para. 94, Binnie J. outlined a number of principles that judges and juries should apply when considering an award of punitive damages:</w:t>
      </w:r>
      <w:r>
        <w:rPr>
          <w:rFonts w:ascii="arial" w:eastAsia="arial" w:hAnsi="arial" w:cs="arial"/>
          <w:sz w:val="20"/>
          <w:lang w:val="en-US" w:eastAsia="en-US" w:bidi="ar-SA"/>
        </w:rPr>
        <w:cr/>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very much the exception rather than the rule, (2) imposed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plaintiffs claim substantial punitive damages, in amounts ranging from $2,500 to $75,000 per claim, for a total of over $700,000. They say that there was no justification for the actions of the defendants in trespassing and committing violence; many of them gave false testimony; and the Union continued to support Mr. Ghag's leadership and the actions on December 16, 2003. Mr. McDonell submits that the plaintiffs inside the mill were vulnerable because the crowd came at them with total surprise. He submits that punitive damages are necessary to deter the defendants from similar misconduct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Certain Defendants say that punitive damages are not necessary to prevent a repetition of the conduct of December 16, 2003. The circumstances were unique, as they arose very much from the actions of Sonny Ghag. Since Mr. Ghag is no longer an officer of the Union, there is little likelihood that this kind of behaviour will recur. Ms. Young submits as well that the defendants were not motivated by malice, but rather by concern for the interests of the union; the event itself was spontaneous; and the time that the defendants were inside the mill property was relatively short. She also submits that an award of punitive damages should not be made against the Union as a vicariously liable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Ms. Young's submission is based on circumstances that are quite different from the evidence and the facts as I have found them. While the act of picketers entering an employer's property was unprecedented, the conduct of the defendants was highly reprehensible and clearly departed from ordinary standards of decent behaviour. A significant number of union members, including union officers and leaders, eagerly participated in the event, did so in an aggressive and antagonistic manner against their fellow union members, denied any wrongdoing, refused to determine what really happened, and continued to support their leaders for a considerable period of time. It was not until August 2005 that Sonny Ghag was terminated from USW Local 1-3567, for reasons unrelated to the Mainland incident. I note that Mr. Ghag did express remorse after the event, but his admission and apology were limited to the derogatory remarks he made to the media. At no time did Mr. Ghag take responsibility for the trespass and violence that occurred on December 16, 2003. Brian Harder, the current President of USW Local 1-3567, acknowledged in his testimony that members who were "injured or roughed up" on December 16th are owed an apology by Local 1-3567. While such an acknowledgement is important, it should have been made much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None of the defendants seemed to appreciate in any way the effect of their actions on the plaintiffs. None of them ever considered why the Mainland employees went back to work. For the defendants to say they simply "followed orders" and did whatever they were asked to do by the union leadership is no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Few defendants admitted having any animosity toward Local 2171 or Mainland, despite clear admissions from a number of them that the incidents of November 21st and December 6th were common knowledge within Local 1-3567, particularly after the video was played for members on December 13th. Few defendants admitted that they saw violence of any sort. Much of their evidence is in direct contrast with the descriptions by many of the plaintiffs, that the defendants were - for example - like "a wild pack of dogs" or "a bunch of pirates".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compensatory damages that I have awarded are insufficient, in my view, to accomplish the objectives of retribution, deterrence and denunciation.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For all of these reasons, I consider an award of punitive damages to be appropriate in this case. Two issues arise: (a) should such an award be made against the Union as a vicariously liable defendant, and (b) what is the appropriate amount?</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Punitive damages against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Ms. Young submitted that punitive damages are not normally awarded against a defendant found vicariously liable. She relied on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(varied on other grounds </w:t>
      </w:r>
      <w:hyperlink r:id="rId996" w:history="1">
        <w:r>
          <w:rPr>
            <w:rFonts w:ascii="arial" w:eastAsia="arial" w:hAnsi="arial" w:cs="arial"/>
            <w:i/>
            <w:color w:val="0077CC"/>
            <w:sz w:val="20"/>
            <w:u w:val="single"/>
            <w:shd w:val="clear" w:color="auto" w:fill="FFFFFF"/>
            <w:lang w:val="en-US" w:eastAsia="en-US" w:bidi="ar-SA"/>
          </w:rPr>
          <w:t>[2003], 21 B.C.L.R. (4th) 1</w:t>
        </w:r>
      </w:hyperlink>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2003 BCCA 671</w:t>
        </w:r>
      </w:hyperlink>
      <w:r>
        <w:rPr>
          <w:rFonts w:ascii="arial" w:eastAsia="arial" w:hAnsi="arial" w:cs="arial"/>
          <w:color w:val="000000"/>
          <w:sz w:val="20"/>
          <w:lang w:val="en-US" w:eastAsia="en-US" w:bidi="ar-SA"/>
        </w:rPr>
        <w:t xml:space="preserve">, aff'd </w:t>
      </w:r>
      <w:hyperlink r:id="rId53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where the court found the government of Canada and the United Church vicariously liable for sexual assaults committed by a dormitory supervisor working in an Indian Residential School. Brenner C.J. assessed punitive damages against Plint but declined to make a similar award against the other two defendants. He concluded that punitive damages are not awarded against an employer for the misconduct of an employee in the absence of reprehensible conduct specifically referable to the employer. Ms. Young submitted that the decision awarding punitive damages against the unions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was wrong in light of this subsequent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In my opinion,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is consistent with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 xml:space="preserve"> because the Court there found reprehensible conduct by the unions, particularly the fact that they had condoned and encouraged the conduct of their members. The same can be said in this case. USW (formerly IWA) Local 1-3567 is not liable merely because it employed Sonny Ghag and the other union officers, nor because its members misconducted themselves. It is liable in part because it condoned and ratified the actions of December 16th and did nothing to find out what really happened and address it. This is reprehensible conduct referable to the Union, and punitive damages may be awarded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Moreover, this is not a case where vicarious liability is based on a standard employer-employee relationship. While elected officers have an employment relationship with the Union (</w:t>
      </w:r>
      <w:r>
        <w:rPr>
          <w:rFonts w:ascii="arial" w:eastAsia="arial" w:hAnsi="arial" w:cs="arial"/>
          <w:b/>
          <w:i/>
          <w:color w:val="000000"/>
          <w:sz w:val="20"/>
          <w:lang w:val="en-US" w:eastAsia="en-US" w:bidi="ar-SA"/>
        </w:rPr>
        <w:t>Ferguson v. British Columbia Nurses Union</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[2005] B.C.J. No. 1468</w:t>
        </w:r>
      </w:hyperlink>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2005 BCSC 982</w:t>
        </w:r>
      </w:hyperlink>
      <w:r>
        <w:rPr>
          <w:rFonts w:ascii="arial" w:eastAsia="arial" w:hAnsi="arial" w:cs="arial"/>
          <w:color w:val="000000"/>
          <w:sz w:val="20"/>
          <w:lang w:val="en-US" w:eastAsia="en-US" w:bidi="ar-SA"/>
        </w:rPr>
        <w:t>), many of the same officers and some executive board members who are jointly responsible for the tortious conduct are the same individuals who condoned or ratified their actions on behalf of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Ms. Young also submitted that there is no purpose in punishing USW Local 1-3567, which is the successor union to IWA 1-3567, because it is not the union that was involved in the misconduct. She referred to several authorities to support the principle that there is no purpose in awarding punitive damages against a defendant that no longer exists: </w:t>
      </w:r>
      <w:r>
        <w:rPr>
          <w:rFonts w:ascii="arial" w:eastAsia="arial" w:hAnsi="arial" w:cs="arial"/>
          <w:b/>
          <w:i/>
          <w:color w:val="000000"/>
          <w:sz w:val="20"/>
          <w:lang w:val="en-US" w:eastAsia="en-US" w:bidi="ar-SA"/>
        </w:rPr>
        <w:t>McDonald v. Carr</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[1995] O.J. No. 3667</w:t>
        </w:r>
      </w:hyperlink>
      <w:r>
        <w:rPr>
          <w:rFonts w:ascii="arial" w:eastAsia="arial" w:hAnsi="arial" w:cs="arial"/>
          <w:color w:val="000000"/>
          <w:sz w:val="20"/>
          <w:lang w:val="en-US" w:eastAsia="en-US" w:bidi="ar-SA"/>
        </w:rPr>
        <w:t xml:space="preserve"> (Ont. C.J.-G.D.), </w:t>
      </w:r>
      <w:r>
        <w:rPr>
          <w:rFonts w:ascii="arial" w:eastAsia="arial" w:hAnsi="arial" w:cs="arial"/>
          <w:b/>
          <w:i/>
          <w:color w:val="000000"/>
          <w:sz w:val="20"/>
          <w:lang w:val="en-US" w:eastAsia="en-US" w:bidi="ar-SA"/>
        </w:rPr>
        <w:t>Breitkreutz Estate v. Hummel Estate</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[1978] A.J. No. 605</w:t>
        </w:r>
      </w:hyperlink>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89 D.L.R. (3d) 442</w:t>
        </w:r>
      </w:hyperlink>
      <w:r>
        <w:rPr>
          <w:rFonts w:ascii="arial" w:eastAsia="arial" w:hAnsi="arial" w:cs="arial"/>
          <w:color w:val="000000"/>
          <w:sz w:val="20"/>
          <w:lang w:val="en-US" w:eastAsia="en-US" w:bidi="ar-SA"/>
        </w:rPr>
        <w:t xml:space="preserve"> (S.C.-T.D.). I do not consider these cases to be pertinent to the issues here, as they involved deceased individuals. The IWA ceased to exist in September 2004, but the same officers, executive board and members continued to function in exactly the same fashion under the USW</w:t>
      </w:r>
      <w:bookmarkStart w:id="328"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32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With respect to the personal defendants, Ms. Young submitted that punitive damages should only be awarded against those who engaged in tortious or criminal conduct, and not against those who are only partly to blame. However, all defendants found liable as joint tortfeasors are jointly and severally liable. It is open to this Court to award punitive damages against them, but their degree of responsibility is clearly relevant to their degree of blameworthiness. This is reflected in their respective apportionment of fault.</w:t>
      </w:r>
      <w:r>
        <w:rPr>
          <w:rFonts w:ascii="arial" w:eastAsia="arial" w:hAnsi="arial" w:cs="arial"/>
          <w:sz w:val="20"/>
          <w:lang w:val="en-US" w:eastAsia="en-US" w:bidi="ar-SA"/>
        </w:rPr>
        <w:cr/>
      </w:r>
    </w:p>
    <w:p>
      <w:pPr>
        <w:numPr>
          <w:numId w:val="2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Punitive damages must be assessed in an amount that is no greater than necessary to rationally accomplish their purpose. The amount must be reasonably proportionate to the blameworthiness of the defendants' conduct, the degree of vulnerability of the plaintiffs, the harm or potential harm directed at the plaintiffs, the need for deterrence and any advantage wrongfully gained by the defendants. This assessment must also take into account other penalties, both civil and criminal, which have been made against the defendants for the same misconduct: </w:t>
      </w:r>
      <w:r>
        <w:rPr>
          <w:rFonts w:ascii="arial" w:eastAsia="arial" w:hAnsi="arial" w:cs="arial"/>
          <w:b/>
          <w:i/>
          <w:color w:val="000000"/>
          <w:sz w:val="20"/>
          <w:lang w:val="en-US" w:eastAsia="en-US" w:bidi="ar-SA"/>
        </w:rPr>
        <w:t>Whiten</w:t>
      </w:r>
      <w:r>
        <w:rPr>
          <w:rFonts w:ascii="arial" w:eastAsia="arial" w:hAnsi="arial" w:cs="arial"/>
          <w:color w:val="000000"/>
          <w:sz w:val="20"/>
          <w:lang w:val="en-US" w:eastAsia="en-US" w:bidi="ar-SA"/>
        </w:rPr>
        <w:t xml:space="preserve"> at para. 111-125. The financial resources of a defendant are a relevant consideration when assessing the amount. While I have not held the Society liable, it holds assets for USW Local 1-3567 and these assets may be considered for the purpose of assessing punitive damages. This latter point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at para. 145, Cohen J. assessed punitive damages against the defendant unions in the amount of $100,000 for each of two plaintiffs. This was based on the nature, degree and duration of the defendants' misconduct (several months); the large number of union members involved on a daily basis at the construction gate; the fact that the defendants not only condoned the misconduct, but also encouraged it; the need for daily police attendance at the construction site to ensure the safety of the plaintiffs; the size of membership of the defendants; the financial resources of the defendants; the substantial amounts spent by the defendants to wage their battle against the plaintiffs; and the need to deter this kind of severe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Here, the defendants' misconduct was planned and deliberate, but it also included elements of spontaneity, and it did not persist for very long. It affected 33 plaintiffs. The defendants' motives were ostensibly to act in the best interests of the union, but they acted maliciously against members of Local 2171 because they disagreed with the conduct of the Mainland workers during the strike. No one attempted to conceal the misconduct, but no one did anything to properly investigate what happened. All of the defendants acknowledged that trespassing on an employer's property and committing violence was wrong. None of them profited from their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interest violated was important to the plaintiffs, because they were suddenly assaulted in their place of work by fellow union members. Several plaintiffs expressed this interest rather succinctly. Bruno Benetton described the event as an "invasion" and said that work was supposed to be a safe place; Rajinder Braich said that he was a union man too, and he thought that the defendants had taken the law into their own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In respect of other penalties, the defendant USW Local 1-3567 paid $34,000 in damages to Local 2171, some of which was distributed to the plaintiffs. However, this amount was compensatory for lost wages only, a claim for which is not made here. The USW Local 1-3567 has also paid $148,600 in damages to Mainland and Terminal Forest Products Ltd. for trespass. Neither of these amounts duplicates any of the claims made by the plaintiffs in this proceeding, but I have taken them into account in assessing punitive damages, since they relate to the December 16, 2003 incident from which the misconduct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There is a need for deterrence here. A large number of members of Local 1-3567, including most of their leaders, organized and participated in the incident of December 16, 2003, and the Union subsequently ratified the leadership and through that, the misconduct. None of the defendants did anything to address the misconduct. When the USW merged with the IWA, the leaders of Local 1-3567 remained the same for a considerable period of time. Many of the same people are still there. Mr. Ghag and Mr. King are no longer officers or members of USW Local 1-3567, but this is not sufficient, in my view, to remove the need for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There is also a need for denunciation. The incident may have been unprecedented, but the principle of the rule of law must be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Having said that, it is my view that the amount of punitive damages suggested by the plaintiffs is too high, given all of the relevant factors, including the financial means of USW Local 1-3567 and the Society. Whether or not the Union and the Society can afford to finance a substantial judgment is one factor to consider among many.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Ms. Young submitted that because this case involves multiple plaintiffs, I must consider the total aggregate amount and ensure that it is reasonable. There is little authority that addresses the amount of punitive damages where there are multiple plaintiffs. In </w:t>
      </w:r>
      <w:r>
        <w:rPr>
          <w:rFonts w:ascii="arial" w:eastAsia="arial" w:hAnsi="arial" w:cs="arial"/>
          <w:b/>
          <w:i/>
          <w:color w:val="000000"/>
          <w:sz w:val="20"/>
          <w:lang w:val="en-US" w:eastAsia="en-US" w:bidi="ar-SA"/>
        </w:rPr>
        <w:t>Riches v. News Group Newspapers Ltd.</w:t>
      </w:r>
      <w:r>
        <w:rPr>
          <w:rFonts w:ascii="arial" w:eastAsia="arial" w:hAnsi="arial" w:cs="arial"/>
          <w:color w:val="000000"/>
          <w:sz w:val="20"/>
          <w:lang w:val="en-US" w:eastAsia="en-US" w:bidi="ar-SA"/>
        </w:rPr>
        <w:t>, [1986] 1 Q.B. 256 (C.A.), Stephenson L.J. suggested that in such circumstances the total amount for punitive damages "must not be unreasonable or excessive for the purpose of expressing disapproval of a tortious defendant's conduct and deterring him from repeating it". Parker L.J. opined that equal distribution of a punitive damage award among multiple plaintiffs is "the simple and reasonable way to deal with the matter", although he allowed that a case could be made for distributing the amount rateably among the plaintiffs according to the respective awards of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A similar approach was taken in </w:t>
      </w:r>
      <w:r>
        <w:rPr>
          <w:rFonts w:ascii="arial" w:eastAsia="arial" w:hAnsi="arial" w:cs="arial"/>
          <w:b/>
          <w:i/>
          <w:color w:val="000000"/>
          <w:sz w:val="20"/>
          <w:lang w:val="en-US" w:eastAsia="en-US" w:bidi="ar-SA"/>
        </w:rPr>
        <w:t>O'Neill v. MacDougall</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(2006), 54 B.C.L.R. (4th) 142</w:t>
        </w:r>
      </w:hyperlink>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2006 BCSC 180</w:t>
        </w:r>
      </w:hyperlink>
      <w:r>
        <w:rPr>
          <w:rFonts w:ascii="arial" w:eastAsia="arial" w:hAnsi="arial" w:cs="arial"/>
          <w:color w:val="000000"/>
          <w:sz w:val="20"/>
          <w:lang w:val="en-US" w:eastAsia="en-US" w:bidi="ar-SA"/>
        </w:rPr>
        <w:t>. This was an application by the plaintiff to assess the quantum of punitive damages against the defendant MacDougall, and it was heard together with a number of analogous actions by other plaintiffs against the same defendant for similar acts of sexual abuse. Joyce J. concluded that it would not be appropriate to award punitive damages to the various plaintiffs in differing amounts depending upon the severity and impact of the sexual assault in each particular case, because punitive damages are not concerned with compensation, but punishment. He also considered the totality of the punishment which should be imposed on the defendant, taking into account over thirty plaintiffs with settled or outstanding claims, and reduced what would otherwise be an appropriate amount, $25,000, to $10,000 for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Mr. McDonell says that an aggregate amount of approximately $700,000 for punitive damages in this case is not excessive, considering the financial means of USW Local 1-3567 and the Society. The financial statements show that the local union and the Society together have an annual cash flow of $3.65 million and at least $6 million in net assets. Ms. Young suggested that the total of $200,000 awarded in </w:t>
      </w:r>
      <w:r>
        <w:rPr>
          <w:rFonts w:ascii="arial" w:eastAsia="arial" w:hAnsi="arial" w:cs="arial"/>
          <w:b/>
          <w:i/>
          <w:color w:val="000000"/>
          <w:sz w:val="20"/>
          <w:lang w:val="en-US" w:eastAsia="en-US" w:bidi="ar-SA"/>
        </w:rPr>
        <w:t>Matusiak</w:t>
      </w:r>
      <w:r>
        <w:rPr>
          <w:rFonts w:ascii="arial" w:eastAsia="arial" w:hAnsi="arial" w:cs="arial"/>
          <w:color w:val="000000"/>
          <w:sz w:val="20"/>
          <w:lang w:val="en-US" w:eastAsia="en-US" w:bidi="ar-SA"/>
        </w:rPr>
        <w:t xml:space="preserve"> is too high, given the more serious conduct in that case. While that may be so, the defendants' conduct here was serious and it affected many more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The highest punitive damage award in Canada, of $1 million, was given by a jury in </w:t>
      </w:r>
      <w:r>
        <w:rPr>
          <w:rFonts w:ascii="arial" w:eastAsia="arial" w:hAnsi="arial" w:cs="arial"/>
          <w:b/>
          <w:i/>
          <w:color w:val="000000"/>
          <w:sz w:val="20"/>
          <w:lang w:val="en-US" w:eastAsia="en-US" w:bidi="ar-SA"/>
        </w:rPr>
        <w:t>Whiten</w:t>
      </w:r>
      <w:r>
        <w:rPr>
          <w:rFonts w:ascii="arial" w:eastAsia="arial" w:hAnsi="arial" w:cs="arial"/>
          <w:color w:val="000000"/>
          <w:sz w:val="20"/>
          <w:lang w:val="en-US" w:eastAsia="en-US" w:bidi="ar-SA"/>
        </w:rPr>
        <w:t xml:space="preserve">, and ultimately upheld on appeal, although it is quite clear that the judges in the Supreme Court of Canada would not have given such a high award. Following that was the award of $800,000 in </w:t>
      </w:r>
      <w:r>
        <w:rPr>
          <w:rFonts w:ascii="arial" w:eastAsia="arial" w:hAnsi="arial" w:cs="arial"/>
          <w:b/>
          <w:i/>
          <w:color w:val="000000"/>
          <w:sz w:val="20"/>
          <w:lang w:val="en-US" w:eastAsia="en-US" w:bidi="ar-SA"/>
        </w:rPr>
        <w:t>Hill v. Church of Scientology</w:t>
      </w:r>
      <w:r>
        <w:rPr>
          <w:rFonts w:ascii="arial" w:eastAsia="arial" w:hAnsi="arial" w:cs="arial"/>
          <w:color w:val="000000"/>
          <w:sz w:val="20"/>
          <w:lang w:val="en-US" w:eastAsia="en-US" w:bidi="ar-SA"/>
        </w:rPr>
        <w:t xml:space="preserve">. Both of these cases involved egregious conduct by the defendants in very different circumstances. Punitive damages in the amount of $100,000 were awarded in </w:t>
      </w:r>
      <w:r>
        <w:rPr>
          <w:rFonts w:ascii="arial" w:eastAsia="arial" w:hAnsi="arial" w:cs="arial"/>
          <w:b/>
          <w:i/>
          <w:color w:val="000000"/>
          <w:sz w:val="20"/>
          <w:lang w:val="en-US" w:eastAsia="en-US" w:bidi="ar-SA"/>
        </w:rPr>
        <w:t>Keays v. Honda Canada Inc.</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(2006), 82 O.R. (3d) 161</w:t>
        </w:r>
      </w:hyperlink>
      <w:r>
        <w:rPr>
          <w:rFonts w:ascii="arial" w:eastAsia="arial" w:hAnsi="arial" w:cs="arial"/>
          <w:color w:val="000000"/>
          <w:sz w:val="20"/>
          <w:lang w:val="en-US" w:eastAsia="en-US" w:bidi="ar-SA"/>
        </w:rPr>
        <w:t xml:space="preserve"> (C.A.), leave to appeal to S.C.C. granted, </w:t>
      </w:r>
      <w:hyperlink r:id="rId1002" w:history="1">
        <w:r>
          <w:rPr>
            <w:rFonts w:ascii="arial" w:eastAsia="arial" w:hAnsi="arial" w:cs="arial"/>
            <w:i/>
            <w:color w:val="0077CC"/>
            <w:sz w:val="20"/>
            <w:u w:val="single"/>
            <w:shd w:val="clear" w:color="auto" w:fill="FFFFFF"/>
            <w:lang w:val="en-US" w:eastAsia="en-US" w:bidi="ar-SA"/>
          </w:rPr>
          <w:t>[2006] S.C.C.A. No. 470</w:t>
        </w:r>
      </w:hyperlink>
      <w:r>
        <w:rPr>
          <w:rFonts w:ascii="arial" w:eastAsia="arial" w:hAnsi="arial" w:cs="arial"/>
          <w:color w:val="000000"/>
          <w:sz w:val="20"/>
          <w:lang w:val="en-US" w:eastAsia="en-US" w:bidi="ar-SA"/>
        </w:rPr>
        <w:t>, a wrongful dismissal action, where the employer terminated the plaintiff's employment to avoid accommodating his disability, and where the plaintiff was particularly vulnerable as a result of his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Ms. Young suggested that the Court look to cases involving unions being held in contempt of court, since they have similar policy objectives of punishment and deterrence. I agree that such cases are of some assistance. The more recent decisions of this court indicate a movement toward higher fines - the highest amount of $500,000 given in </w:t>
      </w:r>
      <w:r>
        <w:rPr>
          <w:rFonts w:ascii="arial" w:eastAsia="arial" w:hAnsi="arial" w:cs="arial"/>
          <w:b/>
          <w:i/>
          <w:color w:val="000000"/>
          <w:sz w:val="20"/>
          <w:lang w:val="en-US" w:eastAsia="en-US" w:bidi="ar-SA"/>
        </w:rPr>
        <w:t>B.C. Public School Employers' Association v. BCTF</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(2005), 260 D.L.R. (4th) 533</w:t>
        </w:r>
      </w:hyperlink>
      <w:r>
        <w:rPr>
          <w:rFonts w:ascii="arial" w:eastAsia="arial" w:hAnsi="arial" w:cs="arial"/>
          <w:color w:val="000000"/>
          <w:sz w:val="20"/>
          <w:lang w:val="en-US" w:eastAsia="en-US" w:bidi="ar-SA"/>
        </w:rPr>
        <w:t xml:space="preserve"> (B.C.S.C.), </w:t>
      </w:r>
      <w:hyperlink r:id="rId1003" w:history="1">
        <w:r>
          <w:rPr>
            <w:rFonts w:ascii="arial" w:eastAsia="arial" w:hAnsi="arial" w:cs="arial"/>
            <w:i/>
            <w:color w:val="0077CC"/>
            <w:sz w:val="20"/>
            <w:u w:val="single"/>
            <w:shd w:val="clear" w:color="auto" w:fill="FFFFFF"/>
            <w:lang w:val="en-US" w:eastAsia="en-US" w:bidi="ar-SA"/>
          </w:rPr>
          <w:t>2005 BCSC 1490</w:t>
        </w:r>
      </w:hyperlink>
      <w:r>
        <w:rPr>
          <w:rFonts w:ascii="arial" w:eastAsia="arial" w:hAnsi="arial" w:cs="arial"/>
          <w:color w:val="000000"/>
          <w:sz w:val="20"/>
          <w:lang w:val="en-US" w:eastAsia="en-US" w:bidi="ar-SA"/>
        </w:rPr>
        <w:t xml:space="preserve">, followed by $150,000 in </w:t>
      </w:r>
      <w:r>
        <w:rPr>
          <w:rFonts w:ascii="arial" w:eastAsia="arial" w:hAnsi="arial" w:cs="arial"/>
          <w:b/>
          <w:i/>
          <w:color w:val="000000"/>
          <w:sz w:val="20"/>
          <w:lang w:val="en-US" w:eastAsia="en-US" w:bidi="ar-SA"/>
        </w:rPr>
        <w:t>B.C. Health Employers Association v. Facilities Subsector Bargaining Association</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(2004), 31 B.C.L.R. (4th) 124</w:t>
        </w:r>
      </w:hyperlink>
      <w:r>
        <w:rPr>
          <w:rFonts w:ascii="arial" w:eastAsia="arial" w:hAnsi="arial" w:cs="arial"/>
          <w:color w:val="000000"/>
          <w:sz w:val="20"/>
          <w:lang w:val="en-US" w:eastAsia="en-US" w:bidi="ar-SA"/>
        </w:rPr>
        <w:t xml:space="preserve"> (S.C.), </w:t>
      </w:r>
      <w:hyperlink r:id="rId1004" w:history="1">
        <w:r>
          <w:rPr>
            <w:rFonts w:ascii="arial" w:eastAsia="arial" w:hAnsi="arial" w:cs="arial"/>
            <w:i/>
            <w:color w:val="0077CC"/>
            <w:sz w:val="20"/>
            <w:u w:val="single"/>
            <w:shd w:val="clear" w:color="auto" w:fill="FFFFFF"/>
            <w:lang w:val="en-US" w:eastAsia="en-US" w:bidi="ar-SA"/>
          </w:rPr>
          <w:t>2004 BCSC 762</w:t>
        </w:r>
      </w:hyperlink>
      <w:r>
        <w:rPr>
          <w:rFonts w:ascii="arial" w:eastAsia="arial" w:hAnsi="arial" w:cs="arial"/>
          <w:color w:val="000000"/>
          <w:sz w:val="20"/>
          <w:lang w:val="en-US" w:eastAsia="en-US" w:bidi="ar-SA"/>
        </w:rPr>
        <w:t>. In both cases, the court considered the assets of the union in determining a proper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Mr. McDonell suggested an amount for each plaintiff based on the amount of the award for compensatory damages. However, punitive damages are not compensatory. Considering the purpose for awarding punitive damages, it is my opinion that the most reasonable approach in this case is to assess an amount for each plaintiff who was assaulted and battered, an amount for each afternoon shift plaintiff who was assaulted only, and an amount for each graveyard shift plaintiff, in order to reflect the degrees of seriousness of the defendants' misconduct. I have also taken into account the aggregate amount to ensure that the total amount does not exceed what is required to achieve the goals of deterrence and denunciation. Accordingly, I assess punitive damages in the amount of $15,000 for each of the 13 plaintiffs who was assaulted and battered, $7,000 for each of the 17 afternoon shift plaintiffs who was assaulted, and $3,000 for each of the graveyard shift plaintiffs, for a total amount of $323,000. Considering the number of plaintiffs who were adversely affected by the actions of so many defendants, as well as all of the factors I have outlined above, it is my opinion that this amount adequately expresses the court's disapproval of the conduct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 Union brings a third party claim against Sonny Ghag and John Doe for indemnification for the damages awarded to the plaintiffs and for the amount it paid to settle Mainland's claims, as well as costs and interest. Certain Defendants (other than the Union and the Society) seek contribution from Mr. Ghag to the extent he is found at fault and they are required to satisfy the judgment against them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The claim for contribution is straightforward. All personal defendants found liable as joint tortfeasors are jointly and severally liable to the plaintiffs for the damages and are liable, under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to contribute to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Having found Sonny Ghag 40% responsible for the damages, all other personal defendants are entitled to contribution from Mr. Ghag for 40% of the amount should they pay it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The Union's claim for indemnity is less straightforward. It is clear that in cases of vicarious liability the person held vicariously liable for the tort of another has a right of indemnity as against the other. It is also clear that the person asserting the right of indemnity must have been without fault in the occurrence that caused the damage: </w:t>
      </w:r>
      <w:r>
        <w:rPr>
          <w:rFonts w:ascii="arial" w:eastAsia="arial" w:hAnsi="arial" w:cs="arial"/>
          <w:b/>
          <w:i/>
          <w:color w:val="000000"/>
          <w:sz w:val="20"/>
          <w:lang w:val="en-US" w:eastAsia="en-US" w:bidi="ar-SA"/>
        </w:rPr>
        <w:t>Fenn v. City of Peterborough</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(1979) 25 O.R. (2d) 399</w:t>
        </w:r>
      </w:hyperlink>
      <w:r>
        <w:rPr>
          <w:rFonts w:ascii="arial" w:eastAsia="arial" w:hAnsi="arial" w:cs="arial"/>
          <w:color w:val="000000"/>
          <w:sz w:val="20"/>
          <w:lang w:val="en-US" w:eastAsia="en-US" w:bidi="ar-SA"/>
        </w:rPr>
        <w:t xml:space="preserve"> (C.A.) (aff'd </w:t>
      </w:r>
      <w:hyperlink r:id="rId1006" w:history="1">
        <w:r>
          <w:rPr>
            <w:rFonts w:ascii="arial" w:eastAsia="arial" w:hAnsi="arial" w:cs="arial"/>
            <w:i/>
            <w:color w:val="0077CC"/>
            <w:sz w:val="20"/>
            <w:u w:val="single"/>
            <w:shd w:val="clear" w:color="auto" w:fill="FFFFFF"/>
            <w:lang w:val="en-US" w:eastAsia="en-US" w:bidi="ar-SA"/>
          </w:rPr>
          <w:t>[1981] 2 S.C.R. 613</w:t>
        </w:r>
      </w:hyperlink>
      <w:r>
        <w:rPr>
          <w:rFonts w:ascii="arial" w:eastAsia="arial" w:hAnsi="arial" w:cs="arial"/>
          <w:color w:val="000000"/>
          <w:sz w:val="20"/>
          <w:lang w:val="en-US" w:eastAsia="en-US" w:bidi="ar-SA"/>
        </w:rPr>
        <w:t>) at para. 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Union is vicariously liable partly because it authorized a highly risky event at Mainland on December 16, 2003, and it subsequently ratified what took place. Moreover, its officers, including the President, and many executive board members were directly involved. While the Union is not directly at fault for the assaults that took place, it cannot be said that the Union is without any fault for what occurred. I find it telling that it was not until June 2005, the same month that the Union brought charges against Mr. Ghag and others for allegations not related to the events at Mainland, that the Union decided to retain counsel separate from Mr. Ghag and Mr. King. The Union was content to ally itself with Mr. Ghag for a considerable time following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In my opinion, similar considerations apply here as for punitive damages. The Union is not without fault due to its condonation or ratification of the actions of December 16th and its failure to take any steps to determine what really happened and to address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Because the Union is not a blameless party, its claim for indemnification from Sonny Ghag and John Doe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claims against Les Veale and the Society are dismissed. The actions of the plaintiffs Larry Anderson, Aman Aujla, Satnam Aujla, Bruno Benetton, Rampal Berar, Parmjit Birk, Rajinder Braich, Michael De Verteuil, Hari Gill, Walter Girotto, Narendra Gounder, Dan Griffiths, Jamie Hadley, Donald Haldorson, Gorman Khayrah, Devinder Ladhar, Mohinder Ladhar, Paul Larocque, Ron Lee, James Lillyman, Sohan Mann, Sukbir Moore, Efren Ocampo, Iqbal Parmar, Christopher Parnell, Miguel Perez, Alessandro Pinzarrone, Guiseppe Pinzarrone, Karnail Shergill, David Stuart, Jhalman Uppal, Bill Vidovic and Lee Young against all other defendants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Plaintiff</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General &amp; aggravated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Punitive Total</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1255"/>
        <w:gridCol w:w="2510"/>
        <w:gridCol w:w="313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Michael De Verteuil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$ 25,000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15,000 $ 40,000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Rampal Berar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$ 25,000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15,000 $ 40,000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David Stuart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$ 12,000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15,000 $ 27,000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Guiseppe Pinzarrone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$ 12,000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15,000 $ 27,000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Christopher Parnell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$ 12,000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15,000 $ 27,000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Devinder Ladhar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15,000 $ 25,000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Rajinder Braich</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15,000 $ 25,000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Jamie Hadley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15,000 $ 25,000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Mohinder Ladhar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Hari Gill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Efren Ocampo</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James Lillyman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Ron Lee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15,000 $ 22,000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Lee Young</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7,000 $ 13,000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Dan Griffiths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7,000 $ 13,000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Donald Haldorson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Larry Anderson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Bruno Benetton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Walter Girotto</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Bill Vidovic</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Aman Aujla</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Miguel Perez</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Jhalman Uppal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7,000 $ 10,000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Alessandro Pinzarrone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7,000 $ 9,000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Gorman Khayrah</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7,000 $ 9,000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Sukbir Moore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7,000 $ 9,000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Karnail Shergill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7,000 $ 9,000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Parmjit Birk</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7,000 $ 8,000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Iqbal Parmar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7,000 $ 8,000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Sohan Mann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7,000 $ 7,750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Satnam Aujla</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3,000 $ 4,000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Narendra Gounder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3,000 $ 3,750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Paul Larocque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3,000 $ 3,750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$210,250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$323,000 $533,250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Special damages are awarded to Guiseppe Pinzarrone in the amount of $536.77.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Liability for the damages among the personal defendants is apportioned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Sonny Ghag - 40%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Barry King, Earl Graham, Larry Kellum, Leonard Yalowicka, Brian Lund, Keijo Lahti, Dale Johnson and Lloyd Hill, collectively - 30%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Randy Baust, Norma Lahti, Phillip Rose, Ken Fleming, Ralph Altenreid, Baldev Hundal, Mike Kelly, Keith Legge, Roger Rudyk, Ray Hudon, Kulbir Thandi, Jeff Lavigne, Jim Ferris and Grazio Odorisio, collectively - 20%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Martin Cheremkora, Mohinder Gidda, Patrick Goslawski, Michael Lee, Ron Pastor, Rick Reandy, James Sim and Jack Bigg, collectively - 10%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personal defendants are entitled to contribution from Mr. Ghag for 40% of the amount of the damages should they pay the entire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Union's third party claim for indemnification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parties have leave to make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25,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Madam Justice B. Fisher dated September 26, 2007 have been edited.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320 continues on the top of page 120, paragraph 321 continues onwards in proper sequential form after the heading </w:t>
      </w:r>
      <w:r>
        <w:rPr>
          <w:rFonts w:ascii="arial" w:eastAsia="arial" w:hAnsi="arial" w:cs="arial"/>
          <w:b/>
          <w:color w:val="000000"/>
          <w:sz w:val="20"/>
          <w:lang w:val="en-US" w:eastAsia="en-US" w:bidi="ar-SA"/>
        </w:rPr>
        <w:t>(b) Amount.</w:t>
      </w:r>
    </w:p>
    <w:p>
      <w:pPr>
        <w:spacing w:after="240"/>
        <w:rPr>
          <w:rFonts w:ascii="arial" w:eastAsia="arial" w:hAnsi="arial" w:cs="arial"/>
          <w:sz w:val="20"/>
          <w:lang w:val="en-US" w:eastAsia="en-US" w:bidi="ar-SA"/>
        </w:rPr>
      </w:pPr>
      <w:r>
        <w:pict>
          <v:line id="_x0000_s1252" style="position:absolute;z-index:25188864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329"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32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affidavit was made for the purpose of supporting an application by the defendants to strike out the plaintiffs' action on the basis that the dispute was a labour matter within the jurisdiction of the Labour Relations Board. This application was dismissed: </w:t>
      </w:r>
      <w:hyperlink r:id="rId1007" w:history="1">
        <w:r>
          <w:rPr>
            <w:rFonts w:ascii="arial" w:eastAsia="arial" w:hAnsi="arial" w:cs="arial"/>
            <w:i/>
            <w:color w:val="0077CC"/>
            <w:sz w:val="18"/>
            <w:u w:val="single"/>
            <w:shd w:val="clear" w:color="auto" w:fill="FFFFFF"/>
            <w:lang w:val="en-US" w:eastAsia="en-US" w:bidi="ar-SA"/>
          </w:rPr>
          <w:t>2004 BCSC 1469</w:t>
        </w:r>
      </w:hyperlink>
      <w:r>
        <w:rPr>
          <w:rFonts w:ascii="arial" w:eastAsia="arial" w:hAnsi="arial" w:cs="arial"/>
          <w:color w:val="6D6E71"/>
          <w:sz w:val="18"/>
          <w:lang w:val="en-US" w:eastAsia="en-US" w:bidi="ar-SA"/>
        </w:rPr>
        <w:t xml:space="preserve">, aff'd </w:t>
      </w:r>
      <w:hyperlink r:id="rId1008" w:history="1">
        <w:r>
          <w:rPr>
            <w:rFonts w:ascii="arial" w:eastAsia="arial" w:hAnsi="arial" w:cs="arial"/>
            <w:i/>
            <w:color w:val="0077CC"/>
            <w:sz w:val="18"/>
            <w:u w:val="single"/>
            <w:shd w:val="clear" w:color="auto" w:fill="FFFFFF"/>
            <w:lang w:val="en-US" w:eastAsia="en-US" w:bidi="ar-SA"/>
          </w:rPr>
          <w:t>2005 BCCA 89</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30"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330"/>
      <w:r>
        <w:rPr>
          <w:rFonts w:ascii="arial" w:eastAsia="arial" w:hAnsi="arial" w:cs="arial"/>
          <w:sz w:val="20"/>
          <w:lang w:val="en-US" w:eastAsia="en-US" w:bidi="ar-SA"/>
        </w:rPr>
        <w:tab/>
      </w:r>
      <w:r>
        <w:rPr>
          <w:rFonts w:ascii="arial" w:eastAsia="arial" w:hAnsi="arial" w:cs="arial"/>
          <w:color w:val="6D6E71"/>
          <w:sz w:val="18"/>
          <w:lang w:val="en-US" w:eastAsia="en-US" w:bidi="ar-SA"/>
        </w:rPr>
        <w:t>I would draw the same inference even if the leaders of Local 1-3567 first became aware on December 16th that Local 2171 members had returned to work.</w:t>
      </w:r>
    </w:p>
    <w:p>
      <w:pPr>
        <w:spacing w:before="120" w:after="20" w:line="240" w:lineRule="atLeast"/>
        <w:ind w:left="720" w:hanging="360"/>
        <w:jc w:val="both"/>
        <w:rPr>
          <w:rFonts w:ascii="arial" w:eastAsia="arial" w:hAnsi="arial" w:cs="arial"/>
          <w:sz w:val="20"/>
          <w:lang w:val="en-US" w:eastAsia="en-US" w:bidi="ar-SA"/>
        </w:rPr>
      </w:pPr>
      <w:bookmarkStart w:id="331"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33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Counsel for Certain Defendants referred to the importance of unions in society and to the protection afforded to picketing under </w:t>
      </w:r>
      <w:r>
        <w:rPr>
          <w:rFonts w:ascii="arial" w:eastAsia="arial" w:hAnsi="arial" w:cs="arial"/>
          <w:b/>
          <w:i/>
          <w:color w:val="6D6E71"/>
          <w:sz w:val="18"/>
          <w:lang w:val="en-US" w:eastAsia="en-US" w:bidi="ar-SA"/>
        </w:rPr>
        <w:t>Retail, Wholesale and Department Store Union, Local 558 v. Pepsi-Cola Canada Beverages (West) Ltd</w:t>
      </w:r>
      <w:r>
        <w:rPr>
          <w:rFonts w:ascii="arial" w:eastAsia="arial" w:hAnsi="arial" w:cs="arial"/>
          <w:color w:val="6D6E71"/>
          <w:sz w:val="18"/>
          <w:lang w:val="en-US" w:eastAsia="en-US" w:bidi="ar-SA"/>
        </w:rPr>
        <w:t xml:space="preserve">., </w:t>
      </w:r>
      <w:hyperlink r:id="rId1009" w:history="1">
        <w:r>
          <w:rPr>
            <w:rFonts w:ascii="arial" w:eastAsia="arial" w:hAnsi="arial" w:cs="arial"/>
            <w:i/>
            <w:color w:val="0077CC"/>
            <w:sz w:val="18"/>
            <w:u w:val="single"/>
            <w:shd w:val="clear" w:color="auto" w:fill="FFFFFF"/>
            <w:lang w:val="en-US" w:eastAsia="en-US" w:bidi="ar-SA"/>
          </w:rPr>
          <w:t>2002 SCC 8</w:t>
        </w:r>
      </w:hyperlink>
      <w:r>
        <w:rPr>
          <w:rFonts w:ascii="arial" w:eastAsia="arial" w:hAnsi="arial" w:cs="arial"/>
          <w:color w:val="6D6E71"/>
          <w:sz w:val="18"/>
          <w:lang w:val="en-US" w:eastAsia="en-US" w:bidi="ar-SA"/>
        </w:rPr>
        <w:t xml:space="preserve">. I accept that picketing may involve vigorous and angry expression. However, as the court in </w:t>
      </w:r>
      <w:r>
        <w:rPr>
          <w:rFonts w:ascii="arial" w:eastAsia="arial" w:hAnsi="arial" w:cs="arial"/>
          <w:b/>
          <w:i/>
          <w:color w:val="6D6E71"/>
          <w:sz w:val="18"/>
          <w:lang w:val="en-US" w:eastAsia="en-US" w:bidi="ar-SA"/>
        </w:rPr>
        <w:t>Pepsi-Cola</w:t>
      </w:r>
      <w:r>
        <w:rPr>
          <w:rFonts w:ascii="arial" w:eastAsia="arial" w:hAnsi="arial" w:cs="arial"/>
          <w:color w:val="6D6E71"/>
          <w:sz w:val="18"/>
          <w:lang w:val="en-US" w:eastAsia="en-US" w:bidi="ar-SA"/>
        </w:rPr>
        <w:t xml:space="preserve"> made clear, picketing which breaches the criminal law or a specific tort will be impermissible. In any event, it is not the function of the Court in this case to make any determination as to the legality of the picketing, nor do I consider that issue to be relevant.</w:t>
      </w:r>
    </w:p>
    <w:p>
      <w:pPr>
        <w:spacing w:before="120" w:after="20" w:line="240" w:lineRule="atLeast"/>
        <w:ind w:left="720" w:hanging="360"/>
        <w:jc w:val="both"/>
        <w:rPr>
          <w:rFonts w:ascii="arial" w:eastAsia="arial" w:hAnsi="arial" w:cs="arial"/>
          <w:sz w:val="20"/>
          <w:lang w:val="en-US" w:eastAsia="en-US" w:bidi="ar-SA"/>
        </w:rPr>
      </w:pPr>
      <w:bookmarkStart w:id="332"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332"/>
      <w:r>
        <w:rPr>
          <w:rFonts w:ascii="arial" w:eastAsia="arial" w:hAnsi="arial" w:cs="arial"/>
          <w:sz w:val="20"/>
          <w:lang w:val="en-US" w:eastAsia="en-US" w:bidi="ar-SA"/>
        </w:rPr>
        <w:tab/>
      </w:r>
      <w:r>
        <w:rPr>
          <w:rFonts w:ascii="arial" w:eastAsia="arial" w:hAnsi="arial" w:cs="arial"/>
          <w:color w:val="6D6E71"/>
          <w:sz w:val="18"/>
          <w:lang w:val="en-US" w:eastAsia="en-US" w:bidi="ar-SA"/>
        </w:rPr>
        <w:t>Under the terms of the IWA Constitution, local unions are chartered by authority of the national. While locals hold their own property, if they become inactive, the national would take possession and hold their property in trust for the members; thus showing a clear connection between the two levels.</w:t>
      </w:r>
    </w:p>
    <w:p>
      <w:pPr>
        <w:spacing w:before="120" w:after="20" w:line="240" w:lineRule="atLeast"/>
        <w:ind w:left="720" w:hanging="360"/>
        <w:jc w:val="both"/>
        <w:rPr>
          <w:rFonts w:ascii="arial" w:eastAsia="arial" w:hAnsi="arial" w:cs="arial"/>
          <w:sz w:val="20"/>
          <w:lang w:val="en-US" w:eastAsia="en-US" w:bidi="ar-SA"/>
        </w:rPr>
      </w:pPr>
      <w:bookmarkStart w:id="333"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333"/>
      <w:r>
        <w:rPr>
          <w:rFonts w:ascii="arial" w:eastAsia="arial" w:hAnsi="arial" w:cs="arial"/>
          <w:sz w:val="20"/>
          <w:lang w:val="en-US" w:eastAsia="en-US" w:bidi="ar-SA"/>
        </w:rPr>
        <w:tab/>
      </w:r>
      <w:r>
        <w:rPr>
          <w:rFonts w:ascii="arial" w:eastAsia="arial" w:hAnsi="arial" w:cs="arial"/>
          <w:color w:val="6D6E71"/>
          <w:sz w:val="18"/>
          <w:lang w:val="en-US" w:eastAsia="en-US" w:bidi="ar-SA"/>
        </w:rPr>
        <w:t>It was the USW that finally took steps to address other issues related to the activities of Local 1-3567. In June 2005, charges were brought against Mr. Ghag and other officers regarding matters that arose both before and after the merger.</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3"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0"/>
          <w:headerReference w:type="default" r:id="rId1011"/>
          <w:footerReference w:type="even" r:id="rId1012"/>
          <w:footerReference w:type="default" r:id="rId1013"/>
          <w:headerReference w:type="first" r:id="rId1014"/>
          <w:footerReference w:type="first" r:id="rId10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6" w:history="1">
        <w:r>
          <w:rPr>
            <w:rFonts w:ascii="arial" w:eastAsia="arial" w:hAnsi="arial" w:cs="arial"/>
            <w:b/>
            <w:bCs/>
            <w:i/>
            <w:color w:val="0077CC"/>
            <w:kern w:val="32"/>
            <w:sz w:val="28"/>
            <w:szCs w:val="32"/>
            <w:u w:val="single"/>
            <w:shd w:val="clear" w:color="auto" w:fill="FFFFFF"/>
            <w:lang w:val="en-US" w:eastAsia="en-US" w:bidi="ar-SA"/>
          </w:rPr>
          <w:t>Medeiros v. Vuong, [2000] B.C.J. No. 1901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6 - 9,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B961550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1901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600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Antonio Medeiros, plaintiff, and Quoc Vuong and Kim Mai Duong,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4"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4" w:name="Keywords_42"/>
      <w:bookmarkEnd w:id="33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Damage awards — Body injuries — Neck injuries — Soft tissue injuries — General damage awards.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5" w:name="Case Summary_37"/>
            <w:bookmarkEnd w:id="3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victim, Medeiros, against the tortfeasor, Vuong, for damages following a motor vehicle accident. In December 1994, Vuong's vehicle collided with Medeiros' vehicle. Vuong admitted liability. Medeiros suffered several injuries as a result of the accident, namely to his lower back and the left side of his neck and shoulder. From the time of the accident to July 1995, Medeiros continued to complain of pain in his left shoulder, left neck, lower back, as well as headaches. However, there appeared to be gradual improvement of his condition. At the time of the accident, Medeiros was 51 years of age and was a heavy equipment operator. Although the nature of his work changed following the accident, the change did not result in any loss of income or other benefits. Medeiros also started a small residential landscaping business. He lost money in that business, but enjoyed the work and planned to expand it into a full-time business when he retired from his regular employment at age 55. In August 1995, Medeiros injured his left thumb when he slipped and fell in his garage as he was about to enter his vehicle. Medeiros submitted that the injury to his thumb was a direct consequence of his earlier injuries. He submitted that due to the pain caused by the injuries he suffered in the accident, he had not slept well and was feeling weak and shaky, such that he suffered a spasm that caused him to lose his balance and fall. In an attempt to prevent the fall, he reached out to grab the car's side mirror and injured his thumb. Medeiros submitted that the thumb injury caused him to miss five weeks of work, which resulted in wage and benefit losses in the amount of $6,258.11. At trial, Medeiros submitted that his thumb was still sore and that he was worried about further injury. Vuong submitted a video that showed Medeiros performing landscaping work following the injury to his thumb.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6" w:name="Holdings of Court_33"/>
            <w:bookmarkEnd w:id="33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Medeiros was awarded non-pecuniary damages in the amount of $20,000. Medeiros exaggerated his injuries. There was little objective evidence to support Medeiros' claim concerning the injury to his thumb. Medeiros' physician's reports and testimony were given little weight on the grounds that his opinions were based on Medeiros' self-reporting and were outside the scope of his qualifications. The injury to his thumb did not occur as a result of Vuong's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Further, Medeiros failed to prove on a balance of probabilities that he suffered an injury to his left shoulder. However, as a result of the accident, Medeiros suffered the equivalent of mild to moderate soft tissue injury that caused intermittent, but not disabling, pain. Medeiros was awarded non-pecuniary damages in the amount of $20,000. He was not awarded damages for the alleged loss of opportunity to develop his landscaping business on the grounds that there was no evidence as to whether the venture would have been a financial success if it were pursued on a full-time basis.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7" w:name="Counsel_48"/>
      <w:bookmarkEnd w:id="3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D.C.E. Simm, for the plaintiff. J.D. Spencer,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8" w:name="Judgment_48"/>
      <w:bookmarkEnd w:id="338"/>
      <w:r>
        <w:pict>
          <v:line id="_x0000_s1256" style="position:absolute;z-index:2518108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9" w:name="DROST J."/>
            <w:bookmarkEnd w:id="339"/>
            <w:r>
              <w:rPr>
                <w:rFonts w:ascii="arial" w:eastAsia="arial" w:hAnsi="arial" w:cs="arial"/>
                <w:b/>
                <w:color w:val="000000"/>
                <w:sz w:val="30"/>
                <w:lang w:val="en-US" w:eastAsia="en-US" w:bidi="ar-SA"/>
              </w:rPr>
              <w:t>DROST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suffered in a motor vehicle accident on December 8, 1994, when the car he was driving collided with one owned by the Defendant Duong and driven by the defendant Vuong.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driving through an intersection when the car driven by Vuong entered the intersection from the opposite direction and made a left turn directly in front of him. The collision was unavoidable, and the defendants have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the plaintiff, who is now 51 years of age, was employed by Columbia Bitulithic Ltd. He had been temporarily laid off at the beginning of December, 1994, but he was called back on January 25, 1995, and he was able to work steadily from then until August 12, 1995, when he injured his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nature of his work changed to some degree as a result of the December, 1994 accident. He was (and still is) a heavy equipment operator, and for several years had been operating a gravel crusher. He testified that, following the accident, he found that too painful, so he switched to a gravel loader, which he continues to operate. He said that he would rather operate a crusher or loader, but admitted that the change did not result in any loss of income or other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injury to his thumb, which he alleges was a direct consequence of his earlier injuries, caused him to miss five weeks of work, resulting in wage and benefit losses amounting to $6,258.11. Since then, he has worked regularly despite continuing complaints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Several years ago, the plaintiff started a small residential landscaping business. His regular hours of work allowed him to do landscaping in the afternoons. He admitted that he lost money in that business during every year of its operation, but said that he enjoyed the work and planned to expand it into a full time business when he retired from his regular employment at age 55. However, he claims that, as a result of the injuries he suffered as a result of the accident, the work became too heavy and he had to give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issue are the nature and extent of the injuries suffered by the plaintiff, and the quantum of damages to which 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Medeiros testified that immediately after the collision his left arm and hand were so numb that he had to use his right hand and his feet to open the driver's side door to get out. Although an ambulance arrived at the scene, he chose to go home in a taxi rather than to a hospital. That evening, however, he began to suffer pain and a headache so he went to the Surrey Memorial Hospital Emergency Department. There, according to the Emergency Record, he complained only of pain in his upper left shoulder, radiating down the left arm to the elbow. He was examined, given some pain killers and sent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Four days later, he consulted his family physician, Dr. Ian Mitchell. In a medico-legal report dated April 8, 1998, Dr. Mitchell advised that the plaintiff then complained of pain in his lower back, and in his left neck and shoulder. Dr. Mitchell reported that on examination he found the plaintiff to be tender along the left paraspinous muscles of his cervical and lumbar spine, left trapezius and left posterior deltoid. Having found that the plaintiff's shoulder and back had a normal range of motion, Dr. Mitchell prescribed rest, heat, and Tylenol No. 3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months following that initial examination, the plaintiff made frequent follow-up visits to Dr. Mitchell. While he continued to complain of pain in his left shoulder, left neck and lower back, as well as headaches, there seemed for a time to be a gradual improvement. According to Dr. Mitchell's clinical notes, the plaintiff sometimes described the pain as "occasional" and on others as "mild". On March 1, 1995, he said that his left neck had "significantly improved", although he was still experiencing "mild" pain in his lower back, radiating down into his left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that same period, the plaintiff received several physiotherapy treatments which, according to a note made by Dr. Mitchell on June 5, 1995, were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on July 17, 1995 the plaintiff told Dr. Mitchell that he had suffered a sharp pain in his left hip when he used a shovel, and that his left neck and shoulder were painful. Dr. Mitchell referred him to an orthopaedic surgeon, Dr. Cecil Caines.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12, 1995, the plaintiff injured his left thumb when he slipped and fell in his garage as he was about to enter or leave his vehicle. In an attempt to prevent the fall, he grabbed hold of the car's side mirror and, in so doing, damaged a ligament in his thumb. He went to the Surrey Memorial Hospital Emergency Department where, after an x-ray was taken and the nature of the injury ascertained, a cast was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claimed that the injury to his thumb occurred as a result of the December 8, 1994 accident. He testified that, due to the pain caused by the injuries he received in that accident, he had not slept well the night before and the next morning, he was feeling weak and shaky. He said that, just as he was about to open the car door, he suffered a pain spasm which caused him to lose his balance and fall. In an attempt to prevent the fall, he reached out to grab the car's side mirror and that is when he injured his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short, it is his position that had he not been injured as a result of the December 8, 1994 accident, the injury to his thumb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16, 1995, Dr. Robert Peers, a specialist in reconstructive surgery, removed the cast and examined the plaintiff's thumb. Dr. Peers found tenderness and swelling along the ulnar collateral ligament region of the MP joint, but confirmed that there was no fracture. Then he applied a new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Peers next examined the plaintiff's thumb on September 7, 1995. He found the thumb tender, but stable. It was his impression that the ligament had healed, so he removed the cast. He told the plaintiff that he would have some continuing tenderness along the ligament for a period of 6 to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at trial, nearly five years later, the plaintiff testified that his thumb still bothers him. He said that he still cannot employ a hard grip, and that he worries about further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23, 1995, the plaintiff was examined on behalf of the defendant by Dr. James Dunlop, an orthopaedic surgeon. In a medico-legal report dated August 23, 1995, Dr. Dunlop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Medeiros seems to have two principle complaints in that he ever since this accident occurred, has complained of pain deep inside his left shoulder and in the region about his left shoulder blade. This has been associated with a whistling sensation that he experiences in both ears together with an episodic occipital headache which he gets from time to time. He also thinks that his balance has been affected, although he can taste and swallow objects normally and gives no history of any visual disturbance.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principle problem that he has has been that of low back pain which seems to preclude him from sitting in his front end loader for periods of more than about half an hour at a time without experiencing increasing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low back pain has been associated with left leg pain which he describes as radiating down the side of the left thigh and calf but not beyond the left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injury to the plaintiff's thumb, which had happened about one week earlier, Dr. Dunlop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latter injury of course has nothing remotely to do with his accident of December 8, 1994, but it did make him a little difficult to examine from a neurological standpoint.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Dunlop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wasn't impressed that there was a great deal wrong with his cervical spine or left shoulder, in spite of his continuing discomfort. He actually presents with a very good range of head and neck movement which I would judge to be within normal limits....Even at the extremes of motion Mr. Medeiros does not seem to be in any particular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a full range of shoulder girdle movement on both sides with normal scapulothoracic rhythm. There is no evidence of intrinsic instability in either the left or the right shoulder and no evidence of local tenderness.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there is something wrong with Mr. Medeiros' lower back. He stands slightly stooped forwards and to the right with flattening of his normal lumbar lordosis. I think the paravertebral musculature on the right side of his lower back feels in spasm compared to the left. It is certainly tighter to palpation than the opposite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Medeiros has a limitation of movement in his lower back with a range of incremental excursion in forward flexion to 3 cm. when 5 cm. is generally as normal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some interesting neurological findings which I believe are abnormal. Whilst he can heel and toe walk satisfactorily and squat down, he has signs in my view indicative of damage to the left L.5 nerve root in his lower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Mr. Medeiros' neck is concerned, I doubt that he has suffered much more than a minor sprain. He has no abnormal objective findings and I don't believe he requires any further treatment or investigation as it concerns his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this man's lower back is concerned, I think he has evidence of a left sided L.5 nerve root compression which is almost certainly of discogenic origin and whilst this is a complaint not infrequently seen in every day orthopaedic and neurological practice, and often in patients in whom there is minimal or little history of any injury, I cannot reassure you that this was not invoked as a direct result of Mr. Medeiros' involvement in his road traffic accident in December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saw Dr. Caines for the first time on September 1, 1995. In a medico-legal report dated November 3, 1997, Dr. Caines stated that the plaintiff then complained of almost continuous low back pain. On examination, Dr. Caines found "symptoms" of left sided low back pain radiating laterally to the left knee and weakness in his lower left leg. However, he found no limitation of the range of motion of the plaintiff's lumbar spine and no spine spasm. Palpation of the lumbar spinous processes produced no symptoms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Caines made a diagnosis of nerve root compression of the lumbar spine, and recommended treatment by means of back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subsequent lumbar CT scan ordered by Dr. Caines disclosed a mild circumferential disc bulge between the 3rd and 4th lumbar vertebra.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physical capacity evaluation of the plaintiff was carried out on October 31, 1995. According to Dr. Caines, the test values indicated that the plaintiff was working at his "perceived" maximum, whatever that may mean. His strength impairment was calculated at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followed a series of follow-up examinations and assessments by Dr. Caines, during which the plaintiff's description of his pain symptoms remained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October 28, 1996, the plaintiff complained to Dr. Caines of left shoulder pain, and said that he had suffered from it for years. On examination, however, Dr. Caines found a full range of motion of the left shoulder and cervical spine, with no pain at the extremes of motion and no localized tenderness. Dr. Caines made a "query" diagnosis of radicular pain from the neck and ordered an x-ray of the plaintiff's cervical spine that disclosed early degenerative changes at the level between the 6th and 7th cervical vertebra. A CT scan was then made and it showed mild central disc herniation at the same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November 3, 1997 medico-legal report, Dr. Caines referred to the plaintiff's subjective descriptions of pain, and to the "objective" findings he made from the x-rays and CT scans of the plaintiff's lumbar and cervical spine. He concluded the report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information I have at this time I find that as a result of the motor vehicle collision of the 8th of December 1994 Mr. Medeiros sustained injury to his lumbar spine consisting of some nerve root impairment of the left lower limb. At the time of his last assessment on his back on the 24th of January 1996 he described improvement. He also sustained some radicular-like pain of his left shoulder and left upper limb. He has some underlying mild degenerative lumbar disease and cervical disease. He has a 70 percent chance of resolution of his back symptoms. The prognosis for his neck symptoms and his left upper limb symptoms is guarded. He may have persistent symptoms in spite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Despite frequent visits to Drs. Mitchell and Caines, and a further series of physiotherapy treatments, the plaintiff continued to complain of persistent pain. On March 10, 1998, he informed Dr. Mitchell that he was still experiencing daily pain in his left shoulder and left thoracic spine, and intermittent pain in his lower back and left leg. He also said that because of the ache in his shoulder he could not position himself comfortably in bed, and was suffering from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 second report, dated March 31, 1998, Dr. Dunlop commented on two video tapes, which I will discuss later, and Dr. Caines report of November 3, 1997. He noted that Dr. Caines was also unable to find anything wrong with the plaintiff's left shoulder, and that Dr. Caines agreed that the plaintiff had signs of lumbar root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Mitchell then made his own assessment of the plaintiff's injuries. In a medico-legal report dated April 8, 1998, he stated that the plaintiff suffered the following injuries as a result of the December 8, 1994 accident:</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his cervical spine, thoracic spine, lumbar spine, and to his left shoulder;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disc prolapse of his cervical spine, his thoracic spine and his lumbar spine;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headaches;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dizziness;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ligamentous strain to his left thumb;</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depression and insomnia because of pain;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of his life choices and uncertainty about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that report, Dr. Mitchell described the plaintiff as "a man of exceedingly good general health" who, prior to December 12, 1998, had visited his office infrequently. He said that the plaintiff had no past history of significant physical or emotional problems and no recorded complaints of neck or back pain, or any arthritic condition. But now, Dr. Mitchell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...three years and 4 months after this motor vehicle accident, Mr. Medeiros is having significant ongoing difficulties. These difficulties include primarily pain, stiffness and impaired a function of his left shoulder; pain, stiffness and impaired function of his neck; and pain, stiffness and impaired function of his low back and left leg. These ongoing symptoms are likely related to persistent inflammation secondary to soft tissue injuries to the above-noted areas and chronic inflammation of disc spaces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Mitchell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man's age and with the level of physical activity that is required for him to continue to earn an income, it is likely that these discomforts will never completely go away. He may see some degree of improvement over the next 5-10 years, however, I expect there will be some permanent residual physical disability, pain, and associated emotional distress. He will likely need on-going physiotherapy, on-going exercises, and on-going medications intermittently.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the damage to the intervertebral discs in his cervical and lumbar spine could result in a complete prolapse of the disk (sic) that he might require surgery. This occurrence could result in a long term absence from work and the possibility of a permanent complete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July 28, 1998, Dr. Dunlop conducted a further examination of the plaintiff, following which he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Medeiros has just exactly the same complaints today as he expressed to me when I last saw him in August of 1995. If anything, the discomfort about his left shoulder blade is worse today than it ever was. He still complains of pain in that region together with pain in his lower back. His left leg still hurts and he still complains of episodic numbness over the top of his left great toe....I would reiterate that I don't get the impression that his symptoms have changed in any way over the past three years and if anything, his left shoulder discomfort seems worse than it ever was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received several bursts of physiotherapy since I last saw him without any effect. Since I last saw him he has been assessed by Dr. Caines who has given him two shots into the top of his left shoulder, the last one being about three weeks ago. Only very temporary relief of discomfort has been achieved by these two injections which lasts two or three weeks at a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Multiple x-rays have been made of Medeiros since I saw him last....These films did not show any abnormality. A CT scan of this gentleman's cervical spine was made on the 8th of May 1997 which shows some degenerative changes in Mr. Medeiros' cervical spine and a mild disc herniation at C.6 - C.7 which the radiologist has suggested to be of uncertain significance. Of more significance is the comment that there is no foraminal narrowing nor any evidence of spinal stenosis.....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therefore suggest that the degenerative changes in his neck x-rays as seen on his CT scan, are no more and no less than the result of normal aging and degenerative disease in the spine from the neck to the pelvis is a normal phenomenon in human beings and should not be regarded radiologically to be of any significance at all, unless associated with an abnormal clinical finding on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for this reason I was interested to see the results of a lumbar CT scan made of Mr. Medeiros' lower back at Surrey Memorial Hospital on October 25, 1995. You will recall from my previous report that I was concerned that this man presented in my office with signs indicative of a left sided L.5 nerve root compression lesion. I was unable at that time to suggest that this was unrelated to his car accident. The CT scan made on the 25th of October 1995 of Mr. Medeiros' lumbar spine, does indeed confirm the mild circumferential disc bulge as seen between L.4 and L.5, together with the presence of a small osteophyte arising from the right posterolateral aspect of L.5 at the level of the neural foramen.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his examination of the plaintiff that day, Dr. Dunlop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man's back was observed to be nice and straight today. He has a well preserved lumbosacral lordosis. I wasn't impressed that Mr. Medeiros presented today with any actual restriction of movement in his head and neck, although all the movements that he did perform for me today were accompanied with a considerable amount of indrawing of breath and evident subjective discomfort. The movements examined were forward flexion where he easily touches his chin to his breast bone.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Cervical extension was examined which was full as were right and left lateral flexion. Right lateral flexion seemed to cause a pulling sensation above Mr. Medeiros' left shoulder. He has normal rotation of his head and neck to the left and right. Cervical compression tests today resulted in him almost collapsing to the ground which is a non-organic finding. This does not normally occur in a patient without non organic findings even in a patient with an acute disc prolapse. Mr. Medeiros in fact was not easy to examine in view of some of these non organic findings, as he tends to fall around in the office with the slightest provocation. Grunting and indrawing of breath was also a feature of the examination throughout.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could not document any local tenderness about the left shoulder, although I reiterate that even when his skin touched (sic), he tends to grunt and indraw his breath and pull away, but it doesn't seem to matter where he gets touched to effect this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it today impossible to record a proper range of movement in his lower back as he simply wouldn't do it....By distraction he has no local tenderness to palpation in his lower spine and there is no evidence of local muscle spasm which I would expect if he had an acute lesion in the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could not document any abnormality about his left thumb and he has no residual laxity in the ulnar collateral ligament of his left thumb....I have no idea why Mr. Medeiros finds his left thumb to be weaker than it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seems little doubt that Mr. Medeiros radiologically has scattered degenerative disease in his neck as well as his lower spine. I am not impressed that the CT scan of his cervical spine is anything other than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Medeiros at this juncture after discussing these issues with him, seems to have the absolute and utter perception that he has suffered a terrible problem as a direct result of his car accident to include spraining his left thumb on the sideview mirror of his truck. I am not at all certain however after reviewing him again today, that he has evidence of any significant pathology in either his neck or his lumbar spine. It is my belief after reviewing all of your enclosures as well as his multiple x-rays and after seeing and examining him again today, that we are as likely as not dealing more with a behavioral problem at this juncture than a medical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Medeiros may be gradually wearing out from previous heavy work but that is the extent of it that I can observe today. This opinion might not make Mr. Medeiros very happy, but I think it is probably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April 22, 1998, Dr. Caines again examined the plaintiff's left shoulder. On that occasion he made a diagnosis of tendinitis and prescribed an injection, which was administered a few days later. Further injections were given on July 1, 1998 and January 5, 1999, but each time the plaintiff reported only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August 28, 1998, the plaintiff complained of low back pain and following an examination of his lumbar spine Dr. Caines made a diagnosis of mechanical back pain (pain aggravated by activity) with some discogenic features. He prescribed management by means of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 medico-legal report dated April 13, 1999, Dr. Caines concluded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identified any non-organic findings during my assessments of Mr. Medeiros.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residual symptoms of low back pain, left thigh pain and left shoulder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some underlying degenerative lumbar disease and cervical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over four years since the motor vehicle collision of the 8th of December 1994 and symptoms have persisted to some degree.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anticipate that he will have ongoing problems in his low back and left thigh to a mild degree in the future. His symptoms are not sufficient to advise surgery treatment or further investigations at this time. With continuation of exercises and use of proper body mechanics I anticipate that his symptoms would be controlled.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ongoing symptoms in the left shoulder in the form of some residual tendinitis of the left shoulder and advice for ongoing treatment was for exercises. He does not require any further investigations of MRI at this time concerning his neck symptoms and no surgical treatment for his neck symptoms is contemplated at this time or would be likely in the future. The prognosis for his left shoulder tendinitis is for slow gradual improvement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June 23, 1999, Dr. Mitchell provided a further medico-legal report in which he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past year, during his visits to my office, Mr. Medeiros has consistently and persistently complained of ongoing pain and stiffness of his neck, his left shoulder, and his low back and left leg. He experiences these symptoms and limitations in varying intensities on a daily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examinations have demonstrated tenderness and reduction in the range of motion of his neck, left shoulder, and low back. He has never demonstrated any behaviour consistent with malingering or fraudulent misrepresentation of the location or amount of his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the findings of degenerative disease (which he himself had not reported) Dr. Mitchell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significance of his disk (sic) disease and the pre-existing osteoarthritis of his spine is difficult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Nevertheless, he confirmed his earlier opinion as to the extent and cause of the plaintiff's injuries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persisting residual limitations and symptoms are I (sic) direct result of the soft tissue injuries he sustained to his cervical spine, his left shoulder, his low back, and his left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still my opinion that at this man's age and with the level of physical activity that is required for him to continue to earn an income, it is likely that these discomforts will never completely go away. He may see some degree of improvement over the next 5 - 10 years, however, I expect there will be some permanent residual physical disability, pain, and associated emotional distress. He will likely need on-going physiotherapy, on-going exercises, and on-going medications intermittently.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still possible that the damage to the intervertebral discs in his cervical and lumbar spine could result in a complete prolapse of the disk (sic) that he might require surgery. This occurrence could result in a long-term absence from work and the possibility of a permanent complete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found it somewhat surprising that, notwithstanding his own more ominous prognoses, Dr. Mitchell went on to say that he "fundamentally" agreed with the opinion expressed by Dr. Caines in his report of April 13,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I was not surprised to find that he took issue with the opinions expressed by Dr. Dunlop in his report of July 28, 1998,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...Objectively, Mr. Medeiros has demonstrated consistent and persistent tenderness and reduction in the range of motion of his neck, left shoulder, and low back. X-rays have demonstrated degenerative changes in his spine. CT scan's (sic) have demonstrated disc bulges or herniations in both his cervical and lumbar spine. I cannot understand how Dr. Dunlop can ignore this clear objective evidence of pathology in rendering his opinion. I fundamentally disagree with it. It is clearly inconsistent with all of the evidence I have witnessed for the past three and one-half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January 7, 2000, Dr. Caines provided a further report. This one related solely to a reassessment he made of the plaintiff on September 13, 1999. The plaintiff had complained of left shoulder pain and stiffness aggravated by activity, and left lateral neck pain near the root of his neck which occasionally radiated along his lateral left upper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Caines reported that his examination of the plaintiff that day revealed symptoms of pain on palpation at the root of the neck on the left side with decreased active, but full passive range of motion of his cervical spine. He also found the plaintiff's shoulder range of motion to be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Caines made a diagnosis of musculoligamentous pain and tendinitis of the left shoulder and advised exercise. He did not alter any of the conclusions stated in his report of April 13,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trial, the plaintiff testified that, although he has followed his doctors' advice, taken physiotherapy treatments and cortisone injections and exercised, there has been no significant improvement in his condition since the accident on December 8,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also testified that the injuries he received, and from which he still suffers, have brought about a considerable loss in his enjoyment of life. He said that he can no longer crush grapes and make his own wine; that he can no longer play soccer, a game he enjoyed with friends; and that he had to give up fishing and camping, activities that he often participated in prior to the accident. He said that, prior to the accident, he and his wife often went out dancing, but he had to give that up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Mrs. Medeiros confirmed that. She, as well as their son and daughter, also testified that while the plaintiff used to do a lot of work around the home, now, when he comes home from work, he is in pain and just lies down and watches 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does not deny that the plaintiff was injured in the December, 1994 accident. He only disputes the nature and extent of those injuries, including the plaintiff's assertion that the injury to his thumb on August 12, 1995 is related to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argument, Mr. Sim suggested that there is a substantial body of objective medical evidence to support the plaintiff's claims. I do not agree. Much, if not most, of the evidence relating to the plaintiff's injuries consists of, or is based upon, his own subjective descriptions of pain and restriction of bodily movements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Price v. Kostryba et al. </w:t>
      </w:r>
      <w:hyperlink r:id="rId101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McEachern C.J.B.C. (as he then was) cautioned that courts should be "exceedingly careful" when complaints of pain persist for long periods extending beyond the normal or usual recovery time, and there is little or no objective evidence of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submits, and I agree, that this is a case in which the Price v. Kostryba caution must be kept firmly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to the expert evidence, both Dr. Caines and Dr. Mitchell were called for cross-examination at trial. Dr. Caines said nothing contrary to the observations and opinions expressed in his reports. However, during Dr. Mitchell's cross-examination, it soon became apparent (as his reports tend to show) that he had adopted the role of an advocate, rather than that of an impartial witness whose duty is to assist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a close review of Dr. Mitchell's medico-legal reports, his clinical records and his testimony, I concluded that very little weight can be given to his evidence. That is particularly so with respect to his opinions concerning the nature and extent of the injuries caused by the December 8, 1994 accident. Not only are his opinions based largely on the plaintiff's self-reporting, in many respects they are outside the scope of his qualifications. Furthermore, in certain key aspects, they are contrary to the opinions expressed by the two qualified orthopaedic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took strong exception to Dr. Dunlop's evidence. He suggested that Dr. Dunlop's conclusions are "unsupported" and "out of step" with the evidence given by Dr. Caines, Dr. Mitchell and the plaintiff's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Not content with criticising Dr. Dunlop's evidence, the plaintiff also attacked him personally, suggesting that he not only acted as advocate for the defence, but that he "panders" to his employers in the insurance industry. Strong words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support of his attack upon Dr. Dunlop's credibility and character, the plaintiff pointed to the defendant's admission concerning the substantial amount of income Dr. Dunlop received in recent years from I.C.B.C. He also cited, as further evidence of bias, certain words and phrases that appear in Dr. Dunlop's reports such as: "I cannot reassure you that this [the defendant's lower back injury] was not invoked as a direct result of Mr. Medeiros' involvement in his road traffic accident in December 1994." Describing that remark as a "strange turn of phrase", the defendant asks, rhetorically, "Could it be that he knows what is wanted and he wishes to comply but just can't this time because of the nerve root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Yet, despite his criticism, the defendant chose not to have Dr. Dunlop appear for cross-examination where he would have an opportunity to defend himself and his opinions, and the court would have an opportunity to assess his credibility and the weight of his evidence. Instead, apart from the attack mounted in argument, the defendant left Dr. Dunlop's opinions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have no hesitation in rejecting the defendant's attack upon Dr. Dunlop's character and objectivity, and I give to his evidence and opinions the considerable weight that I think they deserve.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also mounted a concerted attack on the other major part of the defendant's case, the two video tapes to which I earlier made mention. They are surveillance tapes made on the 5th and 17th days of August, 1995, and they were introduced into evidence during the plaintiff's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do not propose to describe what is shown on the tapes in any detail. It will suffice to note that the first shows the plaintiff and two other men doing some landscaping work. There was (as Dr. Dunlop observed) a lot of digging and shovelling done by all three of them. The plaintiff was able to unload a pile of sand from a truck into a wheelbarrow, push the wheelbarrow around and pound some stakes into the ground to support forms for a cement border.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second tape shows the plaintiff at another landscaping site. This time, he seemed to be acting in a supervisory capacity, perhaps because he was wearing a cast on his left arm, presumably the one applied at the hospital emergency department on August 12th.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Medeiros testified that when the first tape was made he was teaching the other men how to do the work while, at the same time, trying to improve his strength. However, he had to agree that in neither tape is he showing any pain. He suggested that is because the video operator picked his "best days" to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also submitted that the tapes are misleading because only a small part of the time he was under surveillance was actually recorded on tape. He suggested that the operator chose to record only those things that might be considered adverse to his case, not the things that would support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suggested that the August 5, 1995 tape is "intentionally deceiving" in that that it "compresses" some 2 hours and 15 minutes of time spent at the house being landscaped into one hour and twenty minutes of tape. This, he maintains, produces the same effect as running a film faster than normal, thus giving a "distorted impression" of how much work the plaintiff actually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Those imaginative arguments do not dispel the fact that the plaintiff is shown doing things one would not expect of a man suffering from constant pain in his left shoulder, lower back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Mitchell testified that nothing depicted in the video tapes had any effect on his opinion, but I found them quite illuminating. In my view, they corroborate the defendant's assertion that the plaintiff has deliberately exaggerated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Turning to the alleged injuries, I find little in the way of objective evidence, medical or otherwise, to support the plaintiff's claim concerning the injury to his thumb. As I noted above, Dr. Mitchell stated that one of the injuries the plaintiff suffered, as a result of the December, 1994 accident, was a severe ligamentous strain to his left thumb. How he arrived at that conclusion is not explained. On August 21, 1995, he recorded in his clinical notes that the plaintiff had torn a ligament in his left thumb nine days earlier, but there is no mention of an examination, and his endorsement of the plaintiff's claim is not supported by the reports of the expert witnesses, Drs. Peers, Caines and Dunlop.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reject the plaintiff's claim that the injury to his thumb came about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he continues to suffer from that injury. Apart from the plaintiff's own assertion, Dr. Mitchell's opinion to that effect stands alone and is unsupported.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medical evidence concerning the alleged shoulder injury is dubious and unpersuasive. When Dr. Caines examined the plaintiff's left shoulder on October 28, 1996, April 22, 1998 and September 13, 1999, he found a full range of motion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first report, dated November 3, 1997, Dr. Caines made a "query" diagnosis of radicular-like pain. He referred to the CT scan which showed mild central disc herniation, and the x-rays showing "very early degenerative changes" between the 6th and 7th cervical vertebra. In his second and third reports, Dr. Caines diagnosed the cause of pain as tendinitis.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Dunlop also noted a full range of motion. He found, in essence, that there was nothing wrong with the plaintiff's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Mitchell is the only medical witness who opined, without reservation, that the plaintiff suffered a shoulder injury as a result of the December, 1994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For the reasons given I reject Dr. Mitchell's opinion. I find that the plaintiff has failed to prove, on a balance of probabilities, that he in fact suffered an injury to his left shoulder, let alone one that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condition of the plaintiff's left lower back and leg is a different matter. Dr. Caines concluded that he suffers from left-sided nerve root compression. Dr. Dunlop, while obviously believing that the plaintiff was exaggerating his symptoms, did not categorically rule out that possibility. I therefore find, on a balance of probabilities, that the plaintiff does in fact suffer from pain and discomfort in those regions of his body as a result of nerve root compression. The extent of the pain and whether it can be traced to the accident remains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attributes the onset of the pain to the accident but, once again, Dr. Mitchell is the only medical practitioner who directly connects the complaint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I understand the evidence, it shows that the process of degenerative change was underway prior to the accident. However, in the fact that the plaintiff was an infrequent visitor to Dr. Mitchell's office before the accident, I find support for the conclusion that the accident was a contributing cause of the nerve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that the plaintiff has deliberately exaggerated the extent of this injury. That being the case, while I must endeavour to establish fair compensation, he has only himself to blame if I minimize the extent of his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conclusion to his report dated April 13, 1999, Dr. Caines stated that his anticipation that the plaintiff would have ongoing problems in his low back and left thigh to a mild degree. He said that the plaintiff's symptoms were not sufficient to warrant surgery and that they could be controlled with continued exercise and the use of proper body mechanics.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Based on all of the evidence, I have concluded that, as a result of the accident, the plaintiff suffered the equivalent of a mild to moderate soft tissue injury, an injury that causes intermittent, but not disabling,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that injury, I award him non-pecuniary damages in the amount of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also claims damages in the amount of $20,000.00 for an alleged loss of opportunity to develop his landscaping business. Dr. Mitchell asserted that he was unable to return to his "second career" due to the injuries he sustained, but the claim is not supported by the evidence. Not only was there an absence of financial success up to the date of the accident, no evidence was led as to what might have been the case had the plaintiff pursued that venture. That claim is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Finally, the plaintiff claims damages for what he calls a "dimunition of his capital asset", namely the loss of his ability to operate "bouncy" equipment like a bulldozer or a crusher. He acknowledges that he is not called upon to do that sort of work now, and may never be asked to do so in the future. But, he says, if he were to be called upon to operate that kind of equipment in the future, being unable to do so, he would lose something in the range of $80,000.00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Considering that he suffered no loss of income when he moved from a crusher to a loader, I have no idea where the figure of $80,000.00 came from. It appears to have been made up out of whole cloth. The claim is specious and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claims, and is entitled to recover, special damages in the amount of $441.79. He shall have judgment for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circumstances, counsel may wish to address the matter of costs. If so, they may make arrangements with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7" style="position:absolute;z-index:25185689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 v. Ouyang, [2012] B.C.J. No. 66</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McLachlan v. Hamon, [2001] B.C.J. No. 1107</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Middelaer v. Berner, [2012] B.C.J. No. 2051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Pearlman v. Critchley, [2012] B.C.J. No. 216</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Spectratek Industries Inc. v. Dyke &amp; Howard, [2006] B.C.J. No. 1565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Swanson v. Hill, [2014] B.C.J. No. 2635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Terrim Properties Ltd. v. Sorprop Holdings Ltd., [2012] B.C.J. No. 1399</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Transpacific Petroleum Corp. v. Dover Investments Ltd., [2009] B.C.J. No. 2377</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Voegtlin v. Paprotka, [2013] B.C.J. No. 1936</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Wallman v. John Doe, [2012] B.C.J. No. 2568</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Marriott International Inc., [2020] B.C.J. No. 54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Yip v. Chin, [2009] B.C.J. No. 663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Alvaro v. InsureBC (Lee &amp; Porter) Insurance Services Inc., [2019] B.C.J. No. 2249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Beacock v. Moreno, 2019 BREG para. 51,014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Cranfield v. McKay, [2004] B.C.J. No. 411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P.G. Restaurant Ltd. (c.o.b. Mama Panda Restaurant) v. Northern Interior Regional Health Board, [2004] B.C.J. No. 424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Senner v. GE Canada Leasing Services Co., [2017] B.C.J. No. 2170</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 v. Crème De La Crumb Bakeshop &amp; Catering Ltd., [2019] B.C.J. No. 1925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v. Tse, [2013] B.C.J. No. 2219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1216393 Ontario Inc. v. Parabellum Law Corp., [2017] B.C.J. No. 1362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Albert v. Hill, [2002] B.C.J. No. 1168</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Alvarez v. Wong, [2000] B.C.J. No. 1641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Ancheta v. Kropp, [2004] B.C.J. No. 59</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Anderson v. Rizzardo, [2015] B.C.J. No. 2760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Andrews v. Mainster, [2012] B.C.J. No. 1142</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Boyd v. Baldwin, [2015] B.C.J. No. 1083</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Bystedt (Guardian ad litem of) v. Hay, [2003] B.C.J. No. 779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Carifelle v. Gill, [2009] B.C.J. No. 1637</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Columere Park Developments Ltd. v. Enviro Custom Homes Inc., [2010] B.C.J. No. 1749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Cropley v. Daishinpan (Canada) Inc. (c.o.b. Cannery Seafood Restaurant), [2002] B.C.J. No. 2398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D'Oliveira v. Kal Tire Ltd., [2008] B.C.J. No. 2329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Dunn Estate v. TD Canada Trust, [2014] B.C.J. No. 321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Economical Mutual Insurance Co. v. Lloyd's Underwriters, [2014] B.C.J. No. 1094</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Englehart v. Holt, [2014] B.C.J. No. 2600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Ferguson v. Shan, [2019] B.C.J. No. 843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Ferguson v. Yang, [2013] B.C.J. No. 362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Fox v. Vancouver (City), [2003] B.C.J. No. 2283</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French v. Fort St. John (City), [2003] B.C.J. No. 1434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Bassi, [2016] B.C.J. No. 874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Grigor v. Johal, [2008] B.C.J. No. 2651</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v. Stephany, [2002] B.C.J. No. 2648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Hiscott v. Canaccord Capital Corp., [2011] B.C.J. No. 509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Hoskin v. Trisevic, [2002] B.C.J. No. 1326</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Jasmine Construction Ltd. v. Adam, [2008] B.C.J. No. 1495</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Knott (Litigation guardian of) v. British Columbia, [2013] B.C.J. No. 595</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Knudsen v. Consolidated Food Brands Inc. (c.o.b. Fleetwood Sausage), [2001] B.C.J. No. 2902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Krist v. Bock, [2018] B.C.J. No. 495</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Lindberg v. Siu, [2006] B.C.J. No. 2050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Mainland Sawmills Ltd. v. United Steel, Paper and Forestry, Rubber, Manufacturing, Energy, Allied Industrial and Service Workers International Union Local 1-356....</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Medeiros v. Vuong, [2000] B.C.J. No. 1901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5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m)"/>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n)"/>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o)"/>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p)"/>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q)"/>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r)"/>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s)"/>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d)"/>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e)"/>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f)"/>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g)"/>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h)"/>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j)"/>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4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4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10."/>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1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1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13."/>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14."/>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15."/>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16."/>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17."/>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18."/>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19."/>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20."/>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2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2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23."/>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24."/>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25."/>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26."/>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1A478FF"/>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28CE36A"/>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48A4212"/>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5F7281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722668A"/>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7B5B4F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AC463AB"/>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14A25A9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171ACDF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178532CC"/>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1883B2B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1C015430"/>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1F653F9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1FF8195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21D780A0"/>
    <w:multiLevelType w:val="multilevel"/>
    <w:tmpl w:val="00000001"/>
    <w:lvl w:ilvl="0">
      <w:start w:val="1"/>
      <w:numFmt w:val="decimal"/>
      <w:lvlText w:val="(4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25D05EF3"/>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27D87DF5"/>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288AC1E0"/>
    <w:multiLevelType w:val="multilevel"/>
    <w:tmpl w:val="0000000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29A9125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2B50A10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2F19A2CA"/>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30AA316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31378F80"/>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3BF9ADB1"/>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3F995C13"/>
    <w:multiLevelType w:val="multilevel"/>
    <w:tmpl w:val="00000001"/>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4265FE5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44C2F90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45670C0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4A49E0E9"/>
    <w:multiLevelType w:val="multilevel"/>
    <w:tmpl w:val="0000000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4E0B8E9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4F1838E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505A1BA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5071476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5A9A80CB"/>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5E38D10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5FFD3C5C"/>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60492A2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62804E9E"/>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6345D2E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651F036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67E4F17C"/>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6A0B82E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6A1C6233"/>
    <w:multiLevelType w:val="multilevel"/>
    <w:tmpl w:val="00000001"/>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6DD1DAE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6DEA31E1"/>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7ADEA0C2"/>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7BFC7D1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54"/>
  </w:num>
  <w:num w:numId="20">
    <w:abstractNumId w:val="130"/>
  </w:num>
  <w:num w:numId="21">
    <w:abstractNumId w:val="114"/>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144"/>
  </w:num>
  <w:num w:numId="33">
    <w:abstractNumId w:val="124"/>
  </w:num>
  <w:num w:numId="34">
    <w:abstractNumId w:val="115"/>
  </w:num>
  <w:num w:numId="35">
    <w:abstractNumId w:val="135"/>
  </w:num>
  <w:num w:numId="36">
    <w:abstractNumId w:val="28"/>
  </w:num>
  <w:num w:numId="37">
    <w:abstractNumId w:val="29"/>
  </w:num>
  <w:num w:numId="38">
    <w:abstractNumId w:val="30"/>
  </w:num>
  <w:num w:numId="39">
    <w:abstractNumId w:val="31"/>
  </w:num>
  <w:num w:numId="40">
    <w:abstractNumId w:val="32"/>
  </w:num>
  <w:num w:numId="41">
    <w:abstractNumId w:val="33"/>
  </w:num>
  <w:num w:numId="42">
    <w:abstractNumId w:val="34"/>
  </w:num>
  <w:num w:numId="43">
    <w:abstractNumId w:val="35"/>
  </w:num>
  <w:num w:numId="44">
    <w:abstractNumId w:val="36"/>
  </w:num>
  <w:num w:numId="45">
    <w:abstractNumId w:val="37"/>
  </w:num>
  <w:num w:numId="46">
    <w:abstractNumId w:val="38"/>
  </w:num>
  <w:num w:numId="47">
    <w:abstractNumId w:val="39"/>
  </w:num>
  <w:num w:numId="48">
    <w:abstractNumId w:val="40"/>
  </w:num>
  <w:num w:numId="49">
    <w:abstractNumId w:val="41"/>
  </w:num>
  <w:num w:numId="50">
    <w:abstractNumId w:val="42"/>
  </w:num>
  <w:num w:numId="51">
    <w:abstractNumId w:val="43"/>
  </w:num>
  <w:num w:numId="52">
    <w:abstractNumId w:val="44"/>
  </w:num>
  <w:num w:numId="53">
    <w:abstractNumId w:val="45"/>
  </w:num>
  <w:num w:numId="54">
    <w:abstractNumId w:val="46"/>
  </w:num>
  <w:num w:numId="55">
    <w:abstractNumId w:val="47"/>
  </w:num>
  <w:num w:numId="56">
    <w:abstractNumId w:val="48"/>
  </w:num>
  <w:num w:numId="57">
    <w:abstractNumId w:val="49"/>
  </w:num>
  <w:num w:numId="58">
    <w:abstractNumId w:val="50"/>
  </w:num>
  <w:num w:numId="59">
    <w:abstractNumId w:val="51"/>
  </w:num>
  <w:num w:numId="60">
    <w:abstractNumId w:val="52"/>
  </w:num>
  <w:num w:numId="61">
    <w:abstractNumId w:val="53"/>
  </w:num>
  <w:num w:numId="62">
    <w:abstractNumId w:val="54"/>
  </w:num>
  <w:num w:numId="63">
    <w:abstractNumId w:val="55"/>
  </w:num>
  <w:num w:numId="64">
    <w:abstractNumId w:val="56"/>
  </w:num>
  <w:num w:numId="65">
    <w:abstractNumId w:val="57"/>
  </w:num>
  <w:num w:numId="66">
    <w:abstractNumId w:val="58"/>
  </w:num>
  <w:num w:numId="67">
    <w:abstractNumId w:val="59"/>
  </w:num>
  <w:num w:numId="68">
    <w:abstractNumId w:val="60"/>
  </w:num>
  <w:num w:numId="69">
    <w:abstractNumId w:val="61"/>
  </w:num>
  <w:num w:numId="70">
    <w:abstractNumId w:val="62"/>
  </w:num>
  <w:num w:numId="71">
    <w:abstractNumId w:val="63"/>
  </w:num>
  <w:num w:numId="72">
    <w:abstractNumId w:val="64"/>
  </w:num>
  <w:num w:numId="73">
    <w:abstractNumId w:val="65"/>
  </w:num>
  <w:num w:numId="74">
    <w:abstractNumId w:val="66"/>
  </w:num>
  <w:num w:numId="75">
    <w:abstractNumId w:val="67"/>
  </w:num>
  <w:num w:numId="76">
    <w:abstractNumId w:val="68"/>
  </w:num>
  <w:num w:numId="77">
    <w:abstractNumId w:val="69"/>
  </w:num>
  <w:num w:numId="78">
    <w:abstractNumId w:val="70"/>
  </w:num>
  <w:num w:numId="79">
    <w:abstractNumId w:val="71"/>
  </w:num>
  <w:num w:numId="80">
    <w:abstractNumId w:val="72"/>
  </w:num>
  <w:num w:numId="81">
    <w:abstractNumId w:val="73"/>
  </w:num>
  <w:num w:numId="82">
    <w:abstractNumId w:val="74"/>
  </w:num>
  <w:num w:numId="83">
    <w:abstractNumId w:val="75"/>
  </w:num>
  <w:num w:numId="84">
    <w:abstractNumId w:val="76"/>
  </w:num>
  <w:num w:numId="85">
    <w:abstractNumId w:val="77"/>
  </w:num>
  <w:num w:numId="86">
    <w:abstractNumId w:val="78"/>
  </w:num>
  <w:num w:numId="87">
    <w:abstractNumId w:val="79"/>
  </w:num>
  <w:num w:numId="88">
    <w:abstractNumId w:val="80"/>
  </w:num>
  <w:num w:numId="89">
    <w:abstractNumId w:val="81"/>
  </w:num>
  <w:num w:numId="90">
    <w:abstractNumId w:val="82"/>
  </w:num>
  <w:num w:numId="91">
    <w:abstractNumId w:val="83"/>
  </w:num>
  <w:num w:numId="92">
    <w:abstractNumId w:val="84"/>
  </w:num>
  <w:num w:numId="93">
    <w:abstractNumId w:val="85"/>
  </w:num>
  <w:num w:numId="94">
    <w:abstractNumId w:val="86"/>
  </w:num>
  <w:num w:numId="95">
    <w:abstractNumId w:val="87"/>
  </w:num>
  <w:num w:numId="96">
    <w:abstractNumId w:val="88"/>
  </w:num>
  <w:num w:numId="97">
    <w:abstractNumId w:val="89"/>
  </w:num>
  <w:num w:numId="98">
    <w:abstractNumId w:val="90"/>
  </w:num>
  <w:num w:numId="99">
    <w:abstractNumId w:val="91"/>
  </w:num>
  <w:num w:numId="100">
    <w:abstractNumId w:val="92"/>
  </w:num>
  <w:num w:numId="101">
    <w:abstractNumId w:val="93"/>
  </w:num>
  <w:num w:numId="102">
    <w:abstractNumId w:val="94"/>
  </w:num>
  <w:num w:numId="103">
    <w:abstractNumId w:val="95"/>
  </w:num>
  <w:num w:numId="104">
    <w:abstractNumId w:val="96"/>
  </w:num>
  <w:num w:numId="105">
    <w:abstractNumId w:val="97"/>
  </w:num>
  <w:num w:numId="106">
    <w:abstractNumId w:val="98"/>
  </w:num>
  <w:num w:numId="107">
    <w:abstractNumId w:val="99"/>
  </w:num>
  <w:num w:numId="108">
    <w:abstractNumId w:val="100"/>
  </w:num>
  <w:num w:numId="109">
    <w:abstractNumId w:val="101"/>
  </w:num>
  <w:num w:numId="110">
    <w:abstractNumId w:val="102"/>
  </w:num>
  <w:num w:numId="111">
    <w:abstractNumId w:val="103"/>
  </w:num>
  <w:num w:numId="112">
    <w:abstractNumId w:val="104"/>
  </w:num>
  <w:num w:numId="113">
    <w:abstractNumId w:val="105"/>
  </w:num>
  <w:num w:numId="114">
    <w:abstractNumId w:val="106"/>
  </w:num>
  <w:num w:numId="115">
    <w:abstractNumId w:val="107"/>
  </w:num>
  <w:num w:numId="116">
    <w:abstractNumId w:val="126"/>
  </w:num>
  <w:num w:numId="117">
    <w:abstractNumId w:val="132"/>
  </w:num>
  <w:num w:numId="118">
    <w:abstractNumId w:val="146"/>
  </w:num>
  <w:num w:numId="119">
    <w:abstractNumId w:val="112"/>
  </w:num>
  <w:num w:numId="120">
    <w:abstractNumId w:val="153"/>
  </w:num>
  <w:num w:numId="121">
    <w:abstractNumId w:val="122"/>
  </w:num>
  <w:num w:numId="122">
    <w:abstractNumId w:val="152"/>
  </w:num>
  <w:num w:numId="123">
    <w:abstractNumId w:val="127"/>
  </w:num>
  <w:num w:numId="124">
    <w:abstractNumId w:val="151"/>
  </w:num>
  <w:num w:numId="125">
    <w:abstractNumId w:val="110"/>
  </w:num>
  <w:num w:numId="126">
    <w:abstractNumId w:val="140"/>
  </w:num>
  <w:num w:numId="127">
    <w:abstractNumId w:val="149"/>
  </w:num>
  <w:num w:numId="128">
    <w:abstractNumId w:val="134"/>
  </w:num>
  <w:num w:numId="129">
    <w:abstractNumId w:val="145"/>
  </w:num>
  <w:num w:numId="130">
    <w:abstractNumId w:val="131"/>
  </w:num>
  <w:num w:numId="131">
    <w:abstractNumId w:val="137"/>
  </w:num>
  <w:num w:numId="132">
    <w:abstractNumId w:val="117"/>
  </w:num>
  <w:num w:numId="133">
    <w:abstractNumId w:val="119"/>
  </w:num>
  <w:num w:numId="134">
    <w:abstractNumId w:val="136"/>
  </w:num>
  <w:num w:numId="135">
    <w:abstractNumId w:val="108"/>
  </w:num>
  <w:num w:numId="136">
    <w:abstractNumId w:val="150"/>
  </w:num>
  <w:num w:numId="137">
    <w:abstractNumId w:val="109"/>
  </w:num>
  <w:num w:numId="138">
    <w:abstractNumId w:val="141"/>
  </w:num>
  <w:num w:numId="139">
    <w:abstractNumId w:val="125"/>
  </w:num>
  <w:num w:numId="140">
    <w:abstractNumId w:val="147"/>
  </w:num>
  <w:num w:numId="141">
    <w:abstractNumId w:val="142"/>
  </w:num>
  <w:num w:numId="142">
    <w:abstractNumId w:val="143"/>
  </w:num>
  <w:num w:numId="143">
    <w:abstractNumId w:val="138"/>
  </w:num>
  <w:num w:numId="144">
    <w:abstractNumId w:val="113"/>
  </w:num>
  <w:num w:numId="145">
    <w:abstractNumId w:val="121"/>
  </w:num>
  <w:num w:numId="146">
    <w:abstractNumId w:val="120"/>
  </w:num>
  <w:num w:numId="147">
    <w:abstractNumId w:val="123"/>
  </w:num>
  <w:num w:numId="148">
    <w:abstractNumId w:val="118"/>
  </w:num>
  <w:num w:numId="149">
    <w:abstractNumId w:val="133"/>
  </w:num>
  <w:num w:numId="150">
    <w:abstractNumId w:val="128"/>
  </w:num>
  <w:num w:numId="151">
    <w:abstractNumId w:val="129"/>
  </w:num>
  <w:num w:numId="152">
    <w:abstractNumId w:val="116"/>
  </w:num>
  <w:num w:numId="153">
    <w:abstractNumId w:val="148"/>
  </w:num>
  <w:num w:numId="154">
    <w:abstractNumId w:val="111"/>
  </w:num>
  <w:num w:numId="155">
    <w:abstractNumId w:val="1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M1-JCRC-B1H6-00000-00&amp;context=" TargetMode="External" /><Relationship Id="rId100" Type="http://schemas.openxmlformats.org/officeDocument/2006/relationships/footer" Target="footer21.xml" /><Relationship Id="rId1000" Type="http://schemas.openxmlformats.org/officeDocument/2006/relationships/hyperlink" Target="https://advance.lexis.com/api/document?collection=cases-ca&amp;id=urn:contentItem:5F7T-S7D1-FBFS-S1WM-00000-00&amp;context=" TargetMode="External" /><Relationship Id="rId1001" Type="http://schemas.openxmlformats.org/officeDocument/2006/relationships/hyperlink" Target="https://advance.lexis.com/api/document?collection=cases-ca&amp;id=urn:contentItem:5F81-VJX1-FCK4-G1NB-00000-00&amp;context=" TargetMode="External" /><Relationship Id="rId1002" Type="http://schemas.openxmlformats.org/officeDocument/2006/relationships/hyperlink" Target="https://advance.lexis.com/api/document?collection=cases-ca&amp;id=urn:contentItem:5F82-1SH1-JCBX-S37N-00000-00&amp;context=" TargetMode="External" /><Relationship Id="rId1003" Type="http://schemas.openxmlformats.org/officeDocument/2006/relationships/hyperlink" Target="https://advance.lexis.com/api/document?collection=cases-ca&amp;id=urn:contentItem:5F7T-S7D1-JS5Y-B26D-00000-00&amp;context=" TargetMode="External" /><Relationship Id="rId1004" Type="http://schemas.openxmlformats.org/officeDocument/2006/relationships/hyperlink" Target="https://advance.lexis.com/api/document?collection=cases-ca&amp;id=urn:contentItem:5F7T-S7C1-F4NT-X3W9-00000-00&amp;context=" TargetMode="External" /><Relationship Id="rId1005" Type="http://schemas.openxmlformats.org/officeDocument/2006/relationships/hyperlink" Target="https://advance.lexis.com/api/document?collection=cases-ca&amp;id=urn:contentItem:5F81-VJV1-JG59-22BW-00000-00&amp;context=" TargetMode="External" /><Relationship Id="rId1006" Type="http://schemas.openxmlformats.org/officeDocument/2006/relationships/hyperlink" Target="https://advance.lexis.com/api/document?collection=cases-ca&amp;id=urn:contentItem:5F8T-N3T1-JJSF-234S-00000-00&amp;context=" TargetMode="External" /><Relationship Id="rId1007" Type="http://schemas.openxmlformats.org/officeDocument/2006/relationships/hyperlink" Target="https://advance.lexis.com/api/document?collection=cases-ca&amp;id=urn:contentItem:5F7T-S7D1-F7ND-G0DC-00000-00&amp;context=" TargetMode="External" /><Relationship Id="rId1008" Type="http://schemas.openxmlformats.org/officeDocument/2006/relationships/hyperlink" Target="https://advance.lexis.com/api/document?collection=cases-ca&amp;id=urn:contentItem:5F7T-S7D1-DY89-M3VC-00000-00&amp;context=" TargetMode="External" /><Relationship Id="rId1009" Type="http://schemas.openxmlformats.org/officeDocument/2006/relationships/hyperlink" Target="https://advance.lexis.com/api/document?collection=cases-ca&amp;id=urn:contentItem:5F8T-N3V1-FC1F-M4BB-00000-00&amp;context=" TargetMode="External" /><Relationship Id="rId101" Type="http://schemas.openxmlformats.org/officeDocument/2006/relationships/hyperlink" Target="https://advance.lexis.com/api/document?collection=cases-ca&amp;id=urn:contentItem:5F7T-S7N1-F06F-24NN-00000-00&amp;context=" TargetMode="External" /><Relationship Id="rId1010" Type="http://schemas.openxmlformats.org/officeDocument/2006/relationships/header" Target="header148.xml" /><Relationship Id="rId1011" Type="http://schemas.openxmlformats.org/officeDocument/2006/relationships/header" Target="header149.xml" /><Relationship Id="rId1012" Type="http://schemas.openxmlformats.org/officeDocument/2006/relationships/footer" Target="footer148.xml" /><Relationship Id="rId1013" Type="http://schemas.openxmlformats.org/officeDocument/2006/relationships/footer" Target="footer149.xml" /><Relationship Id="rId1014" Type="http://schemas.openxmlformats.org/officeDocument/2006/relationships/header" Target="header150.xml" /><Relationship Id="rId1015" Type="http://schemas.openxmlformats.org/officeDocument/2006/relationships/footer" Target="footer150.xml" /><Relationship Id="rId1016" Type="http://schemas.openxmlformats.org/officeDocument/2006/relationships/hyperlink" Target="https://advance.lexis.com/api/document?collection=cases-ca&amp;id=urn:contentItem:5F7T-S771-JTGH-B16F-00000-00&amp;context=" TargetMode="External" /><Relationship Id="rId1017" Type="http://schemas.openxmlformats.org/officeDocument/2006/relationships/hyperlink" Target="https://advance.lexis.com/api/document?collection=cases-ca&amp;id=urn:contentItem:5F7T-S6V1-JFKM-6133-00000-00&amp;context=" TargetMode="External" /><Relationship Id="rId1018" Type="http://schemas.openxmlformats.org/officeDocument/2006/relationships/numbering" Target="numbering.xml" /><Relationship Id="rId1019" Type="http://schemas.openxmlformats.org/officeDocument/2006/relationships/styles" Target="styles.xml" /><Relationship Id="rId102" Type="http://schemas.openxmlformats.org/officeDocument/2006/relationships/header" Target="header22.xml" /><Relationship Id="rId103" Type="http://schemas.openxmlformats.org/officeDocument/2006/relationships/header" Target="header23.xml" /><Relationship Id="rId104" Type="http://schemas.openxmlformats.org/officeDocument/2006/relationships/footer" Target="footer22.xml" /><Relationship Id="rId105" Type="http://schemas.openxmlformats.org/officeDocument/2006/relationships/footer" Target="footer23.xml" /><Relationship Id="rId106" Type="http://schemas.openxmlformats.org/officeDocument/2006/relationships/header" Target="header24.xml" /><Relationship Id="rId107" Type="http://schemas.openxmlformats.org/officeDocument/2006/relationships/footer" Target="footer24.xml" /><Relationship Id="rId108" Type="http://schemas.openxmlformats.org/officeDocument/2006/relationships/hyperlink" Target="https://advance.lexis.com/api/document?collection=cases-ca&amp;id=urn:contentItem:5F7T-S7J1-JGBH-B2J3-00000-00&amp;context=" TargetMode="External" /><Relationship Id="rId109" Type="http://schemas.openxmlformats.org/officeDocument/2006/relationships/hyperlink" Target="https://advance.lexis.com/api/document?collection=cases-ca&amp;id=urn:contentItem:5F7T-S7J1-JGBH-B2H8-00000-00&amp;context=" TargetMode="External" /><Relationship Id="rId11" Type="http://schemas.openxmlformats.org/officeDocument/2006/relationships/hyperlink" Target="https://advance.lexis.com/api/document?collection=cases-ca&amp;id=urn:contentItem:5F7T-S7C1-JS0R-224W-00000-00&amp;context=" TargetMode="External" /><Relationship Id="rId110" Type="http://schemas.openxmlformats.org/officeDocument/2006/relationships/hyperlink" Target="https://advance.lexis.com/api/document?collection=legislation-ca&amp;id=urn:contentItem:5W07-7G51-F528-G3J5-00000-00&amp;context=" TargetMode="External" /><Relationship Id="rId111" Type="http://schemas.openxmlformats.org/officeDocument/2006/relationships/hyperlink" Target="https://advance.lexis.com/api/document?collection=cases-ca&amp;id=urn:contentItem:5F7T-S7G1-JBT7-X3WD-00000-00&amp;context=" TargetMode="External" /><Relationship Id="rId112" Type="http://schemas.openxmlformats.org/officeDocument/2006/relationships/hyperlink" Target="https://advance.lexis.com/api/document?collection=cases-ca&amp;id=urn:contentItem:5F7T-S7D1-JS5Y-B22N-00000-00&amp;context=" TargetMode="External" /><Relationship Id="rId113" Type="http://schemas.openxmlformats.org/officeDocument/2006/relationships/hyperlink" Target="https://advance.lexis.com/api/document?collection=cases-ca&amp;id=urn:contentItem:5F8T-N3T1-JFKM-655P-00000-00&amp;context=" TargetMode="External" /><Relationship Id="rId114" Type="http://schemas.openxmlformats.org/officeDocument/2006/relationships/hyperlink" Target="https://advance.lexis.com/api/document?collection=cases-ca&amp;id=urn:contentItem:5F81-VJX1-JP9P-G463-00000-00&amp;context=" TargetMode="External" /><Relationship Id="rId115" Type="http://schemas.openxmlformats.org/officeDocument/2006/relationships/hyperlink" Target="https://advance.lexis.com/api/document?collection=cases-ca&amp;id=urn:contentItem:5F82-1SC1-FJTD-G511-00000-00&amp;context=" TargetMode="External" /><Relationship Id="rId116" Type="http://schemas.openxmlformats.org/officeDocument/2006/relationships/hyperlink" Target="https://advance.lexis.com/api/document?collection=cases-ca&amp;id=urn:contentItem:5F82-1SC1-FJTD-G524-00000-00&amp;context=" TargetMode="External" /><Relationship Id="rId117" Type="http://schemas.openxmlformats.org/officeDocument/2006/relationships/hyperlink" Target="https://advance.lexis.com/api/document?collection=cases-ca&amp;id=urn:contentItem:5F8T-N3T1-JJSF-2395-00000-00&amp;context=" TargetMode="External" /><Relationship Id="rId118" Type="http://schemas.openxmlformats.org/officeDocument/2006/relationships/hyperlink" Target="https://advance.lexis.com/api/document?collection=cases-ca&amp;id=urn:contentItem:5F7T-S771-JW5H-X1YB-00000-00&amp;context=" TargetMode="External" /><Relationship Id="rId119" Type="http://schemas.openxmlformats.org/officeDocument/2006/relationships/hyperlink" Target="https://advance.lexis.com/api/document?collection=cases-ca&amp;id=urn:contentItem:5F7T-S701-F8KH-X1BD-00000-00&amp;context=" TargetMode="External" /><Relationship Id="rId12" Type="http://schemas.openxmlformats.org/officeDocument/2006/relationships/hyperlink" Target="https://advance.lexis.com/api/document?collection=cases-ca&amp;id=urn:contentItem:5F7T-S771-JN14-G2RS-00000-00&amp;context=" TargetMode="External" /><Relationship Id="rId120" Type="http://schemas.openxmlformats.org/officeDocument/2006/relationships/hyperlink" Target="https://advance.lexis.com/api/document?collection=cases-ca&amp;id=urn:contentItem:5F7T-S711-F5KY-B15D-00000-00&amp;context=" TargetMode="External" /><Relationship Id="rId121" Type="http://schemas.openxmlformats.org/officeDocument/2006/relationships/hyperlink" Target="https://advance.lexis.com/api/document?collection=cases-ca&amp;id=urn:contentItem:5F8T-N3V1-FC1F-M405-00000-00&amp;context=" TargetMode="External" /><Relationship Id="rId122" Type="http://schemas.openxmlformats.org/officeDocument/2006/relationships/hyperlink" Target="https://advance.lexis.com/api/document?collection=cases-ca&amp;id=urn:contentItem:5F7T-S711-JC0G-632S-00000-00&amp;context=" TargetMode="External" /><Relationship Id="rId123" Type="http://schemas.openxmlformats.org/officeDocument/2006/relationships/hyperlink" Target="https://advance.lexis.com/api/document?collection=cases-ca&amp;id=urn:contentItem:5F7T-S741-F1H1-21V6-00000-00&amp;context=" TargetMode="External" /><Relationship Id="rId124" Type="http://schemas.openxmlformats.org/officeDocument/2006/relationships/hyperlink" Target="https://advance.lexis.com/api/document?collection=cases-ca&amp;id=urn:contentItem:5F7T-S7F1-JFKM-61R6-00000-00&amp;context=" TargetMode="External" /><Relationship Id="rId125" Type="http://schemas.openxmlformats.org/officeDocument/2006/relationships/hyperlink" Target="https://advance.lexis.com/api/document?collection=cases-ca&amp;id=urn:contentItem:5F8T-N3V1-JF75-M3K1-00000-00&amp;context=" TargetMode="External" /><Relationship Id="rId126" Type="http://schemas.openxmlformats.org/officeDocument/2006/relationships/hyperlink" Target="https://advance.lexis.com/api/document?collection=cases-ca&amp;id=urn:contentItem:5F7T-S7C1-F7VM-S3BT-00000-00&amp;context=" TargetMode="External" /><Relationship Id="rId127" Type="http://schemas.openxmlformats.org/officeDocument/2006/relationships/hyperlink" Target="https://advance.lexis.com/api/document?collection=cases-ca&amp;id=urn:contentItem:5F81-VJX1-FFTT-X1G9-00000-00&amp;context=" TargetMode="External" /><Relationship Id="rId128" Type="http://schemas.openxmlformats.org/officeDocument/2006/relationships/hyperlink" Target="https://advance.lexis.com/api/document?collection=cases-ca&amp;id=urn:contentItem:5F81-VJX1-JJYN-B4WC-00000-00&amp;context=" TargetMode="External" /><Relationship Id="rId129" Type="http://schemas.openxmlformats.org/officeDocument/2006/relationships/hyperlink" Target="https://advance.lexis.com/api/document?collection=cases-ca&amp;id=urn:contentItem:5F81-VJW1-JF75-M1DC-00000-00&amp;context=" TargetMode="External" /><Relationship Id="rId13" Type="http://schemas.openxmlformats.org/officeDocument/2006/relationships/hyperlink" Target="https://advance.lexis.com/api/document?collection=cases-ca&amp;id=urn:contentItem:5F82-1SF1-K054-G4DF-00000-00&amp;context=" TargetMode="External" /><Relationship Id="rId130" Type="http://schemas.openxmlformats.org/officeDocument/2006/relationships/hyperlink" Target="https://advance.lexis.com/api/document?collection=cases-ca&amp;id=urn:contentItem:5F7T-S761-FFMK-M0TX-00000-00&amp;context=" TargetMode="External" /><Relationship Id="rId131" Type="http://schemas.openxmlformats.org/officeDocument/2006/relationships/hyperlink" Target="https://advance.lexis.com/api/document?collection=cases-ca&amp;id=urn:contentItem:5F7T-S771-JN14-G2C9-00000-00&amp;context=" TargetMode="External" /><Relationship Id="rId132" Type="http://schemas.openxmlformats.org/officeDocument/2006/relationships/hyperlink" Target="https://advance.lexis.com/api/document?collection=cases-ca&amp;id=urn:contentItem:5F7T-S7G1-JX3N-B283-00000-00&amp;context=" TargetMode="External" /><Relationship Id="rId133" Type="http://schemas.openxmlformats.org/officeDocument/2006/relationships/hyperlink" Target="https://advance.lexis.com/api/document?collection=cases-ca&amp;id=urn:contentItem:5F8T-N3V1-FC1F-M4BS-00000-00&amp;context=" TargetMode="External" /><Relationship Id="rId134" Type="http://schemas.openxmlformats.org/officeDocument/2006/relationships/hyperlink" Target="https://advance.lexis.com/api/document?collection=cases-ca&amp;id=urn:contentItem:5F7T-S7C1-F30T-B2GD-00000-00&amp;context=" TargetMode="External" /><Relationship Id="rId135" Type="http://schemas.openxmlformats.org/officeDocument/2006/relationships/hyperlink" Target="https://advance.lexis.com/api/document?collection=cases-ca&amp;id=urn:contentItem:5F82-1SF1-JB7K-23D9-00000-00&amp;context=" TargetMode="External" /><Relationship Id="rId136" Type="http://schemas.openxmlformats.org/officeDocument/2006/relationships/hyperlink" Target="https://advance.lexis.com/api/document?collection=cases-ca&amp;id=urn:contentItem:5F7T-S711-F4GK-M2K1-00000-00&amp;context=" TargetMode="External" /><Relationship Id="rId137" Type="http://schemas.openxmlformats.org/officeDocument/2006/relationships/header" Target="header25.xml" /><Relationship Id="rId138" Type="http://schemas.openxmlformats.org/officeDocument/2006/relationships/header" Target="header26.xml" /><Relationship Id="rId139" Type="http://schemas.openxmlformats.org/officeDocument/2006/relationships/footer" Target="footer25.xml" /><Relationship Id="rId14" Type="http://schemas.openxmlformats.org/officeDocument/2006/relationships/header" Target="header4.xml" /><Relationship Id="rId140" Type="http://schemas.openxmlformats.org/officeDocument/2006/relationships/footer" Target="footer26.xml" /><Relationship Id="rId141" Type="http://schemas.openxmlformats.org/officeDocument/2006/relationships/header" Target="header27.xml" /><Relationship Id="rId142" Type="http://schemas.openxmlformats.org/officeDocument/2006/relationships/footer" Target="footer27.xml" /><Relationship Id="rId143" Type="http://schemas.openxmlformats.org/officeDocument/2006/relationships/hyperlink" Target="https://advance.lexis.com/api/document?collection=cases-ca&amp;id=urn:contentItem:5F7T-S7P1-JCRC-B2J3-00000-00&amp;context=" TargetMode="External" /><Relationship Id="rId144" Type="http://schemas.openxmlformats.org/officeDocument/2006/relationships/hyperlink" Target="https://advance.lexis.com/api/document?collection=legislation-ca&amp;id=urn:contentItem:5F41-7G51-FGJR-21GR-00000-00&amp;context=" TargetMode="External" /><Relationship Id="rId145" Type="http://schemas.openxmlformats.org/officeDocument/2006/relationships/hyperlink" Target="https://advance.lexis.com/api/document?collection=legislation-ca&amp;id=urn:contentItem:5VYK-4S61-F06F-21NH-00000-00&amp;context=" TargetMode="External" /><Relationship Id="rId146" Type="http://schemas.openxmlformats.org/officeDocument/2006/relationships/image" Target="media/image1.png" /><Relationship Id="rId147" Type="http://schemas.openxmlformats.org/officeDocument/2006/relationships/image" Target="media/image2.png" /><Relationship Id="rId148" Type="http://schemas.openxmlformats.org/officeDocument/2006/relationships/image" Target="media/image3.png" /><Relationship Id="rId149" Type="http://schemas.openxmlformats.org/officeDocument/2006/relationships/hyperlink" Target="https://advance.lexis.com/api/document?collection=cases-ca&amp;id=urn:contentItem:5F8T-N3V1-FH4C-X1WX-00000-00&amp;context=" TargetMode="External" /><Relationship Id="rId15" Type="http://schemas.openxmlformats.org/officeDocument/2006/relationships/header" Target="header5.xml" /><Relationship Id="rId150" Type="http://schemas.openxmlformats.org/officeDocument/2006/relationships/header" Target="header28.xml" /><Relationship Id="rId151" Type="http://schemas.openxmlformats.org/officeDocument/2006/relationships/header" Target="header29.xml" /><Relationship Id="rId152" Type="http://schemas.openxmlformats.org/officeDocument/2006/relationships/footer" Target="footer28.xml" /><Relationship Id="rId153" Type="http://schemas.openxmlformats.org/officeDocument/2006/relationships/footer" Target="footer29.xml" /><Relationship Id="rId154" Type="http://schemas.openxmlformats.org/officeDocument/2006/relationships/header" Target="header30.xml" /><Relationship Id="rId155" Type="http://schemas.openxmlformats.org/officeDocument/2006/relationships/footer" Target="footer30.xml" /><Relationship Id="rId156" Type="http://schemas.openxmlformats.org/officeDocument/2006/relationships/hyperlink" Target="https://advance.lexis.com/api/document?collection=cases-ca&amp;id=urn:contentItem:5F7T-S7N1-JJ1H-X2XW-00000-00&amp;context=" TargetMode="External" /><Relationship Id="rId157" Type="http://schemas.openxmlformats.org/officeDocument/2006/relationships/hyperlink" Target="https://advance.lexis.com/api/document?collection=cases-ca&amp;id=urn:contentItem:5F7T-S7J1-JYYX-6211-00000-00&amp;context=" TargetMode="External" /><Relationship Id="rId158" Type="http://schemas.openxmlformats.org/officeDocument/2006/relationships/hyperlink" Target="https://advance.lexis.com/api/document?collection=cases-ca&amp;id=urn:contentItem:5F7T-S7D1-JS5Y-B27M-00000-00&amp;context=" TargetMode="External" /><Relationship Id="rId159" Type="http://schemas.openxmlformats.org/officeDocument/2006/relationships/hyperlink" Target="https://advance.lexis.com/api/document?collection=cases-ca&amp;id=urn:contentItem:5F7T-S781-F06F-23WM-00000-00&amp;context=" TargetMode="External" /><Relationship Id="rId16" Type="http://schemas.openxmlformats.org/officeDocument/2006/relationships/footer" Target="footer4.xml" /><Relationship Id="rId160" Type="http://schemas.openxmlformats.org/officeDocument/2006/relationships/hyperlink" Target="https://advance.lexis.com/api/document?collection=cases-ca&amp;id=urn:contentItem:5F7T-S7D1-FFFC-B14J-00000-00&amp;context=" TargetMode="External" /><Relationship Id="rId161" Type="http://schemas.openxmlformats.org/officeDocument/2006/relationships/hyperlink" Target="https://advance.lexis.com/api/document?collection=cases-ca&amp;id=urn:contentItem:5F7T-S6T1-FJTD-G1PC-00000-00&amp;context=" TargetMode="External" /><Relationship Id="rId162" Type="http://schemas.openxmlformats.org/officeDocument/2006/relationships/hyperlink" Target="https://advance.lexis.com/api/document?collection=cases-ca&amp;id=urn:contentItem:5F7T-S761-FFMK-M11Y-00000-00&amp;context=" TargetMode="External" /><Relationship Id="rId163" Type="http://schemas.openxmlformats.org/officeDocument/2006/relationships/hyperlink" Target="https://advance.lexis.com/api/document?collection=cases-ca&amp;id=urn:contentItem:5F7T-S731-FFFC-B0FH-00000-00&amp;context=" TargetMode="External" /><Relationship Id="rId164" Type="http://schemas.openxmlformats.org/officeDocument/2006/relationships/hyperlink" Target="https://advance.lexis.com/api/document?collection=cases-ca&amp;id=urn:contentItem:5F7T-S7F1-F7VM-S3WF-00000-00&amp;context=" TargetMode="External" /><Relationship Id="rId165" Type="http://schemas.openxmlformats.org/officeDocument/2006/relationships/hyperlink" Target="https://advance.lexis.com/api/document?collection=cases-ca&amp;id=urn:contentItem:5F7T-S7M1-F4W2-622C-00000-00&amp;context=" TargetMode="External" /><Relationship Id="rId166" Type="http://schemas.openxmlformats.org/officeDocument/2006/relationships/header" Target="header31.xml" /><Relationship Id="rId167" Type="http://schemas.openxmlformats.org/officeDocument/2006/relationships/header" Target="header32.xml" /><Relationship Id="rId168" Type="http://schemas.openxmlformats.org/officeDocument/2006/relationships/footer" Target="footer31.xml" /><Relationship Id="rId169" Type="http://schemas.openxmlformats.org/officeDocument/2006/relationships/footer" Target="footer32.xml" /><Relationship Id="rId17" Type="http://schemas.openxmlformats.org/officeDocument/2006/relationships/footer" Target="footer5.xml" /><Relationship Id="rId170" Type="http://schemas.openxmlformats.org/officeDocument/2006/relationships/header" Target="header33.xml" /><Relationship Id="rId171" Type="http://schemas.openxmlformats.org/officeDocument/2006/relationships/footer" Target="footer33.xml" /><Relationship Id="rId172" Type="http://schemas.openxmlformats.org/officeDocument/2006/relationships/hyperlink" Target="https://advance.lexis.com/api/document?collection=cases-ca&amp;id=urn:contentItem:5Y1T-6BS1-JBDT-B1G3-00000-00&amp;context=" TargetMode="External" /><Relationship Id="rId173" Type="http://schemas.openxmlformats.org/officeDocument/2006/relationships/hyperlink" Target="https://advance.lexis.com/api/document?collection=legislation-ca&amp;id=urn:contentItem:5F41-1FK1-F2TK-2152-00000-00&amp;context=" TargetMode="External" /><Relationship Id="rId174" Type="http://schemas.openxmlformats.org/officeDocument/2006/relationships/hyperlink" Target="https://advance.lexis.com/api/document?collection=legislation-ca&amp;id=urn:contentItem:5F9J-MWS1-JFKM-64KX-00000-00&amp;context=" TargetMode="External" /><Relationship Id="rId175" Type="http://schemas.openxmlformats.org/officeDocument/2006/relationships/hyperlink" Target="https://advance.lexis.com/api/document?collection=legislation-ca&amp;id=urn:contentItem:5F41-1FG1-F4NT-X094-00000-00&amp;context=" TargetMode="External" /><Relationship Id="rId176" Type="http://schemas.openxmlformats.org/officeDocument/2006/relationships/hyperlink" Target="https://advance.lexis.com/api/document?collection=legislation-ca&amp;id=urn:contentItem:5VYK-WB21-F57G-S21X-00000-00&amp;context=" TargetMode="External" /><Relationship Id="rId177" Type="http://schemas.openxmlformats.org/officeDocument/2006/relationships/hyperlink" Target="https://advance.lexis.com/api/document?collection=legislation-ca&amp;id=urn:contentItem:5F41-1FJ1-F5KY-B1KW-00000-00&amp;context=" TargetMode="External" /><Relationship Id="rId178" Type="http://schemas.openxmlformats.org/officeDocument/2006/relationships/hyperlink" Target="https://advance.lexis.com/api/document?collection=cases-ca&amp;id=urn:contentItem:5X7V-K0W1-JC5P-G34B-00000-00&amp;context=" TargetMode="External" /><Relationship Id="rId179" Type="http://schemas.openxmlformats.org/officeDocument/2006/relationships/hyperlink" Target="https://advance.lexis.com/api/document?collection=cases-ca&amp;id=urn:contentItem:5XGF-8F11-JBT7-X37D-00000-00&amp;context=" TargetMode="External" /><Relationship Id="rId18" Type="http://schemas.openxmlformats.org/officeDocument/2006/relationships/header" Target="header6.xml" /><Relationship Id="rId180" Type="http://schemas.openxmlformats.org/officeDocument/2006/relationships/hyperlink" Target="https://advance.lexis.com/api/document?collection=cases-ca&amp;id=urn:contentItem:5K8V-CV01-JG59-21Y6-00000-00&amp;context=" TargetMode="External" /><Relationship Id="rId181" Type="http://schemas.openxmlformats.org/officeDocument/2006/relationships/hyperlink" Target="https://advance.lexis.com/api/document?collection=cases-ca&amp;id=urn:contentItem:5WDK-32M1-F7ND-G09S-00000-00&amp;context=" TargetMode="External" /><Relationship Id="rId182" Type="http://schemas.openxmlformats.org/officeDocument/2006/relationships/hyperlink" Target="https://advance.lexis.com/api/document?collection=cases-ca&amp;id=urn:contentItem:5RVJ-TKN1-JS0R-2215-00000-00&amp;context=" TargetMode="External" /><Relationship Id="rId183" Type="http://schemas.openxmlformats.org/officeDocument/2006/relationships/hyperlink" Target="https://advance.lexis.com/api/document?collection=cases-ca&amp;id=urn:contentItem:5TBT-2201-JC0G-603N-00000-00&amp;context=" TargetMode="External" /><Relationship Id="rId184" Type="http://schemas.openxmlformats.org/officeDocument/2006/relationships/hyperlink" Target="https://advance.lexis.com/api/document?collection=cases-ca&amp;id=urn:contentItem:5K27-9DN1-FFMK-M1JY-00000-00&amp;context=" TargetMode="External" /><Relationship Id="rId185" Type="http://schemas.openxmlformats.org/officeDocument/2006/relationships/hyperlink" Target="https://advance.lexis.com/api/document?collection=cases-ca&amp;id=urn:contentItem:5RWF-9X71-K0BB-S33K-00000-00&amp;context=" TargetMode="External" /><Relationship Id="rId186" Type="http://schemas.openxmlformats.org/officeDocument/2006/relationships/hyperlink" Target="https://advance.lexis.com/api/document?collection=cases-ca&amp;id=urn:contentItem:5VGB-SRB1-FCSB-S451-00000-00&amp;context=" TargetMode="External" /><Relationship Id="rId187" Type="http://schemas.openxmlformats.org/officeDocument/2006/relationships/hyperlink" Target="https://advance.lexis.com/api/document?collection=cases-ca&amp;id=urn:contentItem:5F7T-S7G1-F5KY-B1J4-00000-00&amp;context=" TargetMode="External" /><Relationship Id="rId188" Type="http://schemas.openxmlformats.org/officeDocument/2006/relationships/hyperlink" Target="https://advance.lexis.com/api/document?collection=cases-ca&amp;id=urn:contentItem:5F7T-S7P1-JP4G-61WG-00000-00&amp;context=" TargetMode="External" /><Relationship Id="rId189" Type="http://schemas.openxmlformats.org/officeDocument/2006/relationships/hyperlink" Target="https://advance.lexis.com/api/document?collection=cases-ca&amp;id=urn:contentItem:5F8P-SFM1-JJYN-B455-00000-00&amp;context=" TargetMode="External" /><Relationship Id="rId19" Type="http://schemas.openxmlformats.org/officeDocument/2006/relationships/footer" Target="footer6.xml" /><Relationship Id="rId190" Type="http://schemas.openxmlformats.org/officeDocument/2006/relationships/hyperlink" Target="https://advance.lexis.com/api/document?collection=cases-ca&amp;id=urn:contentItem:5W9K-16Y1-JJ1H-X017-00000-00&amp;context=" TargetMode="External" /><Relationship Id="rId191" Type="http://schemas.openxmlformats.org/officeDocument/2006/relationships/hyperlink" Target="https://advance.lexis.com/api/document?collection=cases-ca&amp;id=urn:contentItem:5T8W-F501-FH4C-X2MC-00000-00&amp;context=" TargetMode="External" /><Relationship Id="rId192" Type="http://schemas.openxmlformats.org/officeDocument/2006/relationships/hyperlink" Target="https://advance.lexis.com/api/document?collection=cases-ca&amp;id=urn:contentItem:5XPF-3GK1-F2F4-G2K9-00000-00&amp;context=" TargetMode="External" /><Relationship Id="rId193" Type="http://schemas.openxmlformats.org/officeDocument/2006/relationships/hyperlink" Target="https://advance.lexis.com/api/document?collection=cases-ca&amp;id=urn:contentItem:5WB7-D2T1-JFSV-G3Y5-00000-00&amp;context=" TargetMode="External" /><Relationship Id="rId194" Type="http://schemas.openxmlformats.org/officeDocument/2006/relationships/hyperlink" Target="https://advance.lexis.com/api/document?collection=cases-ca&amp;id=urn:contentItem:5PDG-D481-FJDY-X20H-00000-00&amp;context=" TargetMode="External" /><Relationship Id="rId195" Type="http://schemas.openxmlformats.org/officeDocument/2006/relationships/hyperlink" Target="https://advance.lexis.com/api/document?collection=cases-ca&amp;id=urn:contentItem:5F8T-N3V1-FC1F-M486-00000-00&amp;context=" TargetMode="External" /><Relationship Id="rId196" Type="http://schemas.openxmlformats.org/officeDocument/2006/relationships/hyperlink" Target="https://advance.lexis.com/api/document?collection=cases-ca&amp;id=urn:contentItem:5F8T-N3V1-FC1F-M497-00000-00&amp;context=" TargetMode="External" /><Relationship Id="rId197" Type="http://schemas.openxmlformats.org/officeDocument/2006/relationships/hyperlink" Target="https://advance.lexis.com/api/document?collection=cases-ca&amp;id=urn:contentItem:5F8T-N3V1-FC1F-M46D-00000-00&amp;context=" TargetMode="External" /><Relationship Id="rId198" Type="http://schemas.openxmlformats.org/officeDocument/2006/relationships/hyperlink" Target="https://advance.lexis.com/api/document?collection=cases-ca&amp;id=urn:contentItem:5F7T-S7P1-JCRC-B242-00000-00&amp;context=" TargetMode="External" /><Relationship Id="rId199" Type="http://schemas.openxmlformats.org/officeDocument/2006/relationships/hyperlink" Target="https://advance.lexis.com/api/document?collection=cases-ca&amp;id=urn:contentItem:5XNC-9NM1-F22N-X3FG-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81-JSC5-M47Y-00000-00&amp;context=" TargetMode="External" /><Relationship Id="rId200" Type="http://schemas.openxmlformats.org/officeDocument/2006/relationships/hyperlink" Target="https://advance.lexis.com/api/document?collection=cases-ca&amp;id=urn:contentItem:5F7T-S7J1-FGCG-S0FB-00000-00&amp;context=" TargetMode="External" /><Relationship Id="rId201" Type="http://schemas.openxmlformats.org/officeDocument/2006/relationships/hyperlink" Target="https://advance.lexis.com/api/document?collection=cases-ca&amp;id=urn:contentItem:5F7T-S7M1-JPP5-22K5-00000-00&amp;context=" TargetMode="External" /><Relationship Id="rId202" Type="http://schemas.openxmlformats.org/officeDocument/2006/relationships/hyperlink" Target="https://advance.lexis.com/api/document?collection=cases-ca&amp;id=urn:contentItem:5RYS-K5V1-FD4T-B459-00000-00&amp;context=" TargetMode="External" /><Relationship Id="rId203" Type="http://schemas.openxmlformats.org/officeDocument/2006/relationships/hyperlink" Target="https://advance.lexis.com/api/document?collection=cases-ca&amp;id=urn:contentItem:5X3B-J891-JSXV-G2KD-00000-00&amp;context=" TargetMode="External" /><Relationship Id="rId204" Type="http://schemas.openxmlformats.org/officeDocument/2006/relationships/header" Target="header34.xml" /><Relationship Id="rId205" Type="http://schemas.openxmlformats.org/officeDocument/2006/relationships/header" Target="header35.xml" /><Relationship Id="rId206" Type="http://schemas.openxmlformats.org/officeDocument/2006/relationships/footer" Target="footer34.xml" /><Relationship Id="rId207" Type="http://schemas.openxmlformats.org/officeDocument/2006/relationships/footer" Target="footer35.xml" /><Relationship Id="rId208" Type="http://schemas.openxmlformats.org/officeDocument/2006/relationships/header" Target="header36.xml" /><Relationship Id="rId209" Type="http://schemas.openxmlformats.org/officeDocument/2006/relationships/footer" Target="footer36.xml" /><Relationship Id="rId21" Type="http://schemas.openxmlformats.org/officeDocument/2006/relationships/hyperlink" Target="https://advance.lexis.com/api/document?collection=cases-ca&amp;id=urn:contentItem:5F7T-S731-DY33-B0XP-00000-00&amp;context=" TargetMode="External" /><Relationship Id="rId210" Type="http://schemas.openxmlformats.org/officeDocument/2006/relationships/hyperlink" Target="https://advance.lexis.com/api/document?collection=cases-ca&amp;id=urn:contentItem:5F7T-S7H1-F016-S469-00000-00&amp;context=" TargetMode="External" /><Relationship Id="rId211" Type="http://schemas.openxmlformats.org/officeDocument/2006/relationships/hyperlink" Target="https://advance.lexis.com/api/document?collection=cases-ca&amp;id=urn:contentItem:5F8T-N3V1-JTGH-B18F-00000-00&amp;context=" TargetMode="External" /><Relationship Id="rId212" Type="http://schemas.openxmlformats.org/officeDocument/2006/relationships/hyperlink" Target="https://advance.lexis.com/api/document?collection=cases-ca&amp;id=urn:contentItem:5F7T-S701-JBT7-X23F-00000-00&amp;context=" TargetMode="External" /><Relationship Id="rId213" Type="http://schemas.openxmlformats.org/officeDocument/2006/relationships/hyperlink" Target="https://advance.lexis.com/api/document?collection=cases-ca&amp;id=urn:contentItem:5F7T-S7H1-JS5Y-B2WW-00000-00&amp;context=" TargetMode="External" /><Relationship Id="rId214" Type="http://schemas.openxmlformats.org/officeDocument/2006/relationships/hyperlink" Target="https://advance.lexis.com/api/document?collection=cases-ca&amp;id=urn:contentItem:5F7T-S7C1-F7VM-S3SK-00000-00&amp;context=" TargetMode="External" /><Relationship Id="rId215" Type="http://schemas.openxmlformats.org/officeDocument/2006/relationships/hyperlink" Target="https://advance.lexis.com/api/document?collection=cases-ca&amp;id=urn:contentItem:5F7T-S7F1-FBN1-21H5-00000-00&amp;context=" TargetMode="External" /><Relationship Id="rId216" Type="http://schemas.openxmlformats.org/officeDocument/2006/relationships/header" Target="header37.xml" /><Relationship Id="rId217" Type="http://schemas.openxmlformats.org/officeDocument/2006/relationships/header" Target="header38.xml" /><Relationship Id="rId218" Type="http://schemas.openxmlformats.org/officeDocument/2006/relationships/footer" Target="footer37.xml" /><Relationship Id="rId219" Type="http://schemas.openxmlformats.org/officeDocument/2006/relationships/footer" Target="footer38.xml" /><Relationship Id="rId22" Type="http://schemas.openxmlformats.org/officeDocument/2006/relationships/hyperlink" Target="https://advance.lexis.com/api/document?collection=cases-ca&amp;id=urn:contentItem:5F7T-S741-FJM6-61M7-00000-00&amp;context=" TargetMode="External" /><Relationship Id="rId220" Type="http://schemas.openxmlformats.org/officeDocument/2006/relationships/header" Target="header39.xml" /><Relationship Id="rId221" Type="http://schemas.openxmlformats.org/officeDocument/2006/relationships/footer" Target="footer39.xml" /><Relationship Id="rId222" Type="http://schemas.openxmlformats.org/officeDocument/2006/relationships/hyperlink" Target="https://advance.lexis.com/api/document?collection=cases-ca&amp;id=urn:contentItem:5XMX-KTD1-F2MB-S2SX-00000-00&amp;context=" TargetMode="External" /><Relationship Id="rId223" Type="http://schemas.openxmlformats.org/officeDocument/2006/relationships/hyperlink" Target="https://advance.lexis.com/api/document?collection=cases-ca&amp;id=urn:contentItem:5Y2W-3BC1-JB7K-20X4-00000-00&amp;context=" TargetMode="External" /><Relationship Id="rId224" Type="http://schemas.openxmlformats.org/officeDocument/2006/relationships/hyperlink" Target="https://advance.lexis.com/api/document?collection=cases-ca&amp;id=urn:contentItem:5F81-VJV1-F8D9-M0NM-00000-00&amp;context=" TargetMode="External" /><Relationship Id="rId225" Type="http://schemas.openxmlformats.org/officeDocument/2006/relationships/hyperlink" Target="https://advance.lexis.com/api/document?collection=cases-ca&amp;id=urn:contentItem:5F8T-N3V1-JFKM-6011-00000-00&amp;context=" TargetMode="External" /><Relationship Id="rId226" Type="http://schemas.openxmlformats.org/officeDocument/2006/relationships/hyperlink" Target="https://advance.lexis.com/api/document?collection=cases-ca&amp;id=urn:contentItem:5F7T-S7K1-F1H1-220C-00000-00&amp;context=" TargetMode="External" /><Relationship Id="rId227" Type="http://schemas.openxmlformats.org/officeDocument/2006/relationships/hyperlink" Target="https://advance.lexis.com/api/document?collection=cases-ca&amp;id=urn:contentItem:5F8N-K751-F22N-X2VS-00000-00&amp;context=" TargetMode="External" /><Relationship Id="rId228" Type="http://schemas.openxmlformats.org/officeDocument/2006/relationships/hyperlink" Target="https://advance.lexis.com/api/document?collection=cases-ca&amp;id=urn:contentItem:5F7T-XPX1-FCCX-61P1-00000-00&amp;context=" TargetMode="External" /><Relationship Id="rId229" Type="http://schemas.openxmlformats.org/officeDocument/2006/relationships/hyperlink" Target="https://advance.lexis.com/api/document?collection=cases-ca&amp;id=urn:contentItem:5F81-VJX1-JJYN-B527-00000-00&amp;context=" TargetMode="External" /><Relationship Id="rId23" Type="http://schemas.openxmlformats.org/officeDocument/2006/relationships/hyperlink" Target="https://advance.lexis.com/api/document?collection=cases-ca&amp;id=urn:contentItem:5F7T-S741-F528-G2H2-00000-00&amp;context=" TargetMode="External" /><Relationship Id="rId230" Type="http://schemas.openxmlformats.org/officeDocument/2006/relationships/hyperlink" Target="https://advance.lexis.com/api/document?collection=cases-ca&amp;id=urn:contentItem:5F8T-N3P1-FC6N-X13M-00000-00&amp;context=" TargetMode="External" /><Relationship Id="rId231" Type="http://schemas.openxmlformats.org/officeDocument/2006/relationships/hyperlink" Target="https://advance.lexis.com/api/document?collection=cases-ca&amp;id=urn:contentItem:5NTV-GXS1-FGY5-M1B4-00000-00&amp;context=" TargetMode="External" /><Relationship Id="rId232" Type="http://schemas.openxmlformats.org/officeDocument/2006/relationships/hyperlink" Target="https://advance.lexis.com/api/document?collection=cases-ca&amp;id=urn:contentItem:5F8P-SFC1-JX8W-M0CW-00000-00&amp;context=" TargetMode="External" /><Relationship Id="rId233" Type="http://schemas.openxmlformats.org/officeDocument/2006/relationships/hyperlink" Target="https://advance.lexis.com/api/document?collection=cases-ca&amp;id=urn:contentItem:5F7T-S6Y1-JPP5-21D0-00000-00&amp;context=" TargetMode="External" /><Relationship Id="rId234" Type="http://schemas.openxmlformats.org/officeDocument/2006/relationships/hyperlink" Target="https://advance.lexis.com/api/document?collection=cases-ca&amp;id=urn:contentItem:5F8N-K6Y1-JB2B-S03P-00000-00&amp;context=" TargetMode="External" /><Relationship Id="rId235" Type="http://schemas.openxmlformats.org/officeDocument/2006/relationships/hyperlink" Target="https://advance.lexis.com/api/document?collection=cases-ca&amp;id=urn:contentItem:5F7T-S7G1-FCYK-20C2-00000-00&amp;context=" TargetMode="External" /><Relationship Id="rId236" Type="http://schemas.openxmlformats.org/officeDocument/2006/relationships/hyperlink" Target="https://advance.lexis.com/api/document?collection=cases-ca&amp;id=urn:contentItem:5F8P-SFR1-JS5Y-B2SM-00000-00&amp;context=" TargetMode="External" /><Relationship Id="rId237" Type="http://schemas.openxmlformats.org/officeDocument/2006/relationships/hyperlink" Target="https://advance.lexis.com/api/document?collection=cases-ca&amp;id=urn:contentItem:5F8P-SFX1-F4GK-M3SS-00000-00&amp;context=" TargetMode="External" /><Relationship Id="rId238" Type="http://schemas.openxmlformats.org/officeDocument/2006/relationships/hyperlink" Target="https://advance.lexis.com/api/document?collection=cases-ca&amp;id=urn:contentItem:5F7T-S711-JB2B-S19X-00000-00&amp;context=" TargetMode="External" /><Relationship Id="rId239" Type="http://schemas.openxmlformats.org/officeDocument/2006/relationships/hyperlink" Target="https://advance.lexis.com/api/document?collection=cases-ca&amp;id=urn:contentItem:5F8P-SF21-F5DR-214H-00000-00&amp;context=" TargetMode="External" /><Relationship Id="rId24" Type="http://schemas.openxmlformats.org/officeDocument/2006/relationships/hyperlink" Target="https://advance.lexis.com/api/document?collection=cases-ca&amp;id=urn:contentItem:5F7T-S751-JBM1-M2HR-00000-00&amp;context=" TargetMode="External" /><Relationship Id="rId240" Type="http://schemas.openxmlformats.org/officeDocument/2006/relationships/hyperlink" Target="https://advance.lexis.com/api/document?collection=cases-ca&amp;id=urn:contentItem:5F8T-N3V1-JTGH-B11G-00000-00&amp;context=" TargetMode="External" /><Relationship Id="rId241" Type="http://schemas.openxmlformats.org/officeDocument/2006/relationships/hyperlink" Target="https://advance.lexis.com/api/document?collection=cases-ca&amp;id=urn:contentItem:5F8T-N3S1-JT99-250W-00000-00&amp;context=" TargetMode="External" /><Relationship Id="rId242" Type="http://schemas.openxmlformats.org/officeDocument/2006/relationships/hyperlink" Target="https://advance.lexis.com/api/document?collection=cases-ca&amp;id=urn:contentItem:5F16-9361-K0HK-21S4-00000-00&amp;context=" TargetMode="External" /><Relationship Id="rId243" Type="http://schemas.openxmlformats.org/officeDocument/2006/relationships/hyperlink" Target="https://advance.lexis.com/api/document?collection=cases-ca&amp;id=urn:contentItem:5F7T-S7M1-JPP5-22R3-00000-00&amp;context=" TargetMode="External" /><Relationship Id="rId244" Type="http://schemas.openxmlformats.org/officeDocument/2006/relationships/hyperlink" Target="https://advance.lexis.com/api/document?collection=cases-ca&amp;id=urn:contentItem:5F81-VJX1-FGCG-S350-00000-00&amp;context=" TargetMode="External" /><Relationship Id="rId245" Type="http://schemas.openxmlformats.org/officeDocument/2006/relationships/hyperlink" Target="https://advance.lexis.com/api/document?collection=cases-ca&amp;id=urn:contentItem:5F16-9351-JK4W-M3NT-00000-00&amp;context=" TargetMode="External" /><Relationship Id="rId246" Type="http://schemas.openxmlformats.org/officeDocument/2006/relationships/hyperlink" Target="https://advance.lexis.com/api/document?collection=cases-ca&amp;id=urn:contentItem:5V9V-RDJ1-F5T5-M1Y7-00000-00&amp;context=" TargetMode="External" /><Relationship Id="rId247" Type="http://schemas.openxmlformats.org/officeDocument/2006/relationships/hyperlink" Target="https://advance.lexis.com/api/document?collection=cases-ca&amp;id=urn:contentItem:5F7T-S711-JG02-S1VJ-00000-00&amp;context=" TargetMode="External" /><Relationship Id="rId248" Type="http://schemas.openxmlformats.org/officeDocument/2006/relationships/header" Target="header40.xml" /><Relationship Id="rId249" Type="http://schemas.openxmlformats.org/officeDocument/2006/relationships/header" Target="header41.xml" /><Relationship Id="rId25" Type="http://schemas.openxmlformats.org/officeDocument/2006/relationships/hyperlink" Target="https://advance.lexis.com/api/document?collection=cases-ca&amp;id=urn:contentItem:5F7T-S761-JX8W-M32K-00000-00&amp;context=" TargetMode="External" /><Relationship Id="rId250" Type="http://schemas.openxmlformats.org/officeDocument/2006/relationships/footer" Target="footer40.xml" /><Relationship Id="rId251" Type="http://schemas.openxmlformats.org/officeDocument/2006/relationships/footer" Target="footer41.xml" /><Relationship Id="rId252" Type="http://schemas.openxmlformats.org/officeDocument/2006/relationships/header" Target="header42.xml" /><Relationship Id="rId253" Type="http://schemas.openxmlformats.org/officeDocument/2006/relationships/footer" Target="footer42.xml" /><Relationship Id="rId254" Type="http://schemas.openxmlformats.org/officeDocument/2006/relationships/hyperlink" Target="https://advance.lexis.com/api/document?collection=cases-ca&amp;id=urn:contentItem:5X7M-BGT1-JTGH-B246-00000-00&amp;context=" TargetMode="External" /><Relationship Id="rId255" Type="http://schemas.openxmlformats.org/officeDocument/2006/relationships/hyperlink" Target="https://advance.lexis.com/api/document?collection=cases-ca&amp;id=urn:contentItem:5WC3-G9C1-K0HK-24XJ-00000-00&amp;context=" TargetMode="External" /><Relationship Id="rId256" Type="http://schemas.openxmlformats.org/officeDocument/2006/relationships/hyperlink" Target="https://advance.lexis.com/api/document?collection=analytical-materials-ca&amp;id=urn:contentItem:5MF8-MMJ1-DYFH-X0J4-00000-00&amp;context=" TargetMode="External" /><Relationship Id="rId257" Type="http://schemas.openxmlformats.org/officeDocument/2006/relationships/hyperlink" Target="https://advance.lexis.com/api/document?collection=cases-ca&amp;id=urn:contentItem:5F7T-S7P1-JP4G-61NJ-00000-00&amp;context=" TargetMode="External" /><Relationship Id="rId258" Type="http://schemas.openxmlformats.org/officeDocument/2006/relationships/hyperlink" Target="https://advance.lexis.com/api/document?collection=cases-ca&amp;id=urn:contentItem:5F7T-S7J1-JGBH-B2D1-00000-00&amp;context=" TargetMode="External" /><Relationship Id="rId259" Type="http://schemas.openxmlformats.org/officeDocument/2006/relationships/hyperlink" Target="https://advance.lexis.com/api/document?collection=cases-ca&amp;id=urn:contentItem:5F7T-S7N1-F57G-S2PF-00000-00&amp;context=" TargetMode="External" /><Relationship Id="rId26" Type="http://schemas.openxmlformats.org/officeDocument/2006/relationships/hyperlink" Target="https://advance.lexis.com/api/document?collection=cases-ca&amp;id=urn:contentItem:5F7T-S771-JWBS-61CV-00000-00&amp;context=" TargetMode="External" /><Relationship Id="rId260" Type="http://schemas.openxmlformats.org/officeDocument/2006/relationships/hyperlink" Target="https://advance.lexis.com/api/document?collection=cases-ca&amp;id=urn:contentItem:5F7T-S7K1-JWXF-20X8-00000-00&amp;context=" TargetMode="External" /><Relationship Id="rId261" Type="http://schemas.openxmlformats.org/officeDocument/2006/relationships/hyperlink" Target="https://advance.lexis.com/api/document?collection=cases-ca&amp;id=urn:contentItem:5F7T-S7M1-JPP5-22TG-00000-00&amp;context=" TargetMode="External" /><Relationship Id="rId262" Type="http://schemas.openxmlformats.org/officeDocument/2006/relationships/hyperlink" Target="https://advance.lexis.com/api/document?collection=cases-ca&amp;id=urn:contentItem:5F7T-S7F1-DXWW-244S-00000-00&amp;context=" TargetMode="External" /><Relationship Id="rId263" Type="http://schemas.openxmlformats.org/officeDocument/2006/relationships/hyperlink" Target="https://advance.lexis.com/api/document?collection=cases-ca&amp;id=urn:contentItem:5F7T-S7G1-JWR6-S1MB-00000-00&amp;context=" TargetMode="External" /><Relationship Id="rId264" Type="http://schemas.openxmlformats.org/officeDocument/2006/relationships/hyperlink" Target="https://advance.lexis.com/api/document?collection=cases-ca&amp;id=urn:contentItem:5F7T-S721-F8D9-M15C-00000-00&amp;context=" TargetMode="External" /><Relationship Id="rId265" Type="http://schemas.openxmlformats.org/officeDocument/2006/relationships/hyperlink" Target="https://advance.lexis.com/api/document?collection=cases-ca&amp;id=urn:contentItem:5F7T-S7K1-JSJC-X186-00000-00&amp;context=" TargetMode="External" /><Relationship Id="rId266" Type="http://schemas.openxmlformats.org/officeDocument/2006/relationships/hyperlink" Target="https://advance.lexis.com/api/document?collection=cases-ca&amp;id=urn:contentItem:5F7T-S711-F4GK-M2TY-00000-00&amp;context=" TargetMode="External" /><Relationship Id="rId267" Type="http://schemas.openxmlformats.org/officeDocument/2006/relationships/hyperlink" Target="https://advance.lexis.com/api/document?collection=cases-ca&amp;id=urn:contentItem:5F16-9301-FD4T-B1PD-00000-00&amp;context=" TargetMode="External" /><Relationship Id="rId268" Type="http://schemas.openxmlformats.org/officeDocument/2006/relationships/hyperlink" Target="https://advance.lexis.com/api/document?collection=cases-ca&amp;id=urn:contentItem:5F7T-S781-JSC5-M407-00000-00&amp;context=" TargetMode="External" /><Relationship Id="rId269" Type="http://schemas.openxmlformats.org/officeDocument/2006/relationships/hyperlink" Target="https://advance.lexis.com/api/document?collection=cases-ca&amp;id=urn:contentItem:5F7T-S7C1-F7VM-S3PG-00000-00&amp;context=" TargetMode="External" /><Relationship Id="rId27" Type="http://schemas.openxmlformats.org/officeDocument/2006/relationships/hyperlink" Target="https://advance.lexis.com/api/document?collection=cases-ca&amp;id=urn:contentItem:5F8T-N3V1-JF75-M3S6-00000-00&amp;context=" TargetMode="External" /><Relationship Id="rId270" Type="http://schemas.openxmlformats.org/officeDocument/2006/relationships/hyperlink" Target="https://advance.lexis.com/api/document?collection=cases-ca&amp;id=urn:contentItem:5F7T-S7D1-DY89-M474-00000-00&amp;context=" TargetMode="External" /><Relationship Id="rId271" Type="http://schemas.openxmlformats.org/officeDocument/2006/relationships/hyperlink" Target="https://advance.lexis.com/api/document?collection=cases-ca&amp;id=urn:contentItem:5F7T-S7N1-JW09-M0RW-00000-00&amp;context=" TargetMode="External" /><Relationship Id="rId272" Type="http://schemas.openxmlformats.org/officeDocument/2006/relationships/hyperlink" Target="https://advance.lexis.com/api/document?collection=cases-ca&amp;id=urn:contentItem:5F7T-S7M1-JPP5-22M6-00000-00&amp;context=" TargetMode="External" /><Relationship Id="rId273" Type="http://schemas.openxmlformats.org/officeDocument/2006/relationships/hyperlink" Target="https://advance.lexis.com/api/document?collection=cases-ca&amp;id=urn:contentItem:5F7T-S7H1-JS5Y-B2NN-00000-00&amp;context=" TargetMode="External" /><Relationship Id="rId274" Type="http://schemas.openxmlformats.org/officeDocument/2006/relationships/hyperlink" Target="https://advance.lexis.com/api/document?collection=cases-ca&amp;id=urn:contentItem:5F8T-N3V1-JFKM-609G-00000-00&amp;context=" TargetMode="External" /><Relationship Id="rId275" Type="http://schemas.openxmlformats.org/officeDocument/2006/relationships/hyperlink" Target="https://advance.lexis.com/api/document?collection=cases-ca&amp;id=urn:contentItem:5JRX-F801-JBM1-M1MC-00000-00&amp;context=" TargetMode="External" /><Relationship Id="rId276" Type="http://schemas.openxmlformats.org/officeDocument/2006/relationships/hyperlink" Target="https://advance.lexis.com/api/document?collection=cases-ca&amp;id=urn:contentItem:5F8P-SCJ1-FGJR-23TC-00000-00&amp;context=" TargetMode="External" /><Relationship Id="rId277" Type="http://schemas.openxmlformats.org/officeDocument/2006/relationships/hyperlink" Target="https://advance.lexis.com/api/document?collection=cases-ca&amp;id=urn:contentItem:5F82-1SH1-JF1Y-B2J7-00000-00&amp;context=" TargetMode="External" /><Relationship Id="rId278" Type="http://schemas.openxmlformats.org/officeDocument/2006/relationships/hyperlink" Target="https://advance.lexis.com/api/document?collection=cases-ca&amp;id=urn:contentItem:5F7T-S781-F7G6-638G-00000-00&amp;context=" TargetMode="External" /><Relationship Id="rId279" Type="http://schemas.openxmlformats.org/officeDocument/2006/relationships/hyperlink" Target="https://advance.lexis.com/api/document?collection=cases-ca&amp;id=urn:contentItem:5RW6-NFJ1-F06F-2390-00000-00&amp;context=" TargetMode="External" /><Relationship Id="rId28" Type="http://schemas.openxmlformats.org/officeDocument/2006/relationships/hyperlink" Target="https://advance.lexis.com/api/document?collection=cases-ca&amp;id=urn:contentItem:5F7T-S6W1-JYYX-61TX-00000-00&amp;context=" TargetMode="External" /><Relationship Id="rId280" Type="http://schemas.openxmlformats.org/officeDocument/2006/relationships/hyperlink" Target="https://advance.lexis.com/api/document?collection=cases-ca&amp;id=urn:contentItem:5W00-TS11-JWBS-6060-00000-00&amp;context=" TargetMode="External" /><Relationship Id="rId281" Type="http://schemas.openxmlformats.org/officeDocument/2006/relationships/hyperlink" Target="https://advance.lexis.com/api/document?collection=cases-ca&amp;id=urn:contentItem:5HWC-YXF1-F60C-X4P2-00000-00&amp;context=" TargetMode="External" /><Relationship Id="rId282" Type="http://schemas.openxmlformats.org/officeDocument/2006/relationships/hyperlink" Target="https://advance.lexis.com/api/document?collection=cases-ca&amp;id=urn:contentItem:5F7T-S7F1-DXWW-23PX-00000-00&amp;context=" TargetMode="External" /><Relationship Id="rId283" Type="http://schemas.openxmlformats.org/officeDocument/2006/relationships/hyperlink" Target="https://advance.lexis.com/api/document?collection=cases-ca&amp;id=urn:contentItem:5F7T-S7F1-FBN1-21G0-00000-00&amp;context=" TargetMode="External" /><Relationship Id="rId284" Type="http://schemas.openxmlformats.org/officeDocument/2006/relationships/hyperlink" Target="https://advance.lexis.com/api/document?collection=cases-ca&amp;id=urn:contentItem:5F7T-S771-F81W-22HN-00000-00&amp;context=" TargetMode="External" /><Relationship Id="rId285" Type="http://schemas.openxmlformats.org/officeDocument/2006/relationships/hyperlink" Target="https://advance.lexis.com/api/document?collection=cases-ca&amp;id=urn:contentItem:5GCC-XVB1-FK0M-S4W7-00000-00&amp;context=" TargetMode="External" /><Relationship Id="rId286" Type="http://schemas.openxmlformats.org/officeDocument/2006/relationships/hyperlink" Target="https://advance.lexis.com/api/document?collection=cases-ca&amp;id=urn:contentItem:5F7T-S7M1-JNCK-22V9-00000-00&amp;context=" TargetMode="External" /><Relationship Id="rId287" Type="http://schemas.openxmlformats.org/officeDocument/2006/relationships/hyperlink" Target="https://advance.lexis.com/api/document?collection=cases-ca&amp;id=urn:contentItem:5F16-93C1-JF1Y-B4K3-00000-00&amp;context=" TargetMode="External" /><Relationship Id="rId288" Type="http://schemas.openxmlformats.org/officeDocument/2006/relationships/hyperlink" Target="https://advance.lexis.com/api/document?collection=cases-ca&amp;id=urn:contentItem:5F7T-S7J1-JYYX-6292-00000-00&amp;context=" TargetMode="External" /><Relationship Id="rId289" Type="http://schemas.openxmlformats.org/officeDocument/2006/relationships/hyperlink" Target="https://advance.lexis.com/api/document?collection=cases-ca&amp;id=urn:contentItem:5F7T-S721-F57G-S0X6-00000-00&amp;context=" TargetMode="External" /><Relationship Id="rId29" Type="http://schemas.openxmlformats.org/officeDocument/2006/relationships/hyperlink" Target="https://advance.lexis.com/api/document?collection=cases-ca&amp;id=urn:contentItem:5F7T-S761-F81W-21RK-00000-00&amp;context=" TargetMode="External" /><Relationship Id="rId290" Type="http://schemas.openxmlformats.org/officeDocument/2006/relationships/hyperlink" Target="https://advance.lexis.com/api/document?collection=cases-ca&amp;id=urn:contentItem:5F7T-S7N1-DXWW-202X-00000-00&amp;context=" TargetMode="External" /><Relationship Id="rId291" Type="http://schemas.openxmlformats.org/officeDocument/2006/relationships/hyperlink" Target="https://advance.lexis.com/api/document?collection=cases-ca&amp;id=urn:contentItem:5F7T-S7F1-JBT7-X2R7-00000-00&amp;context=" TargetMode="External" /><Relationship Id="rId292" Type="http://schemas.openxmlformats.org/officeDocument/2006/relationships/hyperlink" Target="https://advance.lexis.com/api/document?collection=cases-ca&amp;id=urn:contentItem:5F7T-S741-F57G-S1NV-00000-00&amp;context=" TargetMode="External" /><Relationship Id="rId293" Type="http://schemas.openxmlformats.org/officeDocument/2006/relationships/hyperlink" Target="https://advance.lexis.com/api/document?collection=cases-ca&amp;id=urn:contentItem:5GCC-XVB1-JGHR-M4KR-00000-00&amp;context=" TargetMode="External" /><Relationship Id="rId294" Type="http://schemas.openxmlformats.org/officeDocument/2006/relationships/hyperlink" Target="https://advance.lexis.com/api/document?collection=cases-ca&amp;id=urn:contentItem:5F7T-S7M1-JPP5-22PV-00000-00&amp;context=" TargetMode="External" /><Relationship Id="rId295" Type="http://schemas.openxmlformats.org/officeDocument/2006/relationships/hyperlink" Target="https://advance.lexis.com/api/document?collection=cases-ca&amp;id=urn:contentItem:5F7T-S7G1-JNY7-X3XK-00000-00&amp;context=" TargetMode="External" /><Relationship Id="rId296" Type="http://schemas.openxmlformats.org/officeDocument/2006/relationships/hyperlink" Target="https://advance.lexis.com/api/document?collection=cases-ca&amp;id=urn:contentItem:5F7T-S7G1-JX3N-B24M-00000-00&amp;context=" TargetMode="External" /><Relationship Id="rId297" Type="http://schemas.openxmlformats.org/officeDocument/2006/relationships/hyperlink" Target="https://advance.lexis.com/api/document?collection=cases-ca&amp;id=urn:contentItem:5F8T-N3R1-FJDY-X38R-00000-00&amp;context=" TargetMode="External" /><Relationship Id="rId298" Type="http://schemas.openxmlformats.org/officeDocument/2006/relationships/hyperlink" Target="https://advance.lexis.com/api/document?collection=cases-ca&amp;id=urn:contentItem:5F8T-N3R1-JBDT-B54K-00000-00&amp;context=" TargetMode="External" /><Relationship Id="rId299" Type="http://schemas.openxmlformats.org/officeDocument/2006/relationships/hyperlink" Target="https://advance.lexis.com/api/document?collection=cases-ca&amp;id=urn:contentItem:5F7T-S6T1-JJ1H-X22K-00000-00&amp;context=" TargetMode="External" /><Relationship Id="rId3" Type="http://schemas.openxmlformats.org/officeDocument/2006/relationships/fontTable" Target="fontTable.xml" /><Relationship Id="rId30" Type="http://schemas.openxmlformats.org/officeDocument/2006/relationships/header" Target="header7.xml" /><Relationship Id="rId300" Type="http://schemas.openxmlformats.org/officeDocument/2006/relationships/hyperlink" Target="https://advance.lexis.com/api/document?collection=cases-ca&amp;id=urn:contentItem:5F16-9351-JNY7-X356-00000-00&amp;context=" TargetMode="External" /><Relationship Id="rId301" Type="http://schemas.openxmlformats.org/officeDocument/2006/relationships/hyperlink" Target="https://advance.lexis.com/api/document?collection=cases-ca&amp;id=urn:contentItem:5XR8-3VW1-JBDT-B327-00000-00&amp;context=" TargetMode="External" /><Relationship Id="rId302" Type="http://schemas.openxmlformats.org/officeDocument/2006/relationships/hyperlink" Target="https://advance.lexis.com/api/document?collection=cases-ca&amp;id=urn:contentItem:5F16-93C1-FFMK-M0YS-00000-00&amp;context=" TargetMode="External" /><Relationship Id="rId303" Type="http://schemas.openxmlformats.org/officeDocument/2006/relationships/hyperlink" Target="https://advance.lexis.com/api/document?collection=cases-ca&amp;id=urn:contentItem:5F8P-SDT1-JSRM-6378-00000-00&amp;context=" TargetMode="External" /><Relationship Id="rId304" Type="http://schemas.openxmlformats.org/officeDocument/2006/relationships/hyperlink" Target="https://advance.lexis.com/api/document?collection=cases-ca&amp;id=urn:contentItem:5F7T-S7K1-JWXF-20T6-00000-00&amp;context=" TargetMode="External" /><Relationship Id="rId305" Type="http://schemas.openxmlformats.org/officeDocument/2006/relationships/header" Target="header43.xml" /><Relationship Id="rId306" Type="http://schemas.openxmlformats.org/officeDocument/2006/relationships/header" Target="header44.xml" /><Relationship Id="rId307" Type="http://schemas.openxmlformats.org/officeDocument/2006/relationships/footer" Target="footer43.xml" /><Relationship Id="rId308" Type="http://schemas.openxmlformats.org/officeDocument/2006/relationships/footer" Target="footer44.xml" /><Relationship Id="rId309" Type="http://schemas.openxmlformats.org/officeDocument/2006/relationships/header" Target="header45.xml" /><Relationship Id="rId31" Type="http://schemas.openxmlformats.org/officeDocument/2006/relationships/header" Target="header8.xml" /><Relationship Id="rId310" Type="http://schemas.openxmlformats.org/officeDocument/2006/relationships/footer" Target="footer45.xml" /><Relationship Id="rId311" Type="http://schemas.openxmlformats.org/officeDocument/2006/relationships/hyperlink" Target="https://advance.lexis.com/api/document?collection=cases-ca&amp;id=urn:contentItem:5F7T-S7C1-F7VM-S3P7-00000-00&amp;context=" TargetMode="External" /><Relationship Id="rId312" Type="http://schemas.openxmlformats.org/officeDocument/2006/relationships/hyperlink" Target="https://advance.lexis.com/api/document?collection=cases-ca&amp;id=urn:contentItem:5F8T-N3V1-FC1F-M3WJ-00000-00&amp;context=" TargetMode="External" /><Relationship Id="rId313" Type="http://schemas.openxmlformats.org/officeDocument/2006/relationships/hyperlink" Target="https://advance.lexis.com/api/document?collection=cases-ca&amp;id=urn:contentItem:5F7T-S741-F57G-S1SV-00000-00&amp;context=" TargetMode="External" /><Relationship Id="rId314" Type="http://schemas.openxmlformats.org/officeDocument/2006/relationships/hyperlink" Target="https://advance.lexis.com/api/document?collection=cases-ca&amp;id=urn:contentItem:5F7T-S741-DXPM-S10D-00000-00&amp;context=" TargetMode="External" /><Relationship Id="rId315" Type="http://schemas.openxmlformats.org/officeDocument/2006/relationships/header" Target="header46.xml" /><Relationship Id="rId316" Type="http://schemas.openxmlformats.org/officeDocument/2006/relationships/header" Target="header47.xml" /><Relationship Id="rId317" Type="http://schemas.openxmlformats.org/officeDocument/2006/relationships/footer" Target="footer46.xml" /><Relationship Id="rId318" Type="http://schemas.openxmlformats.org/officeDocument/2006/relationships/footer" Target="footer47.xml" /><Relationship Id="rId319" Type="http://schemas.openxmlformats.org/officeDocument/2006/relationships/header" Target="header48.xml" /><Relationship Id="rId32" Type="http://schemas.openxmlformats.org/officeDocument/2006/relationships/footer" Target="footer7.xml" /><Relationship Id="rId320" Type="http://schemas.openxmlformats.org/officeDocument/2006/relationships/footer" Target="footer48.xml" /><Relationship Id="rId321" Type="http://schemas.openxmlformats.org/officeDocument/2006/relationships/hyperlink" Target="https://advance.lexis.com/api/document?collection=cases-ca&amp;id=urn:contentItem:5F7T-S7C1-F7VM-S3PP-00000-00&amp;context=" TargetMode="External" /><Relationship Id="rId322" Type="http://schemas.openxmlformats.org/officeDocument/2006/relationships/hyperlink" Target="https://advance.lexis.com/api/document?collection=legislation-ca&amp;id=urn:contentItem:5W2C-X5J1-JJ1H-X0DN-00000-00&amp;context=" TargetMode="External" /><Relationship Id="rId323" Type="http://schemas.openxmlformats.org/officeDocument/2006/relationships/hyperlink" Target="https://advance.lexis.com/api/document?collection=cases-ca&amp;id=urn:contentItem:5F7T-S711-F4W2-61W9-00000-00&amp;context=" TargetMode="External" /><Relationship Id="rId324" Type="http://schemas.openxmlformats.org/officeDocument/2006/relationships/hyperlink" Target="https://advance.lexis.com/api/document?collection=cases-ca&amp;id=urn:contentItem:5F7T-S6X1-JTNR-M43C-00000-00&amp;context=" TargetMode="External" /><Relationship Id="rId325" Type="http://schemas.openxmlformats.org/officeDocument/2006/relationships/hyperlink" Target="https://advance.lexis.com/api/document?collection=cases-ca&amp;id=urn:contentItem:5F7T-S6S1-JF1Y-B100-00000-00&amp;context=" TargetMode="External" /><Relationship Id="rId326" Type="http://schemas.openxmlformats.org/officeDocument/2006/relationships/hyperlink" Target="https://advance.lexis.com/api/document?collection=cases-ca&amp;id=urn:contentItem:5F7T-S761-F81W-21VB-00000-00&amp;context=" TargetMode="External" /><Relationship Id="rId327" Type="http://schemas.openxmlformats.org/officeDocument/2006/relationships/hyperlink" Target="https://advance.lexis.com/api/document?collection=cases-ca&amp;id=urn:contentItem:5F7T-S6T1-FJTD-G1H5-00000-00&amp;context=" TargetMode="External" /><Relationship Id="rId328" Type="http://schemas.openxmlformats.org/officeDocument/2006/relationships/hyperlink" Target="https://advance.lexis.com/api/document?collection=cases-ca&amp;id=urn:contentItem:5F81-VJS1-JT99-22VT-00000-00&amp;context=" TargetMode="External" /><Relationship Id="rId329" Type="http://schemas.openxmlformats.org/officeDocument/2006/relationships/hyperlink" Target="https://advance.lexis.com/api/document?collection=cases-ca&amp;id=urn:contentItem:5F7T-S6T1-F528-G113-00000-00&amp;context=" TargetMode="External" /><Relationship Id="rId33" Type="http://schemas.openxmlformats.org/officeDocument/2006/relationships/footer" Target="footer8.xml" /><Relationship Id="rId330" Type="http://schemas.openxmlformats.org/officeDocument/2006/relationships/hyperlink" Target="https://advance.lexis.com/api/document?collection=cases-ca&amp;id=urn:contentItem:5F7T-S6W1-F8SS-62K6-00000-00&amp;context=" TargetMode="External" /><Relationship Id="rId331" Type="http://schemas.openxmlformats.org/officeDocument/2006/relationships/hyperlink" Target="https://advance.lexis.com/api/document?collection=cases-ca&amp;id=urn:contentItem:5F8T-N3R1-JJSF-22WS-00000-00&amp;context=" TargetMode="External" /><Relationship Id="rId332" Type="http://schemas.openxmlformats.org/officeDocument/2006/relationships/hyperlink" Target="https://advance.lexis.com/api/document?collection=cases-ca&amp;id=urn:contentItem:5F7T-S741-F57G-S1KJ-00000-00&amp;context=" TargetMode="External" /><Relationship Id="rId333" Type="http://schemas.openxmlformats.org/officeDocument/2006/relationships/hyperlink" Target="https://advance.lexis.com/api/document?collection=cases-ca&amp;id=urn:contentItem:5F7T-S781-JSC5-M4GJ-00000-00&amp;context=" TargetMode="External" /><Relationship Id="rId334" Type="http://schemas.openxmlformats.org/officeDocument/2006/relationships/hyperlink" Target="https://advance.lexis.com/api/document?collection=cases-ca&amp;id=urn:contentItem:5F81-VJV1-FC6N-X2H6-00000-00&amp;context=" TargetMode="External" /><Relationship Id="rId335" Type="http://schemas.openxmlformats.org/officeDocument/2006/relationships/hyperlink" Target="https://advance.lexis.com/api/document?collection=cases-ca&amp;id=urn:contentItem:5F81-VJX1-JJYN-B4VK-00000-00&amp;context=" TargetMode="External" /><Relationship Id="rId336" Type="http://schemas.openxmlformats.org/officeDocument/2006/relationships/hyperlink" Target="https://advance.lexis.com/api/document?collection=cases-ca&amp;id=urn:contentItem:5F8T-N3V1-FC1F-M49J-00000-00&amp;context=" TargetMode="External" /><Relationship Id="rId337" Type="http://schemas.openxmlformats.org/officeDocument/2006/relationships/hyperlink" Target="https://advance.lexis.com/api/document?collection=cases-ca&amp;id=urn:contentItem:5F16-9351-JNY7-X34H-00000-00&amp;context=" TargetMode="External" /><Relationship Id="rId338" Type="http://schemas.openxmlformats.org/officeDocument/2006/relationships/hyperlink" Target="https://advance.lexis.com/api/document?collection=cases-ca&amp;id=urn:contentItem:5F81-VJX1-FGY5-M3DK-00000-00&amp;context=" TargetMode="External" /><Relationship Id="rId339" Type="http://schemas.openxmlformats.org/officeDocument/2006/relationships/hyperlink" Target="https://advance.lexis.com/api/document?collection=legislation-ca&amp;id=urn:contentItem:5W07-7G21-JP9P-G4PG-00000-00&amp;context=" TargetMode="External" /><Relationship Id="rId34" Type="http://schemas.openxmlformats.org/officeDocument/2006/relationships/header" Target="header9.xml" /><Relationship Id="rId340" Type="http://schemas.openxmlformats.org/officeDocument/2006/relationships/hyperlink" Target="https://advance.lexis.com/api/document?collection=cases-ca&amp;id=urn:contentItem:5F8T-N3V1-JF75-M3K6-00000-00&amp;context=" TargetMode="External" /><Relationship Id="rId341" Type="http://schemas.openxmlformats.org/officeDocument/2006/relationships/hyperlink" Target="https://advance.lexis.com/api/document?collection=cases-ca&amp;id=urn:contentItem:5F7T-S781-F7G6-63RB-00000-00&amp;context=" TargetMode="External" /><Relationship Id="rId342" Type="http://schemas.openxmlformats.org/officeDocument/2006/relationships/hyperlink" Target="https://advance.lexis.com/api/document?collection=cases-ca&amp;id=urn:contentItem:5F7T-S741-DXPM-S0WM-00000-00&amp;context=" TargetMode="External" /><Relationship Id="rId343" Type="http://schemas.openxmlformats.org/officeDocument/2006/relationships/hyperlink" Target="https://advance.lexis.com/api/document?collection=cases-ca&amp;id=urn:contentItem:5F8N-K6X1-JSXV-G1GW-00000-00&amp;context=" TargetMode="External" /><Relationship Id="rId344" Type="http://schemas.openxmlformats.org/officeDocument/2006/relationships/header" Target="header49.xml" /><Relationship Id="rId345" Type="http://schemas.openxmlformats.org/officeDocument/2006/relationships/header" Target="header50.xml" /><Relationship Id="rId346" Type="http://schemas.openxmlformats.org/officeDocument/2006/relationships/footer" Target="footer49.xml" /><Relationship Id="rId347" Type="http://schemas.openxmlformats.org/officeDocument/2006/relationships/footer" Target="footer50.xml" /><Relationship Id="rId348" Type="http://schemas.openxmlformats.org/officeDocument/2006/relationships/header" Target="header51.xml" /><Relationship Id="rId349" Type="http://schemas.openxmlformats.org/officeDocument/2006/relationships/footer" Target="footer51.xml" /><Relationship Id="rId35" Type="http://schemas.openxmlformats.org/officeDocument/2006/relationships/footer" Target="footer9.xml" /><Relationship Id="rId350" Type="http://schemas.openxmlformats.org/officeDocument/2006/relationships/hyperlink" Target="https://advance.lexis.com/api/document?collection=cases-ca&amp;id=urn:contentItem:5PWM-06C1-JX8W-M4YX-00000-00&amp;context=" TargetMode="External" /><Relationship Id="rId351" Type="http://schemas.openxmlformats.org/officeDocument/2006/relationships/hyperlink" Target="https://advance.lexis.com/api/document?collection=cases-ca&amp;id=urn:contentItem:5S2S-6Y71-JBDT-B4FY-00000-00&amp;context=" TargetMode="External" /><Relationship Id="rId352" Type="http://schemas.openxmlformats.org/officeDocument/2006/relationships/hyperlink" Target="https://advance.lexis.com/api/document?collection=cases-ca&amp;id=urn:contentItem:5G74-D9V1-F2TK-22F8-00000-00&amp;context=" TargetMode="External" /><Relationship Id="rId353" Type="http://schemas.openxmlformats.org/officeDocument/2006/relationships/hyperlink" Target="https://advance.lexis.com/api/document?collection=cases-ca&amp;id=urn:contentItem:5F7T-S7H1-JCRC-B0WX-00000-00&amp;context=" TargetMode="External" /><Relationship Id="rId354" Type="http://schemas.openxmlformats.org/officeDocument/2006/relationships/hyperlink" Target="https://advance.lexis.com/api/document?collection=cases-ca&amp;id=urn:contentItem:5F7T-S711-JG02-S1F6-00000-00&amp;context=" TargetMode="External" /><Relationship Id="rId355" Type="http://schemas.openxmlformats.org/officeDocument/2006/relationships/hyperlink" Target="https://advance.lexis.com/api/document?collection=cases-ca&amp;id=urn:contentItem:5F81-YH41-JX8W-M05P-00000-00&amp;context=" TargetMode="External" /><Relationship Id="rId356" Type="http://schemas.openxmlformats.org/officeDocument/2006/relationships/hyperlink" Target="https://advance.lexis.com/api/document?collection=cases-ca&amp;id=urn:contentItem:5F7T-S7M1-JNCK-22KP-00000-00&amp;context=" TargetMode="External" /><Relationship Id="rId357" Type="http://schemas.openxmlformats.org/officeDocument/2006/relationships/hyperlink" Target="https://advance.lexis.com/api/document?collection=cases-ca&amp;id=urn:contentItem:5F7T-S7K1-F528-G33M-00000-00&amp;context=" TargetMode="External" /><Relationship Id="rId358" Type="http://schemas.openxmlformats.org/officeDocument/2006/relationships/hyperlink" Target="https://advance.lexis.com/api/document?collection=cases-ca&amp;id=urn:contentItem:5F7T-S6R1-JF75-M28S-00000-00&amp;context=" TargetMode="External" /><Relationship Id="rId359" Type="http://schemas.openxmlformats.org/officeDocument/2006/relationships/hyperlink" Target="https://advance.lexis.com/api/document?collection=cases-ca&amp;id=urn:contentItem:5F7T-S7N1-JWR6-S2DF-00000-00&amp;context=" TargetMode="External" /><Relationship Id="rId36" Type="http://schemas.openxmlformats.org/officeDocument/2006/relationships/hyperlink" Target="https://advance.lexis.com/api/document?collection=cases-ca&amp;id=urn:contentItem:5F7T-S7N1-JWR6-S276-00000-00&amp;context=" TargetMode="External" /><Relationship Id="rId360" Type="http://schemas.openxmlformats.org/officeDocument/2006/relationships/hyperlink" Target="https://advance.lexis.com/api/document?collection=cases-ca&amp;id=urn:contentItem:5F7T-S7D1-FC6N-X0G8-00000-00&amp;context=" TargetMode="External" /><Relationship Id="rId361" Type="http://schemas.openxmlformats.org/officeDocument/2006/relationships/hyperlink" Target="https://advance.lexis.com/api/document?collection=cases-ca&amp;id=urn:contentItem:5F7T-S7G1-JPP5-21X8-00000-00&amp;context=" TargetMode="External" /><Relationship Id="rId362" Type="http://schemas.openxmlformats.org/officeDocument/2006/relationships/hyperlink" Target="https://advance.lexis.com/api/document?collection=cases-ca&amp;id=urn:contentItem:5F7T-S7J1-JYYX-6229-00000-00&amp;context=" TargetMode="External" /><Relationship Id="rId363" Type="http://schemas.openxmlformats.org/officeDocument/2006/relationships/hyperlink" Target="https://advance.lexis.com/api/document?collection=cases-ca&amp;id=urn:contentItem:5K56-XS31-FC6N-X38H-00000-00&amp;context=" TargetMode="External" /><Relationship Id="rId364" Type="http://schemas.openxmlformats.org/officeDocument/2006/relationships/hyperlink" Target="https://advance.lexis.com/api/document?collection=cases-ca&amp;id=urn:contentItem:5F7T-S7K1-JX3N-B32B-00000-00&amp;context=" TargetMode="External" /><Relationship Id="rId365" Type="http://schemas.openxmlformats.org/officeDocument/2006/relationships/hyperlink" Target="https://advance.lexis.com/api/document?collection=cases-ca&amp;id=urn:contentItem:5F7T-S7G1-JX3N-B2FT-00000-00&amp;context=" TargetMode="External" /><Relationship Id="rId366" Type="http://schemas.openxmlformats.org/officeDocument/2006/relationships/hyperlink" Target="https://advance.lexis.com/api/document?collection=cases-ca&amp;id=urn:contentItem:5F7T-S741-DY89-M3NS-00000-00&amp;context=" TargetMode="External" /><Relationship Id="rId367" Type="http://schemas.openxmlformats.org/officeDocument/2006/relationships/hyperlink" Target="https://advance.lexis.com/api/document?collection=cases-ca&amp;id=urn:contentItem:5F8T-N3V1-JTGH-B19N-00000-00&amp;context=" TargetMode="External" /><Relationship Id="rId368" Type="http://schemas.openxmlformats.org/officeDocument/2006/relationships/hyperlink" Target="https://advance.lexis.com/api/document?collection=cases-ca&amp;id=urn:contentItem:5J17-B4D1-F7VM-S41C-00000-00&amp;context=" TargetMode="External" /><Relationship Id="rId369" Type="http://schemas.openxmlformats.org/officeDocument/2006/relationships/hyperlink" Target="https://advance.lexis.com/api/document?collection=cases-ca&amp;id=urn:contentItem:5F7T-S7D1-DY89-M43H-00000-00&amp;context=" TargetMode="External" /><Relationship Id="rId37" Type="http://schemas.openxmlformats.org/officeDocument/2006/relationships/hyperlink" Target="https://advance.lexis.com/api/document?collection=cases-ca&amp;id=urn:contentItem:5K6Y-81N1-JN14-G21N-00000-00&amp;context=" TargetMode="External" /><Relationship Id="rId370" Type="http://schemas.openxmlformats.org/officeDocument/2006/relationships/hyperlink" Target="https://advance.lexis.com/api/document?collection=cases-ca&amp;id=urn:contentItem:5F7T-S791-JCJ5-2546-00000-00&amp;context=" TargetMode="External" /><Relationship Id="rId371" Type="http://schemas.openxmlformats.org/officeDocument/2006/relationships/hyperlink" Target="https://advance.lexis.com/api/document?collection=cases-ca&amp;id=urn:contentItem:5F7T-S7H1-FCSB-S3NS-00000-00&amp;context=" TargetMode="External" /><Relationship Id="rId372" Type="http://schemas.openxmlformats.org/officeDocument/2006/relationships/hyperlink" Target="https://advance.lexis.com/api/document?collection=cases-ca&amp;id=urn:contentItem:5G3H-VVF1-JSRM-62N9-00000-00&amp;context=" TargetMode="External" /><Relationship Id="rId373" Type="http://schemas.openxmlformats.org/officeDocument/2006/relationships/hyperlink" Target="https://advance.lexis.com/api/document?collection=cases-ca&amp;id=urn:contentItem:5J0C-MF51-JSXV-G2N2-00000-00&amp;context=" TargetMode="External" /><Relationship Id="rId374" Type="http://schemas.openxmlformats.org/officeDocument/2006/relationships/hyperlink" Target="https://advance.lexis.com/api/document?collection=cases-ca&amp;id=urn:contentItem:5JXC-X5T1-F8SS-616V-00000-00&amp;context=" TargetMode="External" /><Relationship Id="rId375" Type="http://schemas.openxmlformats.org/officeDocument/2006/relationships/hyperlink" Target="https://advance.lexis.com/api/document?collection=cases-ca&amp;id=urn:contentItem:5F7T-S7F1-FBN1-21V5-00000-00&amp;context=" TargetMode="External" /><Relationship Id="rId376" Type="http://schemas.openxmlformats.org/officeDocument/2006/relationships/hyperlink" Target="https://advance.lexis.com/api/document?collection=cases-ca&amp;id=urn:contentItem:5K63-1M81-FCK4-G039-00000-00&amp;context=" TargetMode="External" /><Relationship Id="rId377" Type="http://schemas.openxmlformats.org/officeDocument/2006/relationships/hyperlink" Target="https://advance.lexis.com/api/document?collection=cases-ca&amp;id=urn:contentItem:5F7T-S741-F528-G2J5-00000-00&amp;context=" TargetMode="External" /><Relationship Id="rId378" Type="http://schemas.openxmlformats.org/officeDocument/2006/relationships/hyperlink" Target="https://advance.lexis.com/api/document?collection=cases-ca&amp;id=urn:contentItem:5F7T-S7D1-FBFS-S1M7-00000-00&amp;context=" TargetMode="External" /><Relationship Id="rId379" Type="http://schemas.openxmlformats.org/officeDocument/2006/relationships/hyperlink" Target="https://advance.lexis.com/api/document?collection=cases-ca&amp;id=urn:contentItem:5F7T-S7D1-JN6B-S131-00000-00&amp;context=" TargetMode="External" /><Relationship Id="rId38" Type="http://schemas.openxmlformats.org/officeDocument/2006/relationships/hyperlink" Target="https://advance.lexis.com/api/document?collection=legislation-ca&amp;id=urn:contentItem:5F41-1FG1-FC1F-M0TW-00000-00&amp;context=" TargetMode="External" /><Relationship Id="rId380" Type="http://schemas.openxmlformats.org/officeDocument/2006/relationships/hyperlink" Target="https://advance.lexis.com/api/document?collection=cases-ca&amp;id=urn:contentItem:5F7T-S7N1-F57G-S2MR-00000-00&amp;context=" TargetMode="External" /><Relationship Id="rId381" Type="http://schemas.openxmlformats.org/officeDocument/2006/relationships/hyperlink" Target="https://advance.lexis.com/api/document?collection=cases-ca&amp;id=urn:contentItem:5F7T-S7M1-JFSV-G3BR-00000-00&amp;context=" TargetMode="External" /><Relationship Id="rId382" Type="http://schemas.openxmlformats.org/officeDocument/2006/relationships/hyperlink" Target="https://advance.lexis.com/api/document?collection=cases-ca&amp;id=urn:contentItem:5F7T-S7K1-F1H1-222V-00000-00&amp;context=" TargetMode="External" /><Relationship Id="rId383" Type="http://schemas.openxmlformats.org/officeDocument/2006/relationships/hyperlink" Target="https://advance.lexis.com/api/document?collection=cases-ca&amp;id=urn:contentItem:5F7T-S7P1-JBDT-B187-00000-00&amp;context=" TargetMode="External" /><Relationship Id="rId384" Type="http://schemas.openxmlformats.org/officeDocument/2006/relationships/hyperlink" Target="https://advance.lexis.com/api/document?collection=cases-ca&amp;id=urn:contentItem:5F7T-S7C1-F4NT-X42Y-00000-00&amp;context=" TargetMode="External" /><Relationship Id="rId385" Type="http://schemas.openxmlformats.org/officeDocument/2006/relationships/hyperlink" Target="https://advance.lexis.com/api/document?collection=cases-ca&amp;id=urn:contentItem:5F7T-S7N1-DXWW-209Y-00000-00&amp;context=" TargetMode="External" /><Relationship Id="rId386" Type="http://schemas.openxmlformats.org/officeDocument/2006/relationships/hyperlink" Target="https://advance.lexis.com/api/document?collection=cases-ca&amp;id=urn:contentItem:5F8T-N3T1-JJSF-2361-00000-00&amp;context=" TargetMode="External" /><Relationship Id="rId387" Type="http://schemas.openxmlformats.org/officeDocument/2006/relationships/hyperlink" Target="https://advance.lexis.com/api/document?collection=cases-ca&amp;id=urn:contentItem:5F81-VJV1-F8D9-M0SJ-00000-00&amp;context=" TargetMode="External" /><Relationship Id="rId388" Type="http://schemas.openxmlformats.org/officeDocument/2006/relationships/hyperlink" Target="https://advance.lexis.com/api/document?collection=cases-ca&amp;id=urn:contentItem:5F81-VJX1-F5T5-M3YH-00000-00&amp;context=" TargetMode="External" /><Relationship Id="rId389" Type="http://schemas.openxmlformats.org/officeDocument/2006/relationships/hyperlink" Target="https://advance.lexis.com/api/document?collection=cases-ca&amp;id=urn:contentItem:5F7T-S731-FFFC-B0K2-00000-00&amp;context=" TargetMode="External" /><Relationship Id="rId39" Type="http://schemas.openxmlformats.org/officeDocument/2006/relationships/hyperlink" Target="https://advance.lexis.com/api/document?collection=cases-ca&amp;id=urn:contentItem:5F7T-S7D1-JXG3-X0PB-00000-00&amp;context=" TargetMode="External" /><Relationship Id="rId390" Type="http://schemas.openxmlformats.org/officeDocument/2006/relationships/hyperlink" Target="https://advance.lexis.com/api/document?collection=cases-ca&amp;id=urn:contentItem:5F7T-S7P1-JSJC-X1SJ-00000-00&amp;context=" TargetMode="External" /><Relationship Id="rId391" Type="http://schemas.openxmlformats.org/officeDocument/2006/relationships/hyperlink" Target="https://advance.lexis.com/api/document?collection=cases-ca&amp;id=urn:contentItem:5F7T-S771-F81W-22VS-00000-00&amp;context=" TargetMode="External" /><Relationship Id="rId392" Type="http://schemas.openxmlformats.org/officeDocument/2006/relationships/hyperlink" Target="https://advance.lexis.com/api/document?collection=cases-ca&amp;id=urn:contentItem:5F7T-S761-JX8W-M313-00000-00&amp;context=" TargetMode="External" /><Relationship Id="rId393" Type="http://schemas.openxmlformats.org/officeDocument/2006/relationships/header" Target="header52.xml" /><Relationship Id="rId394" Type="http://schemas.openxmlformats.org/officeDocument/2006/relationships/header" Target="header53.xml" /><Relationship Id="rId395" Type="http://schemas.openxmlformats.org/officeDocument/2006/relationships/footer" Target="footer52.xml" /><Relationship Id="rId396" Type="http://schemas.openxmlformats.org/officeDocument/2006/relationships/footer" Target="footer53.xml" /><Relationship Id="rId397" Type="http://schemas.openxmlformats.org/officeDocument/2006/relationships/header" Target="header54.xml" /><Relationship Id="rId398" Type="http://schemas.openxmlformats.org/officeDocument/2006/relationships/footer" Target="footer54.xml" /><Relationship Id="rId399" Type="http://schemas.openxmlformats.org/officeDocument/2006/relationships/hyperlink" Target="https://advance.lexis.com/api/document?collection=cases-ca&amp;id=urn:contentItem:5X9Y-P6S1-F873-B00C-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M1-DYMS-62JJ-00000-00&amp;context=" TargetMode="External" /><Relationship Id="rId400" Type="http://schemas.openxmlformats.org/officeDocument/2006/relationships/hyperlink" Target="https://advance.lexis.com/api/document?collection=cases-ca&amp;id=urn:contentItem:5YFR-J3Y1-JGBH-B390-00000-00&amp;context=" TargetMode="External" /><Relationship Id="rId401" Type="http://schemas.openxmlformats.org/officeDocument/2006/relationships/hyperlink" Target="https://advance.lexis.com/api/document?collection=cases-ca&amp;id=urn:contentItem:5F8T-N3T1-JJSF-2339-00000-00&amp;context=" TargetMode="External" /><Relationship Id="rId402" Type="http://schemas.openxmlformats.org/officeDocument/2006/relationships/hyperlink" Target="https://advance.lexis.com/api/document?collection=legislation-ca&amp;id=urn:contentItem:5F41-1FJ1-JPGX-S03R-00000-00&amp;context=" TargetMode="External" /><Relationship Id="rId403" Type="http://schemas.openxmlformats.org/officeDocument/2006/relationships/hyperlink" Target="https://advance.lexis.com/api/document?collection=cases-ca&amp;id=urn:contentItem:5F7T-S7P1-JBDT-B196-00000-00&amp;context=" TargetMode="External" /><Relationship Id="rId404" Type="http://schemas.openxmlformats.org/officeDocument/2006/relationships/hyperlink" Target="https://advance.lexis.com/api/document?collection=cases-ca&amp;id=urn:contentItem:5F8T-N3V1-FC1F-M41J-00000-00&amp;context=" TargetMode="External" /><Relationship Id="rId405" Type="http://schemas.openxmlformats.org/officeDocument/2006/relationships/hyperlink" Target="https://advance.lexis.com/api/document?collection=cases-ca&amp;id=urn:contentItem:5F7T-S771-JWBS-61CR-00000-00&amp;context=" TargetMode="External" /><Relationship Id="rId406" Type="http://schemas.openxmlformats.org/officeDocument/2006/relationships/hyperlink" Target="https://advance.lexis.com/api/document?collection=legislation-ca&amp;id=urn:contentItem:5W2C-X5G1-JJYN-B448-00000-00&amp;context=" TargetMode="External" /><Relationship Id="rId407" Type="http://schemas.openxmlformats.org/officeDocument/2006/relationships/hyperlink" Target="https://advance.lexis.com/api/document?collection=cases-ca&amp;id=urn:contentItem:5F8T-N3T1-JGHR-M278-00000-00&amp;context=" TargetMode="External" /><Relationship Id="rId408" Type="http://schemas.openxmlformats.org/officeDocument/2006/relationships/hyperlink" Target="https://advance.lexis.com/api/document?collection=cases-ca&amp;id=urn:contentItem:5F7T-S771-JTGH-B11S-00000-00&amp;context=" TargetMode="External" /><Relationship Id="rId409" Type="http://schemas.openxmlformats.org/officeDocument/2006/relationships/hyperlink" Target="https://advance.lexis.com/api/document?collection=cases-ca&amp;id=urn:contentItem:5F7T-S781-JSC5-M4CB-00000-00&amp;context=" TargetMode="External" /><Relationship Id="rId41" Type="http://schemas.openxmlformats.org/officeDocument/2006/relationships/hyperlink" Target="https://advance.lexis.com/api/document?collection=cases-ca&amp;id=urn:contentItem:5F7T-S6W1-JYYX-61WY-00000-00&amp;context=" TargetMode="External" /><Relationship Id="rId410" Type="http://schemas.openxmlformats.org/officeDocument/2006/relationships/hyperlink" Target="https://advance.lexis.com/api/document?collection=cases-ca&amp;id=urn:contentItem:5F81-VJT1-JK4W-M4BX-00000-00&amp;context=" TargetMode="External" /><Relationship Id="rId411" Type="http://schemas.openxmlformats.org/officeDocument/2006/relationships/hyperlink" Target="https://advance.lexis.com/api/document?collection=cases-ca&amp;id=urn:contentItem:5F7T-S7H1-JFKM-626F-00000-00&amp;context=" TargetMode="External" /><Relationship Id="rId412" Type="http://schemas.openxmlformats.org/officeDocument/2006/relationships/hyperlink" Target="https://advance.lexis.com/api/document?collection=cases-ca&amp;id=urn:contentItem:5F7T-S7C1-F30T-B235-00000-00&amp;context=" TargetMode="External" /><Relationship Id="rId413" Type="http://schemas.openxmlformats.org/officeDocument/2006/relationships/hyperlink" Target="https://advance.lexis.com/api/document?collection=cases-ca&amp;id=urn:contentItem:5S5H-MS61-JP4G-63YW-00000-00&amp;context=" TargetMode="External" /><Relationship Id="rId414" Type="http://schemas.openxmlformats.org/officeDocument/2006/relationships/hyperlink" Target="https://advance.lexis.com/api/document?collection=cases-ca&amp;id=urn:contentItem:5F16-93C1-JSJC-X4TB-00000-00&amp;context=" TargetMode="External" /><Relationship Id="rId415" Type="http://schemas.openxmlformats.org/officeDocument/2006/relationships/hyperlink" Target="https://advance.lexis.com/api/document?collection=cases-ca&amp;id=urn:contentItem:5F7T-S7G1-FCYK-20G3-00000-00&amp;context=" TargetMode="External" /><Relationship Id="rId416" Type="http://schemas.openxmlformats.org/officeDocument/2006/relationships/hyperlink" Target="https://advance.lexis.com/api/document?collection=cases-ca&amp;id=urn:contentItem:5F7T-S7C1-F4NT-X3TV-00000-00&amp;context=" TargetMode="External" /><Relationship Id="rId417" Type="http://schemas.openxmlformats.org/officeDocument/2006/relationships/hyperlink" Target="https://advance.lexis.com/api/document?collection=cases-ca&amp;id=urn:contentItem:5F8T-N3V1-FH4C-X20M-00000-00&amp;context=" TargetMode="External" /><Relationship Id="rId418" Type="http://schemas.openxmlformats.org/officeDocument/2006/relationships/hyperlink" Target="https://advance.lexis.com/api/document?collection=cases-ca&amp;id=urn:contentItem:5F7T-S7J1-DXWW-251K-00000-00&amp;context=" TargetMode="External" /><Relationship Id="rId419" Type="http://schemas.openxmlformats.org/officeDocument/2006/relationships/hyperlink" Target="https://advance.lexis.com/api/document?collection=cases-ca&amp;id=urn:contentItem:5F7T-S7J1-JYYX-624K-00000-00&amp;context=" TargetMode="External" /><Relationship Id="rId42" Type="http://schemas.openxmlformats.org/officeDocument/2006/relationships/hyperlink" Target="https://advance.lexis.com/api/document?collection=cases-ca&amp;id=urn:contentItem:5F7T-S6X1-F7ND-G3V4-00000-00&amp;context=" TargetMode="External" /><Relationship Id="rId420" Type="http://schemas.openxmlformats.org/officeDocument/2006/relationships/hyperlink" Target="https://advance.lexis.com/api/document?collection=legislation-ca&amp;id=urn:contentItem:5F41-1FJ1-JBDT-B066-00000-00&amp;context=" TargetMode="External" /><Relationship Id="rId421" Type="http://schemas.openxmlformats.org/officeDocument/2006/relationships/hyperlink" Target="https://advance.lexis.com/api/document?collection=cases-ca&amp;id=urn:contentItem:5F7T-S751-JBM1-M2CY-00000-00&amp;context=" TargetMode="External" /><Relationship Id="rId422" Type="http://schemas.openxmlformats.org/officeDocument/2006/relationships/hyperlink" Target="https://advance.lexis.com/api/document?collection=cases-ca&amp;id=urn:contentItem:5F7T-S771-JTGH-B136-00000-00&amp;context=" TargetMode="External" /><Relationship Id="rId423" Type="http://schemas.openxmlformats.org/officeDocument/2006/relationships/hyperlink" Target="https://advance.lexis.com/api/document?collection=cases-ca&amp;id=urn:contentItem:5F7T-S7F1-FBN1-21XT-00000-00&amp;context=" TargetMode="External" /><Relationship Id="rId424" Type="http://schemas.openxmlformats.org/officeDocument/2006/relationships/hyperlink" Target="https://advance.lexis.com/api/document?collection=cases-ca&amp;id=urn:contentItem:5F7T-S7N1-F06F-24BC-00000-00&amp;context=" TargetMode="External" /><Relationship Id="rId425" Type="http://schemas.openxmlformats.org/officeDocument/2006/relationships/hyperlink" Target="https://advance.lexis.com/api/document?collection=cases-ca&amp;id=urn:contentItem:5F7T-S6W1-JB7K-21F4-00000-00&amp;context=" TargetMode="External" /><Relationship Id="rId426" Type="http://schemas.openxmlformats.org/officeDocument/2006/relationships/hyperlink" Target="https://advance.lexis.com/api/document?collection=cases-ca&amp;id=urn:contentItem:5F7T-S6X1-JTNR-M3X3-00000-00&amp;context=" TargetMode="External" /><Relationship Id="rId427" Type="http://schemas.openxmlformats.org/officeDocument/2006/relationships/hyperlink" Target="https://advance.lexis.com/api/document?collection=cases-ca&amp;id=urn:contentItem:5F8T-N3T1-JJSF-234V-00000-00&amp;context=" TargetMode="External" /><Relationship Id="rId428" Type="http://schemas.openxmlformats.org/officeDocument/2006/relationships/hyperlink" Target="https://advance.lexis.com/api/document?collection=cases-ca&amp;id=urn:contentItem:5F7T-S7H1-FCSB-S37V-00000-00&amp;context=" TargetMode="External" /><Relationship Id="rId429" Type="http://schemas.openxmlformats.org/officeDocument/2006/relationships/hyperlink" Target="https://advance.lexis.com/api/document?collection=cases-ca&amp;id=urn:contentItem:5F7T-S7M1-JNCK-22CF-00000-00&amp;context=" TargetMode="External" /><Relationship Id="rId43" Type="http://schemas.openxmlformats.org/officeDocument/2006/relationships/hyperlink" Target="https://advance.lexis.com/api/document?collection=cases-ca&amp;id=urn:contentItem:5F7T-S741-F528-G21K-00000-00&amp;context=" TargetMode="External" /><Relationship Id="rId430" Type="http://schemas.openxmlformats.org/officeDocument/2006/relationships/hyperlink" Target="https://advance.lexis.com/api/document?collection=cases-ca&amp;id=urn:contentItem:5F7T-S771-JSJC-X038-00000-00&amp;context=" TargetMode="External" /><Relationship Id="rId431" Type="http://schemas.openxmlformats.org/officeDocument/2006/relationships/hyperlink" Target="https://advance.lexis.com/api/document?collection=cases-ca&amp;id=urn:contentItem:5J0S-XNW1-F7G6-62F2-00000-00&amp;context=" TargetMode="External" /><Relationship Id="rId432" Type="http://schemas.openxmlformats.org/officeDocument/2006/relationships/hyperlink" Target="https://advance.lexis.com/api/document?collection=cases-ca&amp;id=urn:contentItem:5F7T-S6Y1-JPP5-21CX-00000-00&amp;context=" TargetMode="External" /><Relationship Id="rId433" Type="http://schemas.openxmlformats.org/officeDocument/2006/relationships/hyperlink" Target="https://advance.lexis.com/api/document?collection=cases-ca&amp;id=urn:contentItem:5F7T-S711-F27X-60J6-00000-00&amp;context=" TargetMode="External" /><Relationship Id="rId434" Type="http://schemas.openxmlformats.org/officeDocument/2006/relationships/hyperlink" Target="https://advance.lexis.com/api/document?collection=cases-ca&amp;id=urn:contentItem:5F7T-S711-JB2B-S121-00000-00&amp;context=" TargetMode="External" /><Relationship Id="rId435" Type="http://schemas.openxmlformats.org/officeDocument/2006/relationships/hyperlink" Target="https://advance.lexis.com/api/document?collection=cases-ca&amp;id=urn:contentItem:5F8T-N3V1-JF75-M3BV-00000-00&amp;context=" TargetMode="External" /><Relationship Id="rId436" Type="http://schemas.openxmlformats.org/officeDocument/2006/relationships/hyperlink" Target="https://advance.lexis.com/api/document?collection=cases-ca&amp;id=urn:contentItem:5F7T-S6V1-JC0G-6257-00000-00&amp;context=" TargetMode="External" /><Relationship Id="rId437" Type="http://schemas.openxmlformats.org/officeDocument/2006/relationships/hyperlink" Target="https://advance.lexis.com/api/document?collection=cases-ca&amp;id=urn:contentItem:5F7T-S6W1-F528-G1W4-00000-00&amp;context=" TargetMode="External" /><Relationship Id="rId438" Type="http://schemas.openxmlformats.org/officeDocument/2006/relationships/hyperlink" Target="https://advance.lexis.com/api/document?collection=cases-ca&amp;id=urn:contentItem:5F8T-N3R1-JJSF-22JX-00000-00&amp;context=" TargetMode="External" /><Relationship Id="rId439" Type="http://schemas.openxmlformats.org/officeDocument/2006/relationships/hyperlink" Target="https://advance.lexis.com/api/document?collection=cases-ca&amp;id=urn:contentItem:5F7T-S751-JX3N-B0S9-00000-00&amp;context=" TargetMode="External" /><Relationship Id="rId44" Type="http://schemas.openxmlformats.org/officeDocument/2006/relationships/hyperlink" Target="https://advance.lexis.com/api/document?collection=cases-ca&amp;id=urn:contentItem:5F7T-S7F1-JFKM-61TY-00000-00&amp;context=" TargetMode="External" /><Relationship Id="rId440" Type="http://schemas.openxmlformats.org/officeDocument/2006/relationships/hyperlink" Target="https://advance.lexis.com/api/document?collection=cases-ca&amp;id=urn:contentItem:5F7T-S781-JSC5-M4GD-00000-00&amp;context=" TargetMode="External" /><Relationship Id="rId441" Type="http://schemas.openxmlformats.org/officeDocument/2006/relationships/hyperlink" Target="https://advance.lexis.com/api/document?collection=cases-ca&amp;id=urn:contentItem:5F7T-S7J1-FGCG-S0DV-00000-00&amp;context=" TargetMode="External" /><Relationship Id="rId442" Type="http://schemas.openxmlformats.org/officeDocument/2006/relationships/header" Target="header55.xml" /><Relationship Id="rId443" Type="http://schemas.openxmlformats.org/officeDocument/2006/relationships/header" Target="header56.xml" /><Relationship Id="rId444" Type="http://schemas.openxmlformats.org/officeDocument/2006/relationships/footer" Target="footer55.xml" /><Relationship Id="rId445" Type="http://schemas.openxmlformats.org/officeDocument/2006/relationships/footer" Target="footer56.xml" /><Relationship Id="rId446" Type="http://schemas.openxmlformats.org/officeDocument/2006/relationships/header" Target="header57.xml" /><Relationship Id="rId447" Type="http://schemas.openxmlformats.org/officeDocument/2006/relationships/footer" Target="footer57.xml" /><Relationship Id="rId448" Type="http://schemas.openxmlformats.org/officeDocument/2006/relationships/hyperlink" Target="https://advance.lexis.com/api/document?collection=cases-ca&amp;id=urn:contentItem:5F7T-S7P1-F2TK-23K1-00000-00&amp;context=" TargetMode="External" /><Relationship Id="rId449" Type="http://schemas.openxmlformats.org/officeDocument/2006/relationships/hyperlink" Target="https://advance.lexis.com/api/document?collection=legislation-ca&amp;id=urn:contentItem:5F41-1FH1-F361-M0F5-00000-00&amp;context=" TargetMode="External" /><Relationship Id="rId45" Type="http://schemas.openxmlformats.org/officeDocument/2006/relationships/hyperlink" Target="https://advance.lexis.com/api/document?collection=cases-ca&amp;id=urn:contentItem:5F7T-S781-FH4C-X2MP-00000-00&amp;context=" TargetMode="External" /><Relationship Id="rId450" Type="http://schemas.openxmlformats.org/officeDocument/2006/relationships/hyperlink" Target="https://advance.lexis.com/api/document?collection=cases-ca&amp;id=urn:contentItem:5F7T-S7K1-JX3N-B2V4-00000-00&amp;context=" TargetMode="External" /><Relationship Id="rId451" Type="http://schemas.openxmlformats.org/officeDocument/2006/relationships/hyperlink" Target="https://advance.lexis.com/api/document?collection=cases-ca&amp;id=urn:contentItem:5F7T-S7N1-F06F-24KX-00000-00&amp;context=" TargetMode="External" /><Relationship Id="rId452" Type="http://schemas.openxmlformats.org/officeDocument/2006/relationships/hyperlink" Target="https://advance.lexis.com/api/document?collection=cases-ca&amp;id=urn:contentItem:5F8T-N3P1-F7ND-G14C-00000-00&amp;context=" TargetMode="External" /><Relationship Id="rId453" Type="http://schemas.openxmlformats.org/officeDocument/2006/relationships/hyperlink" Target="https://advance.lexis.com/api/document?collection=cases-ca&amp;id=urn:contentItem:5F81-YGW1-DYFH-X025-00000-00&amp;context=" TargetMode="External" /><Relationship Id="rId454" Type="http://schemas.openxmlformats.org/officeDocument/2006/relationships/hyperlink" Target="https://advance.lexis.com/api/document?collection=cases-ca&amp;id=urn:contentItem:5F8P-SC71-JK4W-M2MK-00000-00&amp;context=" TargetMode="External" /><Relationship Id="rId455" Type="http://schemas.openxmlformats.org/officeDocument/2006/relationships/hyperlink" Target="https://advance.lexis.com/api/document?collection=cases-ca&amp;id=urn:contentItem:5F7T-S7G1-JBT7-X40C-00000-00&amp;context=" TargetMode="External" /><Relationship Id="rId456" Type="http://schemas.openxmlformats.org/officeDocument/2006/relationships/hyperlink" Target="https://advance.lexis.com/api/document?collection=cases-ca&amp;id=urn:contentItem:5F8T-N3V1-JF75-M3WX-00000-00&amp;context=" TargetMode="External" /><Relationship Id="rId457" Type="http://schemas.openxmlformats.org/officeDocument/2006/relationships/hyperlink" Target="https://advance.lexis.com/api/document?collection=cases-ca&amp;id=urn:contentItem:5F7T-S741-DY89-M3BS-00000-00&amp;context=" TargetMode="External" /><Relationship Id="rId458" Type="http://schemas.openxmlformats.org/officeDocument/2006/relationships/hyperlink" Target="https://advance.lexis.com/api/document?collection=cases-ca&amp;id=urn:contentItem:5F7T-S6W1-JYYX-61N3-00000-00&amp;context=" TargetMode="External" /><Relationship Id="rId459" Type="http://schemas.openxmlformats.org/officeDocument/2006/relationships/hyperlink" Target="https://advance.lexis.com/api/document?collection=cases-ca&amp;id=urn:contentItem:5F7T-S7N1-JWR6-S2JD-00000-00&amp;context=" TargetMode="External" /><Relationship Id="rId46" Type="http://schemas.openxmlformats.org/officeDocument/2006/relationships/hyperlink" Target="https://advance.lexis.com/api/document?collection=cases-ca&amp;id=urn:contentItem:5F7T-S771-JW5H-X24J-00000-00&amp;context=" TargetMode="External" /><Relationship Id="rId460" Type="http://schemas.openxmlformats.org/officeDocument/2006/relationships/hyperlink" Target="https://advance.lexis.com/api/document?collection=cases-ca&amp;id=urn:contentItem:5F7T-S7M1-DYMS-626F-00000-00&amp;context=" TargetMode="External" /><Relationship Id="rId461" Type="http://schemas.openxmlformats.org/officeDocument/2006/relationships/hyperlink" Target="https://advance.lexis.com/api/document?collection=cases-ca&amp;id=urn:contentItem:5F7T-S7D1-FFFC-B1HB-00000-00&amp;context=" TargetMode="External" /><Relationship Id="rId462" Type="http://schemas.openxmlformats.org/officeDocument/2006/relationships/hyperlink" Target="https://advance.lexis.com/api/document?collection=cases-ca&amp;id=urn:contentItem:5F7T-S7M1-DYMS-626K-00000-00&amp;context=" TargetMode="External" /><Relationship Id="rId463" Type="http://schemas.openxmlformats.org/officeDocument/2006/relationships/hyperlink" Target="https://advance.lexis.com/api/document?collection=cases-ca&amp;id=urn:contentItem:5F7T-S7M1-JNCK-22H0-00000-00&amp;context=" TargetMode="External" /><Relationship Id="rId464" Type="http://schemas.openxmlformats.org/officeDocument/2006/relationships/header" Target="header58.xml" /><Relationship Id="rId465" Type="http://schemas.openxmlformats.org/officeDocument/2006/relationships/header" Target="header59.xml" /><Relationship Id="rId466" Type="http://schemas.openxmlformats.org/officeDocument/2006/relationships/footer" Target="footer58.xml" /><Relationship Id="rId467" Type="http://schemas.openxmlformats.org/officeDocument/2006/relationships/footer" Target="footer59.xml" /><Relationship Id="rId468" Type="http://schemas.openxmlformats.org/officeDocument/2006/relationships/header" Target="header60.xml" /><Relationship Id="rId469" Type="http://schemas.openxmlformats.org/officeDocument/2006/relationships/footer" Target="footer60.xml" /><Relationship Id="rId47" Type="http://schemas.openxmlformats.org/officeDocument/2006/relationships/hyperlink" Target="https://advance.lexis.com/api/document?collection=cases-ca&amp;id=urn:contentItem:5F7T-S771-JW5H-X1S9-00000-00&amp;context=" TargetMode="External" /><Relationship Id="rId470" Type="http://schemas.openxmlformats.org/officeDocument/2006/relationships/hyperlink" Target="https://advance.lexis.com/api/document?collection=cases-ca&amp;id=urn:contentItem:5P28-FHM1-F8D9-M0KM-00000-00&amp;context=" TargetMode="External" /><Relationship Id="rId471" Type="http://schemas.openxmlformats.org/officeDocument/2006/relationships/hyperlink" Target="https://advance.lexis.com/api/document?collection=cases-ca&amp;id=urn:contentItem:5F7T-S741-F1H1-21RG-00000-00&amp;context=" TargetMode="External" /><Relationship Id="rId472" Type="http://schemas.openxmlformats.org/officeDocument/2006/relationships/hyperlink" Target="https://advance.lexis.com/api/document?collection=cases-ca&amp;id=urn:contentItem:5F7T-S771-F361-M1HH-00000-00&amp;context=" TargetMode="External" /><Relationship Id="rId473" Type="http://schemas.openxmlformats.org/officeDocument/2006/relationships/hyperlink" Target="https://advance.lexis.com/api/document?collection=cases-ca&amp;id=urn:contentItem:5F7T-S721-F06F-2327-00000-00&amp;context=" TargetMode="External" /><Relationship Id="rId474" Type="http://schemas.openxmlformats.org/officeDocument/2006/relationships/hyperlink" Target="https://advance.lexis.com/api/document?collection=cases-ca&amp;id=urn:contentItem:5F81-VJX1-JX3N-B1DY-00000-00&amp;context=" TargetMode="External" /><Relationship Id="rId475" Type="http://schemas.openxmlformats.org/officeDocument/2006/relationships/hyperlink" Target="https://advance.lexis.com/api/document?collection=cases-ca&amp;id=urn:contentItem:5F7T-S711-JNS1-M10G-00000-00&amp;context=" TargetMode="External" /><Relationship Id="rId476" Type="http://schemas.openxmlformats.org/officeDocument/2006/relationships/hyperlink" Target="https://advance.lexis.com/api/document?collection=cases-ca&amp;id=urn:contentItem:5F7T-S7N1-JGHR-M3GB-00000-00&amp;context=" TargetMode="External" /><Relationship Id="rId477" Type="http://schemas.openxmlformats.org/officeDocument/2006/relationships/hyperlink" Target="https://advance.lexis.com/api/document?collection=cases-ca&amp;id=urn:contentItem:5H54-K961-F8D9-M18X-00000-00&amp;context=" TargetMode="External" /><Relationship Id="rId478" Type="http://schemas.openxmlformats.org/officeDocument/2006/relationships/hyperlink" Target="https://advance.lexis.com/api/document?collection=cases-ca&amp;id=urn:contentItem:5F7T-S7H1-JG02-S3SY-00000-00&amp;context=" TargetMode="External" /><Relationship Id="rId479" Type="http://schemas.openxmlformats.org/officeDocument/2006/relationships/hyperlink" Target="https://advance.lexis.com/api/document?collection=cases-ca&amp;id=urn:contentItem:5F7T-S7J1-JNS1-M214-00000-00&amp;context=" TargetMode="External" /><Relationship Id="rId48" Type="http://schemas.openxmlformats.org/officeDocument/2006/relationships/hyperlink" Target="https://advance.lexis.com/api/document?collection=cases-ca&amp;id=urn:contentItem:5F7T-S7K1-JSJC-X15J-00000-00&amp;context=" TargetMode="External" /><Relationship Id="rId480" Type="http://schemas.openxmlformats.org/officeDocument/2006/relationships/hyperlink" Target="https://advance.lexis.com/api/document?collection=cases-ca&amp;id=urn:contentItem:5F7T-S7H1-F4GK-M3F9-00000-00&amp;context=" TargetMode="External" /><Relationship Id="rId481" Type="http://schemas.openxmlformats.org/officeDocument/2006/relationships/hyperlink" Target="https://advance.lexis.com/api/document?collection=cases-ca&amp;id=urn:contentItem:5F7T-S7F1-FJTD-G3N4-00000-00&amp;context=" TargetMode="External" /><Relationship Id="rId482" Type="http://schemas.openxmlformats.org/officeDocument/2006/relationships/hyperlink" Target="https://advance.lexis.com/api/document?collection=cases-ca&amp;id=urn:contentItem:5F7T-S6W1-JB7K-21GP-00000-00&amp;context=" TargetMode="External" /><Relationship Id="rId483" Type="http://schemas.openxmlformats.org/officeDocument/2006/relationships/hyperlink" Target="https://advance.lexis.com/api/document?collection=cases-ca&amp;id=urn:contentItem:5F7T-S711-F4W2-61TS-00000-00&amp;context=" TargetMode="External" /><Relationship Id="rId484" Type="http://schemas.openxmlformats.org/officeDocument/2006/relationships/hyperlink" Target="https://advance.lexis.com/api/document?collection=cases-ca&amp;id=urn:contentItem:5F7T-S751-JP4G-61JG-00000-00&amp;context=" TargetMode="External" /><Relationship Id="rId485" Type="http://schemas.openxmlformats.org/officeDocument/2006/relationships/hyperlink" Target="https://advance.lexis.com/api/document?collection=cases-ca&amp;id=urn:contentItem:5F7T-S781-F06F-2425-00000-00&amp;context=" TargetMode="External" /><Relationship Id="rId486" Type="http://schemas.openxmlformats.org/officeDocument/2006/relationships/hyperlink" Target="https://advance.lexis.com/api/document?collection=cases-ca&amp;id=urn:contentItem:5F7T-S7C1-F4NT-X447-00000-00&amp;context=" TargetMode="External" /><Relationship Id="rId487" Type="http://schemas.openxmlformats.org/officeDocument/2006/relationships/hyperlink" Target="https://advance.lexis.com/api/document?collection=cases-ca&amp;id=urn:contentItem:5F7T-S6R1-DXWW-22SP-00000-00&amp;context=" TargetMode="External" /><Relationship Id="rId488" Type="http://schemas.openxmlformats.org/officeDocument/2006/relationships/hyperlink" Target="https://advance.lexis.com/api/document?collection=cases-ca&amp;id=urn:contentItem:5F7T-S6T1-DY89-M2ST-00000-00&amp;context=" TargetMode="External" /><Relationship Id="rId489" Type="http://schemas.openxmlformats.org/officeDocument/2006/relationships/hyperlink" Target="https://advance.lexis.com/api/document?collection=cases-ca&amp;id=urn:contentItem:5F7T-S701-JBT7-X22V-00000-00&amp;context=" TargetMode="External" /><Relationship Id="rId49" Type="http://schemas.openxmlformats.org/officeDocument/2006/relationships/hyperlink" Target="https://advance.lexis.com/api/document?collection=cases-ca&amp;id=urn:contentItem:5F7T-S771-JN14-G2DF-00000-00&amp;context=" TargetMode="External" /><Relationship Id="rId490" Type="http://schemas.openxmlformats.org/officeDocument/2006/relationships/hyperlink" Target="https://advance.lexis.com/api/document?collection=cases-ca&amp;id=urn:contentItem:5F7T-S7N1-JJ1H-X2PS-00000-00&amp;context=" TargetMode="External" /><Relationship Id="rId491" Type="http://schemas.openxmlformats.org/officeDocument/2006/relationships/hyperlink" Target="https://advance.lexis.com/api/document?collection=cases-ca&amp;id=urn:contentItem:5F7T-S7P1-JP4G-61P6-00000-00&amp;context=" TargetMode="External" /><Relationship Id="rId492" Type="http://schemas.openxmlformats.org/officeDocument/2006/relationships/header" Target="header61.xml" /><Relationship Id="rId493" Type="http://schemas.openxmlformats.org/officeDocument/2006/relationships/header" Target="header62.xml" /><Relationship Id="rId494" Type="http://schemas.openxmlformats.org/officeDocument/2006/relationships/footer" Target="footer61.xml" /><Relationship Id="rId495" Type="http://schemas.openxmlformats.org/officeDocument/2006/relationships/footer" Target="footer62.xml" /><Relationship Id="rId496" Type="http://schemas.openxmlformats.org/officeDocument/2006/relationships/header" Target="header63.xml" /><Relationship Id="rId497" Type="http://schemas.openxmlformats.org/officeDocument/2006/relationships/footer" Target="footer63.xml" /><Relationship Id="rId498" Type="http://schemas.openxmlformats.org/officeDocument/2006/relationships/hyperlink" Target="https://advance.lexis.com/api/document?collection=cases-ca&amp;id=urn:contentItem:5F7T-S791-FJTD-G2GT-00000-00&amp;context=" TargetMode="External" /><Relationship Id="rId499" Type="http://schemas.openxmlformats.org/officeDocument/2006/relationships/hyperlink" Target="https://advance.lexis.com/api/document?collection=cases-ca&amp;id=urn:contentItem:5F8T-N3T1-JFKM-655K-00000-00&amp;context=" TargetMode="External" /><Relationship Id="rId5" Type="http://schemas.openxmlformats.org/officeDocument/2006/relationships/header" Target="header2.xml" /><Relationship Id="rId50" Type="http://schemas.openxmlformats.org/officeDocument/2006/relationships/header" Target="header10.xml" /><Relationship Id="rId500" Type="http://schemas.openxmlformats.org/officeDocument/2006/relationships/hyperlink" Target="https://advance.lexis.com/api/document?collection=cases-ca&amp;id=urn:contentItem:5F8T-N3S1-JBDT-B01P-00000-00&amp;context=" TargetMode="External" /><Relationship Id="rId501" Type="http://schemas.openxmlformats.org/officeDocument/2006/relationships/hyperlink" Target="https://advance.lexis.com/api/document?collection=cases-ca&amp;id=urn:contentItem:5F8T-N3T1-JGHR-M21F-00000-00&amp;context=" TargetMode="External" /><Relationship Id="rId502" Type="http://schemas.openxmlformats.org/officeDocument/2006/relationships/hyperlink" Target="https://advance.lexis.com/api/document?collection=cases-ca&amp;id=urn:contentItem:5F7T-S6Y1-JNY7-X2P6-00000-00&amp;context=" TargetMode="External" /><Relationship Id="rId503" Type="http://schemas.openxmlformats.org/officeDocument/2006/relationships/hyperlink" Target="https://advance.lexis.com/api/document?collection=cases-ca&amp;id=urn:contentItem:5F8T-N3T1-JFKM-6524-00000-00&amp;context=" TargetMode="External" /><Relationship Id="rId504" Type="http://schemas.openxmlformats.org/officeDocument/2006/relationships/hyperlink" Target="https://advance.lexis.com/api/document?collection=cases-ca&amp;id=urn:contentItem:5F7V-3DD1-FG68-G2C6-00000-00&amp;context=" TargetMode="External" /><Relationship Id="rId505" Type="http://schemas.openxmlformats.org/officeDocument/2006/relationships/hyperlink" Target="https://advance.lexis.com/api/document?collection=cases-ca&amp;id=urn:contentItem:5F7T-S781-FH4C-X2S2-00000-00&amp;context=" TargetMode="External" /><Relationship Id="rId506" Type="http://schemas.openxmlformats.org/officeDocument/2006/relationships/hyperlink" Target="https://advance.lexis.com/api/document?collection=cases-ca&amp;id=urn:contentItem:5F7T-S781-F900-G0NM-00000-00&amp;context=" TargetMode="External" /><Relationship Id="rId507" Type="http://schemas.openxmlformats.org/officeDocument/2006/relationships/header" Target="header64.xml" /><Relationship Id="rId508" Type="http://schemas.openxmlformats.org/officeDocument/2006/relationships/header" Target="header65.xml" /><Relationship Id="rId509" Type="http://schemas.openxmlformats.org/officeDocument/2006/relationships/footer" Target="footer64.xml" /><Relationship Id="rId51" Type="http://schemas.openxmlformats.org/officeDocument/2006/relationships/header" Target="header11.xml" /><Relationship Id="rId510" Type="http://schemas.openxmlformats.org/officeDocument/2006/relationships/footer" Target="footer65.xml" /><Relationship Id="rId511" Type="http://schemas.openxmlformats.org/officeDocument/2006/relationships/header" Target="header66.xml" /><Relationship Id="rId512" Type="http://schemas.openxmlformats.org/officeDocument/2006/relationships/footer" Target="footer66.xml" /><Relationship Id="rId513" Type="http://schemas.openxmlformats.org/officeDocument/2006/relationships/hyperlink" Target="https://advance.lexis.com/api/document?collection=cases-ca&amp;id=urn:contentItem:5F7T-S771-F81W-22PG-00000-00&amp;context=" TargetMode="External" /><Relationship Id="rId514" Type="http://schemas.openxmlformats.org/officeDocument/2006/relationships/hyperlink" Target="https://advance.lexis.com/api/document?collection=cases-ca&amp;id=urn:contentItem:5F8T-N3T1-JGHR-M1Y2-00000-00&amp;context=" TargetMode="External" /><Relationship Id="rId515" Type="http://schemas.openxmlformats.org/officeDocument/2006/relationships/hyperlink" Target="https://advance.lexis.com/api/document?collection=cases-ca&amp;id=urn:contentItem:5F7T-S6V1-F2TK-21YN-00000-00&amp;context=" TargetMode="External" /><Relationship Id="rId516" Type="http://schemas.openxmlformats.org/officeDocument/2006/relationships/hyperlink" Target="https://advance.lexis.com/api/document?collection=cases-ca&amp;id=urn:contentItem:5F8T-N3V1-JF75-M3W7-00000-00&amp;context=" TargetMode="External" /><Relationship Id="rId517" Type="http://schemas.openxmlformats.org/officeDocument/2006/relationships/header" Target="header67.xml" /><Relationship Id="rId518" Type="http://schemas.openxmlformats.org/officeDocument/2006/relationships/header" Target="header68.xml" /><Relationship Id="rId519" Type="http://schemas.openxmlformats.org/officeDocument/2006/relationships/footer" Target="footer67.xml" /><Relationship Id="rId52" Type="http://schemas.openxmlformats.org/officeDocument/2006/relationships/footer" Target="footer10.xml" /><Relationship Id="rId520" Type="http://schemas.openxmlformats.org/officeDocument/2006/relationships/footer" Target="footer68.xml" /><Relationship Id="rId521" Type="http://schemas.openxmlformats.org/officeDocument/2006/relationships/header" Target="header69.xml" /><Relationship Id="rId522" Type="http://schemas.openxmlformats.org/officeDocument/2006/relationships/footer" Target="footer69.xml" /><Relationship Id="rId523" Type="http://schemas.openxmlformats.org/officeDocument/2006/relationships/hyperlink" Target="https://advance.lexis.com/api/document?collection=cases-ca&amp;id=urn:contentItem:5F7T-S7C1-JSRM-618V-00000-00&amp;context=" TargetMode="External" /><Relationship Id="rId524" Type="http://schemas.openxmlformats.org/officeDocument/2006/relationships/header" Target="header70.xml" /><Relationship Id="rId525" Type="http://schemas.openxmlformats.org/officeDocument/2006/relationships/header" Target="header71.xml" /><Relationship Id="rId526" Type="http://schemas.openxmlformats.org/officeDocument/2006/relationships/footer" Target="footer70.xml" /><Relationship Id="rId527" Type="http://schemas.openxmlformats.org/officeDocument/2006/relationships/footer" Target="footer71.xml" /><Relationship Id="rId528" Type="http://schemas.openxmlformats.org/officeDocument/2006/relationships/header" Target="header72.xml" /><Relationship Id="rId529" Type="http://schemas.openxmlformats.org/officeDocument/2006/relationships/footer" Target="footer72.xml" /><Relationship Id="rId53" Type="http://schemas.openxmlformats.org/officeDocument/2006/relationships/footer" Target="footer11.xml" /><Relationship Id="rId530" Type="http://schemas.openxmlformats.org/officeDocument/2006/relationships/hyperlink" Target="https://advance.lexis.com/api/document?collection=cases-ca&amp;id=urn:contentItem:5HR4-FPP1-JG02-S2B3-00000-00&amp;context=" TargetMode="External" /><Relationship Id="rId531" Type="http://schemas.openxmlformats.org/officeDocument/2006/relationships/hyperlink" Target="https://advance.lexis.com/api/document?collection=cases-ca&amp;id=urn:contentItem:5K6Y-81T1-JYYX-621W-00000-00&amp;context=" TargetMode="External" /><Relationship Id="rId532" Type="http://schemas.openxmlformats.org/officeDocument/2006/relationships/hyperlink" Target="https://advance.lexis.com/api/document?collection=cases-ca&amp;id=urn:contentItem:5F8T-N3V1-JTGH-B153-00000-00&amp;context=" TargetMode="External" /><Relationship Id="rId533" Type="http://schemas.openxmlformats.org/officeDocument/2006/relationships/hyperlink" Target="https://advance.lexis.com/api/document?collection=cases-ca&amp;id=urn:contentItem:5F8T-N3V1-FH4C-X22V-00000-00&amp;context=" TargetMode="External" /><Relationship Id="rId534" Type="http://schemas.openxmlformats.org/officeDocument/2006/relationships/hyperlink" Target="https://advance.lexis.com/api/document?collection=cases-ca&amp;id=urn:contentItem:5F7T-S7M1-JNCK-22RP-00000-00&amp;context=" TargetMode="External" /><Relationship Id="rId535" Type="http://schemas.openxmlformats.org/officeDocument/2006/relationships/hyperlink" Target="https://advance.lexis.com/api/document?collection=cases-ca&amp;id=urn:contentItem:5F7T-S7M1-DYMS-6201-00000-00&amp;context=" TargetMode="External" /><Relationship Id="rId536" Type="http://schemas.openxmlformats.org/officeDocument/2006/relationships/hyperlink" Target="https://advance.lexis.com/api/document?collection=cases-ca&amp;id=urn:contentItem:5F7T-S7N1-DXWW-206B-00000-00&amp;context=" TargetMode="External" /><Relationship Id="rId537" Type="http://schemas.openxmlformats.org/officeDocument/2006/relationships/hyperlink" Target="https://advance.lexis.com/api/document?collection=cases-ca&amp;id=urn:contentItem:5F7T-S7P1-JP4G-620F-00000-00&amp;context=" TargetMode="External" /><Relationship Id="rId538" Type="http://schemas.openxmlformats.org/officeDocument/2006/relationships/hyperlink" Target="https://advance.lexis.com/api/document?collection=cases-ca&amp;id=urn:contentItem:5F7T-S7M1-JCRC-B1T2-00000-00&amp;context=" TargetMode="External" /><Relationship Id="rId539" Type="http://schemas.openxmlformats.org/officeDocument/2006/relationships/hyperlink" Target="https://advance.lexis.com/api/document?collection=cases-ca&amp;id=urn:contentItem:5F7T-S7F1-JK4W-M1CF-00000-00&amp;context=" TargetMode="External" /><Relationship Id="rId54" Type="http://schemas.openxmlformats.org/officeDocument/2006/relationships/header" Target="header12.xml" /><Relationship Id="rId540" Type="http://schemas.openxmlformats.org/officeDocument/2006/relationships/hyperlink" Target="https://advance.lexis.com/api/document?collection=cases-ca&amp;id=urn:contentItem:5H2B-YKT1-FGY5-M3ST-00000-00&amp;context=" TargetMode="External" /><Relationship Id="rId541" Type="http://schemas.openxmlformats.org/officeDocument/2006/relationships/hyperlink" Target="https://advance.lexis.com/api/document?collection=cases-ca&amp;id=urn:contentItem:5F7T-S7K1-JSJC-X168-00000-00&amp;context=" TargetMode="External" /><Relationship Id="rId542" Type="http://schemas.openxmlformats.org/officeDocument/2006/relationships/hyperlink" Target="https://advance.lexis.com/api/document?collection=cases-ca&amp;id=urn:contentItem:5F7T-S7J1-JNS1-M2G2-00000-00&amp;context=" TargetMode="External" /><Relationship Id="rId543" Type="http://schemas.openxmlformats.org/officeDocument/2006/relationships/hyperlink" Target="https://advance.lexis.com/api/document?collection=cases-ca&amp;id=urn:contentItem:5F7T-S7M1-JNCK-22MK-00000-00&amp;context=" TargetMode="External" /><Relationship Id="rId544" Type="http://schemas.openxmlformats.org/officeDocument/2006/relationships/hyperlink" Target="https://advance.lexis.com/api/document?collection=cases-ca&amp;id=urn:contentItem:5F7T-S7K1-JKHB-62PC-00000-00&amp;context=" TargetMode="External" /><Relationship Id="rId545" Type="http://schemas.openxmlformats.org/officeDocument/2006/relationships/hyperlink" Target="https://advance.lexis.com/api/document?collection=cases-ca&amp;id=urn:contentItem:5F7T-S7K1-DY33-B1KT-00000-00&amp;context=" TargetMode="External" /><Relationship Id="rId546" Type="http://schemas.openxmlformats.org/officeDocument/2006/relationships/hyperlink" Target="https://advance.lexis.com/api/document?collection=cases-ca&amp;id=urn:contentItem:5F7T-S7B1-F7ND-G50F-00000-00&amp;context=" TargetMode="External" /><Relationship Id="rId547" Type="http://schemas.openxmlformats.org/officeDocument/2006/relationships/hyperlink" Target="https://advance.lexis.com/api/document?collection=cases-ca&amp;id=urn:contentItem:5F7T-S731-DY33-B0YN-00000-00&amp;context=" TargetMode="External" /><Relationship Id="rId548" Type="http://schemas.openxmlformats.org/officeDocument/2006/relationships/hyperlink" Target="https://advance.lexis.com/api/document?collection=cases-ca&amp;id=urn:contentItem:5F7T-S771-JN14-G2PR-00000-00&amp;context=" TargetMode="External" /><Relationship Id="rId549" Type="http://schemas.openxmlformats.org/officeDocument/2006/relationships/hyperlink" Target="https://advance.lexis.com/api/document?collection=cases-ca&amp;id=urn:contentItem:5F7T-S7D1-DY89-M463-00000-00&amp;context=" TargetMode="External" /><Relationship Id="rId55" Type="http://schemas.openxmlformats.org/officeDocument/2006/relationships/footer" Target="footer12.xml" /><Relationship Id="rId550" Type="http://schemas.openxmlformats.org/officeDocument/2006/relationships/hyperlink" Target="https://advance.lexis.com/api/document?collection=cases-ca&amp;id=urn:contentItem:5F7T-S7D1-F7ND-G0MH-00000-00&amp;context=" TargetMode="External" /><Relationship Id="rId551" Type="http://schemas.openxmlformats.org/officeDocument/2006/relationships/hyperlink" Target="https://advance.lexis.com/api/document?collection=cases-ca&amp;id=urn:contentItem:5F7T-S7F1-F7VM-S475-00000-00&amp;context=" TargetMode="External" /><Relationship Id="rId552" Type="http://schemas.openxmlformats.org/officeDocument/2006/relationships/hyperlink" Target="https://advance.lexis.com/api/document?collection=cases-ca&amp;id=urn:contentItem:5F7T-S7P1-JSJC-X1MC-00000-00&amp;context=" TargetMode="External" /><Relationship Id="rId553" Type="http://schemas.openxmlformats.org/officeDocument/2006/relationships/hyperlink" Target="https://advance.lexis.com/api/document?collection=cases-ca&amp;id=urn:contentItem:5F7T-S7P1-JG02-S46D-00000-00&amp;context=" TargetMode="External" /><Relationship Id="rId554" Type="http://schemas.openxmlformats.org/officeDocument/2006/relationships/hyperlink" Target="https://advance.lexis.com/api/document?collection=cases-ca&amp;id=urn:contentItem:5F7T-S7P1-JSJC-X1F1-00000-00&amp;context=" TargetMode="External" /><Relationship Id="rId555" Type="http://schemas.openxmlformats.org/officeDocument/2006/relationships/hyperlink" Target="https://advance.lexis.com/api/document?collection=cases-ca&amp;id=urn:contentItem:5F7T-S7J1-JNS1-M26V-00000-00&amp;context=" TargetMode="External" /><Relationship Id="rId556" Type="http://schemas.openxmlformats.org/officeDocument/2006/relationships/hyperlink" Target="https://advance.lexis.com/api/document?collection=cases-ca&amp;id=urn:contentItem:5F7T-S7K1-DY33-B1K8-00000-00&amp;context=" TargetMode="External" /><Relationship Id="rId557" Type="http://schemas.openxmlformats.org/officeDocument/2006/relationships/hyperlink" Target="https://advance.lexis.com/api/document?collection=cases-ca&amp;id=urn:contentItem:5F7T-S7N1-JJ1H-X2MS-00000-00&amp;context=" TargetMode="External" /><Relationship Id="rId558" Type="http://schemas.openxmlformats.org/officeDocument/2006/relationships/hyperlink" Target="https://advance.lexis.com/api/document?collection=cases-ca&amp;id=urn:contentItem:5F7T-S7D1-JN6B-S13K-00000-00&amp;context=" TargetMode="External" /><Relationship Id="rId559" Type="http://schemas.openxmlformats.org/officeDocument/2006/relationships/hyperlink" Target="https://advance.lexis.com/api/document?collection=cases-ca&amp;id=urn:contentItem:5F7T-S7M1-DYMS-62B6-00000-00&amp;context=" TargetMode="External" /><Relationship Id="rId56" Type="http://schemas.openxmlformats.org/officeDocument/2006/relationships/hyperlink" Target="https://advance.lexis.com/api/document?collection=cases-ca&amp;id=urn:contentItem:5F7T-S7M1-JCRC-B1SH-00000-00&amp;context=" TargetMode="External" /><Relationship Id="rId560" Type="http://schemas.openxmlformats.org/officeDocument/2006/relationships/hyperlink" Target="https://advance.lexis.com/api/document?collection=cases-ca&amp;id=urn:contentItem:5F8T-N3V1-FC1F-M4BC-00000-00&amp;context=" TargetMode="External" /><Relationship Id="rId561" Type="http://schemas.openxmlformats.org/officeDocument/2006/relationships/hyperlink" Target="https://advance.lexis.com/api/document?collection=cases-ca&amp;id=urn:contentItem:5F7T-S7C1-F7VM-S3NW-00000-00&amp;context=" TargetMode="External" /><Relationship Id="rId562" Type="http://schemas.openxmlformats.org/officeDocument/2006/relationships/hyperlink" Target="https://advance.lexis.com/api/document?collection=cases-ca&amp;id=urn:contentItem:5F7T-S7N1-F57G-S2D4-00000-00&amp;context=" TargetMode="External" /><Relationship Id="rId563" Type="http://schemas.openxmlformats.org/officeDocument/2006/relationships/hyperlink" Target="https://advance.lexis.com/api/document?collection=cases-ca&amp;id=urn:contentItem:5F7T-S7P1-JCRC-B29G-00000-00&amp;context=" TargetMode="External" /><Relationship Id="rId564" Type="http://schemas.openxmlformats.org/officeDocument/2006/relationships/hyperlink" Target="https://advance.lexis.com/api/document?collection=cases-ca&amp;id=urn:contentItem:5GCC-XVB1-JGHR-M4KN-00000-00&amp;context=" TargetMode="External" /><Relationship Id="rId565" Type="http://schemas.openxmlformats.org/officeDocument/2006/relationships/hyperlink" Target="https://advance.lexis.com/api/document?collection=cases-ca&amp;id=urn:contentItem:5F7T-S741-F528-G26C-00000-00&amp;context=" TargetMode="External" /><Relationship Id="rId566" Type="http://schemas.openxmlformats.org/officeDocument/2006/relationships/hyperlink" Target="https://advance.lexis.com/api/document?collection=cases-ca&amp;id=urn:contentItem:5F7T-S7H1-FCSB-S3RY-00000-00&amp;context=" TargetMode="External" /><Relationship Id="rId567" Type="http://schemas.openxmlformats.org/officeDocument/2006/relationships/hyperlink" Target="https://advance.lexis.com/api/document?collection=cases-ca&amp;id=urn:contentItem:5F7T-S7D1-FC6N-X0DR-00000-00&amp;context=" TargetMode="External" /><Relationship Id="rId568" Type="http://schemas.openxmlformats.org/officeDocument/2006/relationships/hyperlink" Target="https://advance.lexis.com/api/document?collection=cases-ca&amp;id=urn:contentItem:5F7T-S7M1-JCRC-B1SF-00000-00&amp;context=" TargetMode="External" /><Relationship Id="rId569" Type="http://schemas.openxmlformats.org/officeDocument/2006/relationships/hyperlink" Target="https://advance.lexis.com/api/document?collection=cases-ca&amp;id=urn:contentItem:5F7T-S7P1-JBDT-B1CJ-00000-00&amp;context=" TargetMode="External" /><Relationship Id="rId57" Type="http://schemas.openxmlformats.org/officeDocument/2006/relationships/hyperlink" Target="https://advance.lexis.com/api/document?collection=legislation-ca&amp;id=urn:contentItem:5F41-1FJ1-F5KY-B1KS-00000-00&amp;context=" TargetMode="External" /><Relationship Id="rId570" Type="http://schemas.openxmlformats.org/officeDocument/2006/relationships/hyperlink" Target="https://advance.lexis.com/api/document?collection=cases-ca&amp;id=urn:contentItem:5GCC-XVC1-F900-G4Y6-00000-00&amp;context=" TargetMode="External" /><Relationship Id="rId571" Type="http://schemas.openxmlformats.org/officeDocument/2006/relationships/hyperlink" Target="https://advance.lexis.com/api/document?collection=cases-ca&amp;id=urn:contentItem:5F7T-S7B1-FH4C-X381-00000-00&amp;context=" TargetMode="External" /><Relationship Id="rId572" Type="http://schemas.openxmlformats.org/officeDocument/2006/relationships/hyperlink" Target="https://advance.lexis.com/api/document?collection=cases-ca&amp;id=urn:contentItem:5F7T-S7M1-F4W2-62B8-00000-00&amp;context=" TargetMode="External" /><Relationship Id="rId573" Type="http://schemas.openxmlformats.org/officeDocument/2006/relationships/hyperlink" Target="https://advance.lexis.com/api/document?collection=cases-ca&amp;id=urn:contentItem:5F7T-S7H1-JCRC-B0S6-00000-00&amp;context=" TargetMode="External" /><Relationship Id="rId574" Type="http://schemas.openxmlformats.org/officeDocument/2006/relationships/header" Target="header73.xml" /><Relationship Id="rId575" Type="http://schemas.openxmlformats.org/officeDocument/2006/relationships/header" Target="header74.xml" /><Relationship Id="rId576" Type="http://schemas.openxmlformats.org/officeDocument/2006/relationships/footer" Target="footer73.xml" /><Relationship Id="rId577" Type="http://schemas.openxmlformats.org/officeDocument/2006/relationships/footer" Target="footer74.xml" /><Relationship Id="rId578" Type="http://schemas.openxmlformats.org/officeDocument/2006/relationships/header" Target="header75.xml" /><Relationship Id="rId579" Type="http://schemas.openxmlformats.org/officeDocument/2006/relationships/footer" Target="footer75.xml" /><Relationship Id="rId58" Type="http://schemas.openxmlformats.org/officeDocument/2006/relationships/hyperlink" Target="https://advance.lexis.com/api/document?collection=legislation-ca&amp;id=urn:contentItem:5F41-1FK1-JGBH-B10R-00000-00&amp;context=" TargetMode="External" /><Relationship Id="rId580" Type="http://schemas.openxmlformats.org/officeDocument/2006/relationships/hyperlink" Target="https://advance.lexis.com/api/document?collection=cases-ca&amp;id=urn:contentItem:5F7T-S7N1-F06F-248K-00000-00&amp;context=" TargetMode="External" /><Relationship Id="rId581" Type="http://schemas.openxmlformats.org/officeDocument/2006/relationships/hyperlink" Target="https://advance.lexis.com/api/document?collection=cases-ca&amp;id=urn:contentItem:5F7T-S701-F8KH-X15N-00000-00&amp;context=" TargetMode="External" /><Relationship Id="rId582" Type="http://schemas.openxmlformats.org/officeDocument/2006/relationships/hyperlink" Target="https://advance.lexis.com/api/document?collection=cases-ca&amp;id=urn:contentItem:5F7T-S741-DY89-M3KC-00000-00&amp;context=" TargetMode="External" /><Relationship Id="rId583" Type="http://schemas.openxmlformats.org/officeDocument/2006/relationships/hyperlink" Target="https://advance.lexis.com/api/document?collection=cases-ca&amp;id=urn:contentItem:5F7T-S7K1-JKHB-62YV-00000-00&amp;context=" TargetMode="External" /><Relationship Id="rId584" Type="http://schemas.openxmlformats.org/officeDocument/2006/relationships/hyperlink" Target="https://advance.lexis.com/api/document?collection=cases-ca&amp;id=urn:contentItem:5F8P-SC81-JN14-G258-00000-00&amp;context=" TargetMode="External" /><Relationship Id="rId585" Type="http://schemas.openxmlformats.org/officeDocument/2006/relationships/hyperlink" Target="https://advance.lexis.com/api/document?collection=cases-ca&amp;id=urn:contentItem:5F81-YH41-JX8W-M05N-00000-00&amp;context=" TargetMode="External" /><Relationship Id="rId586" Type="http://schemas.openxmlformats.org/officeDocument/2006/relationships/hyperlink" Target="https://advance.lexis.com/api/document?collection=cases-ca&amp;id=urn:contentItem:5F81-WC31-F5KY-B4SM-00000-00&amp;context=" TargetMode="External" /><Relationship Id="rId587" Type="http://schemas.openxmlformats.org/officeDocument/2006/relationships/hyperlink" Target="https://advance.lexis.com/api/document?collection=cases-ca&amp;id=urn:contentItem:5F7T-S7G1-JWR6-S21H-00000-00&amp;context=" TargetMode="External" /><Relationship Id="rId588" Type="http://schemas.openxmlformats.org/officeDocument/2006/relationships/header" Target="header76.xml" /><Relationship Id="rId589" Type="http://schemas.openxmlformats.org/officeDocument/2006/relationships/header" Target="header77.xml" /><Relationship Id="rId59" Type="http://schemas.openxmlformats.org/officeDocument/2006/relationships/hyperlink" Target="https://advance.lexis.com/api/document?collection=cases-ca&amp;id=urn:contentItem:5F7T-S7K1-JWXF-20X1-00000-00&amp;context=" TargetMode="External" /><Relationship Id="rId590" Type="http://schemas.openxmlformats.org/officeDocument/2006/relationships/footer" Target="footer76.xml" /><Relationship Id="rId591" Type="http://schemas.openxmlformats.org/officeDocument/2006/relationships/footer" Target="footer77.xml" /><Relationship Id="rId592" Type="http://schemas.openxmlformats.org/officeDocument/2006/relationships/header" Target="header78.xml" /><Relationship Id="rId593" Type="http://schemas.openxmlformats.org/officeDocument/2006/relationships/footer" Target="footer78.xml" /><Relationship Id="rId594" Type="http://schemas.openxmlformats.org/officeDocument/2006/relationships/hyperlink" Target="https://advance.lexis.com/api/document?collection=cases-ca&amp;id=urn:contentItem:5G5M-B9W1-FGCG-S01V-00000-00&amp;context=" TargetMode="External" /><Relationship Id="rId595" Type="http://schemas.openxmlformats.org/officeDocument/2006/relationships/hyperlink" Target="https://advance.lexis.com/api/document?collection=cases-ca&amp;id=urn:contentItem:5F7T-S7P1-JBDT-B0TR-00000-00&amp;context=" TargetMode="External" /><Relationship Id="rId596" Type="http://schemas.openxmlformats.org/officeDocument/2006/relationships/hyperlink" Target="https://advance.lexis.com/api/document?collection=cases-ca&amp;id=urn:contentItem:5F7T-S6Y1-F65M-605J-00000-00&amp;context=" TargetMode="External" /><Relationship Id="rId597" Type="http://schemas.openxmlformats.org/officeDocument/2006/relationships/hyperlink" Target="https://advance.lexis.com/api/document?collection=cases-ca&amp;id=urn:contentItem:5F7T-S7H1-JFSV-G30P-00000-00&amp;context=" TargetMode="External" /><Relationship Id="rId598" Type="http://schemas.openxmlformats.org/officeDocument/2006/relationships/hyperlink" Target="https://advance.lexis.com/api/document?collection=cases-ca&amp;id=urn:contentItem:5F7T-S7M1-DYMS-6275-00000-00&amp;context=" TargetMode="External" /><Relationship Id="rId599" Type="http://schemas.openxmlformats.org/officeDocument/2006/relationships/hyperlink" Target="https://advance.lexis.com/api/document?collection=cases-ca&amp;id=urn:contentItem:5F8P-SFJ1-F4GK-M2TT-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F1-FFFC-B25Y-00000-00&amp;context=" TargetMode="External" /><Relationship Id="rId600" Type="http://schemas.openxmlformats.org/officeDocument/2006/relationships/hyperlink" Target="https://advance.lexis.com/api/document?collection=cases-ca&amp;id=urn:contentItem:5F81-VJX1-F22N-X1M5-00000-00&amp;context=" TargetMode="External" /><Relationship Id="rId601" Type="http://schemas.openxmlformats.org/officeDocument/2006/relationships/hyperlink" Target="https://advance.lexis.com/api/document?collection=cases-ca&amp;id=urn:contentItem:5F8P-SF51-JK4W-M4RX-00000-00&amp;context=" TargetMode="External" /><Relationship Id="rId602" Type="http://schemas.openxmlformats.org/officeDocument/2006/relationships/header" Target="header79.xml" /><Relationship Id="rId603" Type="http://schemas.openxmlformats.org/officeDocument/2006/relationships/header" Target="header80.xml" /><Relationship Id="rId604" Type="http://schemas.openxmlformats.org/officeDocument/2006/relationships/footer" Target="footer79.xml" /><Relationship Id="rId605" Type="http://schemas.openxmlformats.org/officeDocument/2006/relationships/footer" Target="footer80.xml" /><Relationship Id="rId606" Type="http://schemas.openxmlformats.org/officeDocument/2006/relationships/header" Target="header81.xml" /><Relationship Id="rId607" Type="http://schemas.openxmlformats.org/officeDocument/2006/relationships/footer" Target="footer81.xml" /><Relationship Id="rId608" Type="http://schemas.openxmlformats.org/officeDocument/2006/relationships/hyperlink" Target="https://advance.lexis.com/api/document?collection=cases-ca&amp;id=urn:contentItem:5F7T-S7C1-FCSB-S2H4-00000-00&amp;context=" TargetMode="External" /><Relationship Id="rId609" Type="http://schemas.openxmlformats.org/officeDocument/2006/relationships/hyperlink" Target="https://advance.lexis.com/api/document?collection=legislation-ca&amp;id=urn:contentItem:5W2C-X5K1-F5KY-B027-00000-00&amp;context=" TargetMode="External" /><Relationship Id="rId61" Type="http://schemas.openxmlformats.org/officeDocument/2006/relationships/hyperlink" Target="https://advance.lexis.com/api/document?collection=cases-ca&amp;id=urn:contentItem:5F7T-S7K1-JX3N-B2MM-00000-00&amp;context=" TargetMode="External" /><Relationship Id="rId610" Type="http://schemas.openxmlformats.org/officeDocument/2006/relationships/hyperlink" Target="https://advance.lexis.com/api/document?collection=cases-ca&amp;id=urn:contentItem:5F7T-S791-FJTD-G2N2-00000-00&amp;context=" TargetMode="External" /><Relationship Id="rId611" Type="http://schemas.openxmlformats.org/officeDocument/2006/relationships/hyperlink" Target="https://advance.lexis.com/api/document?collection=cases-ca&amp;id=urn:contentItem:5F82-1SF1-F4W2-63R1-00000-00&amp;context=" TargetMode="External" /><Relationship Id="rId612" Type="http://schemas.openxmlformats.org/officeDocument/2006/relationships/hyperlink" Target="https://advance.lexis.com/api/document?collection=cases-ca&amp;id=urn:contentItem:5F8T-N3S1-JT99-250Y-00000-00&amp;context=" TargetMode="External" /><Relationship Id="rId613" Type="http://schemas.openxmlformats.org/officeDocument/2006/relationships/hyperlink" Target="https://advance.lexis.com/api/document?collection=cases-ca&amp;id=urn:contentItem:5F7T-S741-F7VM-S2KN-00000-00&amp;context=" TargetMode="External" /><Relationship Id="rId614" Type="http://schemas.openxmlformats.org/officeDocument/2006/relationships/hyperlink" Target="https://advance.lexis.com/api/document?collection=cases-ca&amp;id=urn:contentItem:5F7T-S791-FJTD-G2N0-00000-00&amp;context=" TargetMode="External" /><Relationship Id="rId615" Type="http://schemas.openxmlformats.org/officeDocument/2006/relationships/hyperlink" Target="https://advance.lexis.com/api/document?collection=cases-ca&amp;id=urn:contentItem:5F8T-N3T1-JJSF-23MJ-00000-00&amp;context=" TargetMode="External" /><Relationship Id="rId616" Type="http://schemas.openxmlformats.org/officeDocument/2006/relationships/hyperlink" Target="https://advance.lexis.com/api/document?collection=cases-ca&amp;id=urn:contentItem:5F7T-S6W1-F7ND-G2NW-00000-00&amp;context=" TargetMode="External" /><Relationship Id="rId617" Type="http://schemas.openxmlformats.org/officeDocument/2006/relationships/hyperlink" Target="https://advance.lexis.com/api/document?collection=cases-ca&amp;id=urn:contentItem:5F7T-S6X1-K0BB-S0BM-00000-00&amp;context=" TargetMode="External" /><Relationship Id="rId618" Type="http://schemas.openxmlformats.org/officeDocument/2006/relationships/hyperlink" Target="https://advance.lexis.com/api/document?collection=cases-ca&amp;id=urn:contentItem:5F7T-S6X1-K0BB-S098-00000-00&amp;context=" TargetMode="External" /><Relationship Id="rId619" Type="http://schemas.openxmlformats.org/officeDocument/2006/relationships/hyperlink" Target="https://advance.lexis.com/api/document?collection=cases-ca&amp;id=urn:contentItem:5F8T-N3T1-JFKM-651P-00000-00&amp;context=" TargetMode="External" /><Relationship Id="rId62" Type="http://schemas.openxmlformats.org/officeDocument/2006/relationships/hyperlink" Target="https://advance.lexis.com/api/document?collection=cases-ca&amp;id=urn:contentItem:5F7T-S7G1-F5KY-B1R6-00000-00&amp;context=" TargetMode="External" /><Relationship Id="rId620" Type="http://schemas.openxmlformats.org/officeDocument/2006/relationships/hyperlink" Target="https://advance.lexis.com/api/document?collection=cases-ca&amp;id=urn:contentItem:5F7T-S721-F4NT-X2W1-00000-00&amp;context=" TargetMode="External" /><Relationship Id="rId621" Type="http://schemas.openxmlformats.org/officeDocument/2006/relationships/hyperlink" Target="https://advance.lexis.com/api/document?collection=cases-ca&amp;id=urn:contentItem:5F7T-S761-F7ND-G4RK-00000-00&amp;context=" TargetMode="External" /><Relationship Id="rId622" Type="http://schemas.openxmlformats.org/officeDocument/2006/relationships/hyperlink" Target="https://advance.lexis.com/api/document?collection=cases-ca&amp;id=urn:contentItem:5F7T-S7C1-F7ND-G04W-00000-00&amp;context=" TargetMode="External" /><Relationship Id="rId623" Type="http://schemas.openxmlformats.org/officeDocument/2006/relationships/header" Target="header82.xml" /><Relationship Id="rId624" Type="http://schemas.openxmlformats.org/officeDocument/2006/relationships/header" Target="header83.xml" /><Relationship Id="rId625" Type="http://schemas.openxmlformats.org/officeDocument/2006/relationships/footer" Target="footer82.xml" /><Relationship Id="rId626" Type="http://schemas.openxmlformats.org/officeDocument/2006/relationships/footer" Target="footer83.xml" /><Relationship Id="rId627" Type="http://schemas.openxmlformats.org/officeDocument/2006/relationships/header" Target="header84.xml" /><Relationship Id="rId628" Type="http://schemas.openxmlformats.org/officeDocument/2006/relationships/footer" Target="footer84.xml" /><Relationship Id="rId629" Type="http://schemas.openxmlformats.org/officeDocument/2006/relationships/hyperlink" Target="https://advance.lexis.com/api/document?collection=cases-ca&amp;id=urn:contentItem:5F7T-S7J1-JYYX-6251-00000-00&amp;context=" TargetMode="External" /><Relationship Id="rId63" Type="http://schemas.openxmlformats.org/officeDocument/2006/relationships/hyperlink" Target="https://advance.lexis.com/api/document?collection=cases-ca&amp;id=urn:contentItem:5F7T-S751-JP4G-61DF-00000-00&amp;context=" TargetMode="External" /><Relationship Id="rId630" Type="http://schemas.openxmlformats.org/officeDocument/2006/relationships/hyperlink" Target="https://advance.lexis.com/api/document?collection=legislation-ca&amp;id=urn:contentItem:5F41-1FH1-F361-M0H9-00000-00&amp;context=" TargetMode="External" /><Relationship Id="rId631" Type="http://schemas.openxmlformats.org/officeDocument/2006/relationships/hyperlink" Target="https://advance.lexis.com/api/document?collection=cases-ca&amp;id=urn:contentItem:5F7T-S771-F361-M1J4-00000-00&amp;context=" TargetMode="External" /><Relationship Id="rId632" Type="http://schemas.openxmlformats.org/officeDocument/2006/relationships/hyperlink" Target="https://advance.lexis.com/api/document?collection=cases-ca&amp;id=urn:contentItem:5F7T-S7H1-JG02-S3RS-00000-00&amp;context=" TargetMode="External" /><Relationship Id="rId633" Type="http://schemas.openxmlformats.org/officeDocument/2006/relationships/header" Target="header85.xml" /><Relationship Id="rId634" Type="http://schemas.openxmlformats.org/officeDocument/2006/relationships/header" Target="header86.xml" /><Relationship Id="rId635" Type="http://schemas.openxmlformats.org/officeDocument/2006/relationships/footer" Target="footer85.xml" /><Relationship Id="rId636" Type="http://schemas.openxmlformats.org/officeDocument/2006/relationships/footer" Target="footer86.xml" /><Relationship Id="rId637" Type="http://schemas.openxmlformats.org/officeDocument/2006/relationships/header" Target="header87.xml" /><Relationship Id="rId638" Type="http://schemas.openxmlformats.org/officeDocument/2006/relationships/footer" Target="footer87.xml" /><Relationship Id="rId639" Type="http://schemas.openxmlformats.org/officeDocument/2006/relationships/hyperlink" Target="https://advance.lexis.com/api/document?collection=cases-ca&amp;id=urn:contentItem:5F7T-S7K1-JWXF-2194-00000-00&amp;context=" TargetMode="External" /><Relationship Id="rId64" Type="http://schemas.openxmlformats.org/officeDocument/2006/relationships/hyperlink" Target="https://advance.lexis.com/api/document?collection=cases-ca&amp;id=urn:contentItem:5F7T-S7K1-DXWW-201T-00000-00&amp;context=" TargetMode="External" /><Relationship Id="rId640" Type="http://schemas.openxmlformats.org/officeDocument/2006/relationships/hyperlink" Target="https://advance.lexis.com/api/document?collection=legislation-ca&amp;id=urn:contentItem:5F41-1FG1-JKPJ-G048-00000-00&amp;context=" TargetMode="External" /><Relationship Id="rId641" Type="http://schemas.openxmlformats.org/officeDocument/2006/relationships/hyperlink" Target="https://advance.lexis.com/api/document?collection=legislation-ca&amp;id=urn:contentItem:5F41-1FH1-JSRM-606Y-00000-00&amp;context=" TargetMode="External" /><Relationship Id="rId642" Type="http://schemas.openxmlformats.org/officeDocument/2006/relationships/hyperlink" Target="https://advance.lexis.com/api/document?collection=cases-ca&amp;id=urn:contentItem:5F7T-S7K1-JSJC-X0PR-00000-00&amp;context=" TargetMode="External" /><Relationship Id="rId643" Type="http://schemas.openxmlformats.org/officeDocument/2006/relationships/hyperlink" Target="https://advance.lexis.com/api/document?collection=cases-ca&amp;id=urn:contentItem:5F7T-S7J1-JNS1-M24M-00000-00&amp;context=" TargetMode="External" /><Relationship Id="rId644" Type="http://schemas.openxmlformats.org/officeDocument/2006/relationships/hyperlink" Target="https://advance.lexis.com/api/document?collection=cases-ca&amp;id=urn:contentItem:5F7T-S7J1-JYYX-62BC-00000-00&amp;context=" TargetMode="External" /><Relationship Id="rId645" Type="http://schemas.openxmlformats.org/officeDocument/2006/relationships/hyperlink" Target="https://advance.lexis.com/api/document?collection=cases-ca&amp;id=urn:contentItem:5F7T-S7D1-JG02-S2W7-00000-00&amp;context=" TargetMode="External" /><Relationship Id="rId646" Type="http://schemas.openxmlformats.org/officeDocument/2006/relationships/hyperlink" Target="https://advance.lexis.com/api/document?collection=cases-ca&amp;id=urn:contentItem:5F8T-N3S1-JT99-254W-00000-00&amp;context=" TargetMode="External" /><Relationship Id="rId647" Type="http://schemas.openxmlformats.org/officeDocument/2006/relationships/hyperlink" Target="https://advance.lexis.com/api/document?collection=cases-ca&amp;id=urn:contentItem:5F7T-S751-JX3N-B142-00000-00&amp;context=" TargetMode="External" /><Relationship Id="rId648" Type="http://schemas.openxmlformats.org/officeDocument/2006/relationships/hyperlink" Target="https://advance.lexis.com/api/document?collection=cases-ca&amp;id=urn:contentItem:5F7F-5RH1-F873-B02T-00000-00&amp;context=" TargetMode="External" /><Relationship Id="rId649" Type="http://schemas.openxmlformats.org/officeDocument/2006/relationships/hyperlink" Target="https://advance.lexis.com/api/document?collection=cases-ca&amp;id=urn:contentItem:5F8W-M421-F900-G52H-00000-00&amp;context=" TargetMode="External" /><Relationship Id="rId65" Type="http://schemas.openxmlformats.org/officeDocument/2006/relationships/hyperlink" Target="https://advance.lexis.com/api/document?collection=cases-ca&amp;id=urn:contentItem:5F7T-S7K1-F1H1-22F4-00000-00&amp;context=" TargetMode="External" /><Relationship Id="rId650" Type="http://schemas.openxmlformats.org/officeDocument/2006/relationships/hyperlink" Target="https://advance.lexis.com/api/document?collection=cases-ca&amp;id=urn:contentItem:5F7T-S721-JSC5-M387-00000-00&amp;context=" TargetMode="External" /><Relationship Id="rId651" Type="http://schemas.openxmlformats.org/officeDocument/2006/relationships/hyperlink" Target="https://advance.lexis.com/api/document?collection=cases-ca&amp;id=urn:contentItem:5F8P-SDN1-F65M-6425-00000-00&amp;context=" TargetMode="External" /><Relationship Id="rId652" Type="http://schemas.openxmlformats.org/officeDocument/2006/relationships/hyperlink" Target="https://advance.lexis.com/api/document?collection=cases-ca&amp;id=urn:contentItem:5F7T-S7C1-F30T-B20W-00000-00&amp;context=" TargetMode="External" /><Relationship Id="rId653" Type="http://schemas.openxmlformats.org/officeDocument/2006/relationships/hyperlink" Target="https://advance.lexis.com/api/document?collection=cases-ca&amp;id=urn:contentItem:5F8T-N3V1-JF75-M3B2-00000-00&amp;context=" TargetMode="External" /><Relationship Id="rId654" Type="http://schemas.openxmlformats.org/officeDocument/2006/relationships/hyperlink" Target="https://advance.lexis.com/api/document?collection=cases-ca&amp;id=urn:contentItem:5F7T-S6X1-F7ND-G45B-00000-00&amp;context=" TargetMode="External" /><Relationship Id="rId655" Type="http://schemas.openxmlformats.org/officeDocument/2006/relationships/hyperlink" Target="https://advance.lexis.com/api/document?collection=cases-ca&amp;id=urn:contentItem:5F7H-SCN1-DY89-M265-00000-00&amp;context=" TargetMode="External" /><Relationship Id="rId656" Type="http://schemas.openxmlformats.org/officeDocument/2006/relationships/hyperlink" Target="https://advance.lexis.com/api/document?collection=cases-ca&amp;id=urn:contentItem:5F8T-N3V1-JTGH-B12J-00000-00&amp;context=" TargetMode="External" /><Relationship Id="rId657" Type="http://schemas.openxmlformats.org/officeDocument/2006/relationships/hyperlink" Target="https://advance.lexis.com/api/document?collection=cases-ca&amp;id=urn:contentItem:5F8T-N3V1-JTGH-B1DR-00000-00&amp;context=" TargetMode="External" /><Relationship Id="rId658" Type="http://schemas.openxmlformats.org/officeDocument/2006/relationships/hyperlink" Target="https://advance.lexis.com/api/document?collection=legislation-ca&amp;id=urn:contentItem:5XBT-KM61-JG02-S3GT-00000-00&amp;context=" TargetMode="External" /><Relationship Id="rId659" Type="http://schemas.openxmlformats.org/officeDocument/2006/relationships/hyperlink" Target="https://advance.lexis.com/api/document?collection=cases-ca&amp;id=urn:contentItem:5F8T-N3V1-JF75-M3VS-00000-00&amp;context=" TargetMode="External" /><Relationship Id="rId66" Type="http://schemas.openxmlformats.org/officeDocument/2006/relationships/hyperlink" Target="https://advance.lexis.com/api/document?collection=cases-ca&amp;id=urn:contentItem:5F7T-S7H1-F016-S3MC-00000-00&amp;context=" TargetMode="External" /><Relationship Id="rId660" Type="http://schemas.openxmlformats.org/officeDocument/2006/relationships/hyperlink" Target="https://advance.lexis.com/api/document?collection=cases-ca&amp;id=urn:contentItem:5F7T-S7K1-JWXF-20TC-00000-00&amp;context=" TargetMode="External" /><Relationship Id="rId661" Type="http://schemas.openxmlformats.org/officeDocument/2006/relationships/header" Target="header88.xml" /><Relationship Id="rId662" Type="http://schemas.openxmlformats.org/officeDocument/2006/relationships/header" Target="header89.xml" /><Relationship Id="rId663" Type="http://schemas.openxmlformats.org/officeDocument/2006/relationships/footer" Target="footer88.xml" /><Relationship Id="rId664" Type="http://schemas.openxmlformats.org/officeDocument/2006/relationships/footer" Target="footer89.xml" /><Relationship Id="rId665" Type="http://schemas.openxmlformats.org/officeDocument/2006/relationships/header" Target="header90.xml" /><Relationship Id="rId666" Type="http://schemas.openxmlformats.org/officeDocument/2006/relationships/footer" Target="footer90.xml" /><Relationship Id="rId667" Type="http://schemas.openxmlformats.org/officeDocument/2006/relationships/hyperlink" Target="https://advance.lexis.com/api/document?collection=cases-ca&amp;id=urn:contentItem:5F7T-S7B1-JSRM-60H4-00000-00&amp;context=" TargetMode="External" /><Relationship Id="rId668" Type="http://schemas.openxmlformats.org/officeDocument/2006/relationships/hyperlink" Target="https://advance.lexis.com/api/document?collection=cases-ca&amp;id=urn:contentItem:5F7T-S751-JP4G-613B-00000-00&amp;context=" TargetMode="External" /><Relationship Id="rId669" Type="http://schemas.openxmlformats.org/officeDocument/2006/relationships/hyperlink" Target="https://advance.lexis.com/api/document?collection=cases-ca&amp;id=urn:contentItem:5F7T-S741-F2F4-G2B9-00000-00&amp;context=" TargetMode="External" /><Relationship Id="rId67" Type="http://schemas.openxmlformats.org/officeDocument/2006/relationships/hyperlink" Target="https://advance.lexis.com/api/document?collection=cases-ca&amp;id=urn:contentItem:5F82-1SH1-F8KH-X1T1-00000-00&amp;context=" TargetMode="External" /><Relationship Id="rId670" Type="http://schemas.openxmlformats.org/officeDocument/2006/relationships/hyperlink" Target="https://advance.lexis.com/api/document?collection=cases-ca&amp;id=urn:contentItem:5F7T-S701-F8KH-X150-00000-00&amp;context=" TargetMode="External" /><Relationship Id="rId671" Type="http://schemas.openxmlformats.org/officeDocument/2006/relationships/hyperlink" Target="https://advance.lexis.com/api/document?collection=cases-ca&amp;id=urn:contentItem:5F7T-S711-JNS1-M14R-00000-00&amp;context=" TargetMode="External" /><Relationship Id="rId672" Type="http://schemas.openxmlformats.org/officeDocument/2006/relationships/hyperlink" Target="https://advance.lexis.com/api/document?collection=cases-ca&amp;id=urn:contentItem:5F7T-S6T1-F2F4-G1FF-00000-00&amp;context=" TargetMode="External" /><Relationship Id="rId673" Type="http://schemas.openxmlformats.org/officeDocument/2006/relationships/hyperlink" Target="https://advance.lexis.com/api/document?collection=cases-ca&amp;id=urn:contentItem:5F7T-S6W1-F7ND-G2KM-00000-00&amp;context=" TargetMode="External" /><Relationship Id="rId674" Type="http://schemas.openxmlformats.org/officeDocument/2006/relationships/hyperlink" Target="https://advance.lexis.com/api/document?collection=cases-ca&amp;id=urn:contentItem:5F7T-S6V1-F2TK-22G9-00000-00&amp;context=" TargetMode="External" /><Relationship Id="rId675" Type="http://schemas.openxmlformats.org/officeDocument/2006/relationships/hyperlink" Target="https://advance.lexis.com/api/document?collection=cases-ca&amp;id=urn:contentItem:5F7T-S771-JN14-G27W-00000-00&amp;context=" TargetMode="External" /><Relationship Id="rId676" Type="http://schemas.openxmlformats.org/officeDocument/2006/relationships/header" Target="header91.xml" /><Relationship Id="rId677" Type="http://schemas.openxmlformats.org/officeDocument/2006/relationships/header" Target="header92.xml" /><Relationship Id="rId678" Type="http://schemas.openxmlformats.org/officeDocument/2006/relationships/footer" Target="footer91.xml" /><Relationship Id="rId679" Type="http://schemas.openxmlformats.org/officeDocument/2006/relationships/footer" Target="footer92.xml" /><Relationship Id="rId68" Type="http://schemas.openxmlformats.org/officeDocument/2006/relationships/hyperlink" Target="https://advance.lexis.com/api/document?collection=cases-ca&amp;id=urn:contentItem:5F7T-S761-JX8W-M2N9-00000-00&amp;context=" TargetMode="External" /><Relationship Id="rId680" Type="http://schemas.openxmlformats.org/officeDocument/2006/relationships/header" Target="header93.xml" /><Relationship Id="rId681" Type="http://schemas.openxmlformats.org/officeDocument/2006/relationships/footer" Target="footer93.xml" /><Relationship Id="rId682" Type="http://schemas.openxmlformats.org/officeDocument/2006/relationships/hyperlink" Target="https://advance.lexis.com/api/document?collection=cases-ca&amp;id=urn:contentItem:5F7T-S7H1-JS5Y-B312-00000-00&amp;context=" TargetMode="External" /><Relationship Id="rId683" Type="http://schemas.openxmlformats.org/officeDocument/2006/relationships/hyperlink" Target="https://advance.lexis.com/api/document?collection=cases-ca&amp;id=urn:contentItem:5K6Y-81M1-DXHD-G2C3-00000-00&amp;context=" TargetMode="External" /><Relationship Id="rId684" Type="http://schemas.openxmlformats.org/officeDocument/2006/relationships/hyperlink" Target="https://advance.lexis.com/api/document?collection=cases-ca&amp;id=urn:contentItem:5F7T-S6X1-FJDY-X15S-00000-00&amp;context=" TargetMode="External" /><Relationship Id="rId685" Type="http://schemas.openxmlformats.org/officeDocument/2006/relationships/hyperlink" Target="https://advance.lexis.com/api/document?collection=cases-ca&amp;id=urn:contentItem:5F7T-S741-F7VM-S351-00000-00&amp;context=" TargetMode="External" /><Relationship Id="rId686" Type="http://schemas.openxmlformats.org/officeDocument/2006/relationships/hyperlink" Target="https://advance.lexis.com/api/document?collection=cases-ca&amp;id=urn:contentItem:5F7T-S7F1-DXWW-2480-00000-00&amp;context=" TargetMode="External" /><Relationship Id="rId687" Type="http://schemas.openxmlformats.org/officeDocument/2006/relationships/hyperlink" Target="https://advance.lexis.com/api/document?collection=cases-ca&amp;id=urn:contentItem:5F7T-S7F1-JX3N-B1GV-00000-00&amp;context=" TargetMode="External" /><Relationship Id="rId688" Type="http://schemas.openxmlformats.org/officeDocument/2006/relationships/hyperlink" Target="https://advance.lexis.com/api/document?collection=cases-ca&amp;id=urn:contentItem:5F7T-S7B1-JCJ5-202X-00000-00&amp;context=" TargetMode="External" /><Relationship Id="rId689" Type="http://schemas.openxmlformats.org/officeDocument/2006/relationships/hyperlink" Target="https://advance.lexis.com/api/document?collection=cases-ca&amp;id=urn:contentItem:5F7T-S741-DY89-M378-00000-00&amp;context=" TargetMode="External" /><Relationship Id="rId69" Type="http://schemas.openxmlformats.org/officeDocument/2006/relationships/hyperlink" Target="https://advance.lexis.com/api/document?collection=cases-ca&amp;id=urn:contentItem:5F7T-S7D1-JN6B-S0SJ-00000-00&amp;context=" TargetMode="External" /><Relationship Id="rId690" Type="http://schemas.openxmlformats.org/officeDocument/2006/relationships/hyperlink" Target="https://advance.lexis.com/api/document?collection=cases-ca&amp;id=urn:contentItem:5F7T-S7F1-JK4W-M1D6-00000-00&amp;context=" TargetMode="External" /><Relationship Id="rId691" Type="http://schemas.openxmlformats.org/officeDocument/2006/relationships/hyperlink" Target="https://advance.lexis.com/api/document?collection=cases-ca&amp;id=urn:contentItem:5F8P-T8X1-JTGH-B0WJ-00000-00&amp;context=" TargetMode="External" /><Relationship Id="rId692" Type="http://schemas.openxmlformats.org/officeDocument/2006/relationships/hyperlink" Target="https://advance.lexis.com/api/document?collection=cases-ca&amp;id=urn:contentItem:5F7T-S711-F4GK-M2JK-00000-00&amp;context=" TargetMode="External" /><Relationship Id="rId693" Type="http://schemas.openxmlformats.org/officeDocument/2006/relationships/hyperlink" Target="https://advance.lexis.com/api/document?collection=cases-ca&amp;id=urn:contentItem:5F7T-S6Y1-JTNR-M4B2-00000-00&amp;context=" TargetMode="External" /><Relationship Id="rId694" Type="http://schemas.openxmlformats.org/officeDocument/2006/relationships/hyperlink" Target="https://advance.lexis.com/api/document?collection=cases-ca&amp;id=urn:contentItem:5F7T-S6X1-K054-G1P5-00000-00&amp;context=" TargetMode="External" /><Relationship Id="rId695" Type="http://schemas.openxmlformats.org/officeDocument/2006/relationships/hyperlink" Target="https://advance.lexis.com/api/document?collection=cases-ca&amp;id=urn:contentItem:5F7T-S701-JJ6S-61M5-00000-00&amp;context=" TargetMode="External" /><Relationship Id="rId696" Type="http://schemas.openxmlformats.org/officeDocument/2006/relationships/hyperlink" Target="https://advance.lexis.com/api/document?collection=cases-ca&amp;id=urn:contentItem:5F8P-SCN1-F8D9-M293-00000-00&amp;context=" TargetMode="External" /><Relationship Id="rId697" Type="http://schemas.openxmlformats.org/officeDocument/2006/relationships/hyperlink" Target="https://advance.lexis.com/api/document?collection=cases-ca&amp;id=urn:contentItem:5F7T-S6V1-JFKM-60T7-00000-00&amp;context=" TargetMode="External" /><Relationship Id="rId698" Type="http://schemas.openxmlformats.org/officeDocument/2006/relationships/header" Target="header94.xml" /><Relationship Id="rId699" Type="http://schemas.openxmlformats.org/officeDocument/2006/relationships/header" Target="header95.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81-VJW1-JF75-M1FG-00000-00&amp;context=" TargetMode="External" /><Relationship Id="rId700" Type="http://schemas.openxmlformats.org/officeDocument/2006/relationships/footer" Target="footer94.xml" /><Relationship Id="rId701" Type="http://schemas.openxmlformats.org/officeDocument/2006/relationships/footer" Target="footer95.xml" /><Relationship Id="rId702" Type="http://schemas.openxmlformats.org/officeDocument/2006/relationships/header" Target="header96.xml" /><Relationship Id="rId703" Type="http://schemas.openxmlformats.org/officeDocument/2006/relationships/footer" Target="footer96.xml" /><Relationship Id="rId704" Type="http://schemas.openxmlformats.org/officeDocument/2006/relationships/hyperlink" Target="https://advance.lexis.com/api/document?collection=cases-ca&amp;id=urn:contentItem:5F7T-S7P1-JSJC-X1VS-00000-00&amp;context=" TargetMode="External" /><Relationship Id="rId705" Type="http://schemas.openxmlformats.org/officeDocument/2006/relationships/hyperlink" Target="https://advance.lexis.com/api/document?collection=cases-ca&amp;id=urn:contentItem:5F7T-S7M1-JPP5-22MK-00000-00&amp;context=" TargetMode="External" /><Relationship Id="rId706" Type="http://schemas.openxmlformats.org/officeDocument/2006/relationships/hyperlink" Target="https://advance.lexis.com/api/document?collection=cases-ca&amp;id=urn:contentItem:5F7T-S7C1-JXG3-X03T-00000-00&amp;context=" TargetMode="External" /><Relationship Id="rId707" Type="http://schemas.openxmlformats.org/officeDocument/2006/relationships/hyperlink" Target="https://advance.lexis.com/api/document?collection=cases-ca&amp;id=urn:contentItem:5F7T-S7G1-JX3N-B2HN-00000-00&amp;context=" TargetMode="External" /><Relationship Id="rId708" Type="http://schemas.openxmlformats.org/officeDocument/2006/relationships/hyperlink" Target="https://advance.lexis.com/api/document?collection=cases-ca&amp;id=urn:contentItem:5F7T-S7G1-JN6B-S1BN-00000-00&amp;context=" TargetMode="External" /><Relationship Id="rId709" Type="http://schemas.openxmlformats.org/officeDocument/2006/relationships/hyperlink" Target="https://advance.lexis.com/api/document?collection=cases-ca&amp;id=urn:contentItem:5F7T-S7C1-F4NT-X3RV-00000-00&amp;context=" TargetMode="External" /><Relationship Id="rId71" Type="http://schemas.openxmlformats.org/officeDocument/2006/relationships/hyperlink" Target="https://advance.lexis.com/api/document?collection=cases-ca&amp;id=urn:contentItem:5F7T-S7M1-JPP5-22SC-00000-00&amp;context=" TargetMode="External" /><Relationship Id="rId710" Type="http://schemas.openxmlformats.org/officeDocument/2006/relationships/hyperlink" Target="https://advance.lexis.com/api/document?collection=cases-ca&amp;id=urn:contentItem:5F7T-S7M1-JPP5-22SM-00000-00&amp;context=" TargetMode="External" /><Relationship Id="rId711" Type="http://schemas.openxmlformats.org/officeDocument/2006/relationships/hyperlink" Target="https://advance.lexis.com/api/document?collection=cases-ca&amp;id=urn:contentItem:5F7T-S711-FJDY-X37X-00000-00&amp;context=" TargetMode="External" /><Relationship Id="rId712" Type="http://schemas.openxmlformats.org/officeDocument/2006/relationships/hyperlink" Target="https://advance.lexis.com/api/document?collection=cases-ca&amp;id=urn:contentItem:5F7T-S7D1-JS5Y-B2F6-00000-00&amp;context=" TargetMode="External" /><Relationship Id="rId713" Type="http://schemas.openxmlformats.org/officeDocument/2006/relationships/header" Target="header97.xml" /><Relationship Id="rId714" Type="http://schemas.openxmlformats.org/officeDocument/2006/relationships/header" Target="header98.xml" /><Relationship Id="rId715" Type="http://schemas.openxmlformats.org/officeDocument/2006/relationships/footer" Target="footer97.xml" /><Relationship Id="rId716" Type="http://schemas.openxmlformats.org/officeDocument/2006/relationships/footer" Target="footer98.xml" /><Relationship Id="rId717" Type="http://schemas.openxmlformats.org/officeDocument/2006/relationships/header" Target="header99.xml" /><Relationship Id="rId718" Type="http://schemas.openxmlformats.org/officeDocument/2006/relationships/footer" Target="footer99.xml" /><Relationship Id="rId719" Type="http://schemas.openxmlformats.org/officeDocument/2006/relationships/hyperlink" Target="https://advance.lexis.com/api/document?collection=cases-ca&amp;id=urn:contentItem:5F7T-S7P1-JNJT-B2TT-00000-00&amp;context=" TargetMode="External" /><Relationship Id="rId72" Type="http://schemas.openxmlformats.org/officeDocument/2006/relationships/header" Target="header13.xml" /><Relationship Id="rId720" Type="http://schemas.openxmlformats.org/officeDocument/2006/relationships/hyperlink" Target="https://advance.lexis.com/api/document?collection=cases-ca&amp;id=urn:contentItem:5K6Y-81N1-JNY7-X1X4-00000-00&amp;context=" TargetMode="External" /><Relationship Id="rId721" Type="http://schemas.openxmlformats.org/officeDocument/2006/relationships/hyperlink" Target="https://advance.lexis.com/api/document?collection=cases-ca&amp;id=urn:contentItem:5F8T-N3V1-JTGH-B1J4-00000-00&amp;context=" TargetMode="External" /><Relationship Id="rId722" Type="http://schemas.openxmlformats.org/officeDocument/2006/relationships/hyperlink" Target="https://advance.lexis.com/api/document?collection=cases-ca&amp;id=urn:contentItem:5F8T-N3T1-JFKM-6545-00000-00&amp;context=" TargetMode="External" /><Relationship Id="rId723" Type="http://schemas.openxmlformats.org/officeDocument/2006/relationships/hyperlink" Target="https://advance.lexis.com/api/document?collection=cases-ca&amp;id=urn:contentItem:5F8T-N3V1-FC1F-M48M-00000-00&amp;context=" TargetMode="External" /><Relationship Id="rId724" Type="http://schemas.openxmlformats.org/officeDocument/2006/relationships/hyperlink" Target="https://advance.lexis.com/api/document?collection=cases-ca&amp;id=urn:contentItem:5F8T-N3V1-JTGH-B16V-00000-00&amp;context=" TargetMode="External" /><Relationship Id="rId725" Type="http://schemas.openxmlformats.org/officeDocument/2006/relationships/hyperlink" Target="https://advance.lexis.com/api/document?collection=cases-ca&amp;id=urn:contentItem:5F8T-N3V1-FC1F-M44Y-00000-00&amp;context=" TargetMode="External" /><Relationship Id="rId726" Type="http://schemas.openxmlformats.org/officeDocument/2006/relationships/hyperlink" Target="https://advance.lexis.com/api/document?collection=cases-ca&amp;id=urn:contentItem:5F8T-N3V1-JTGH-B1GV-00000-00&amp;context=" TargetMode="External" /><Relationship Id="rId727" Type="http://schemas.openxmlformats.org/officeDocument/2006/relationships/hyperlink" Target="https://advance.lexis.com/api/document?collection=cases-ca&amp;id=urn:contentItem:5F8T-N3T1-JGHR-M1TY-00000-00&amp;context=" TargetMode="External" /><Relationship Id="rId728" Type="http://schemas.openxmlformats.org/officeDocument/2006/relationships/header" Target="header100.xml" /><Relationship Id="rId729" Type="http://schemas.openxmlformats.org/officeDocument/2006/relationships/header" Target="header101.xml" /><Relationship Id="rId73" Type="http://schemas.openxmlformats.org/officeDocument/2006/relationships/header" Target="header14.xml" /><Relationship Id="rId730" Type="http://schemas.openxmlformats.org/officeDocument/2006/relationships/footer" Target="footer100.xml" /><Relationship Id="rId731" Type="http://schemas.openxmlformats.org/officeDocument/2006/relationships/footer" Target="footer101.xml" /><Relationship Id="rId732" Type="http://schemas.openxmlformats.org/officeDocument/2006/relationships/header" Target="header102.xml" /><Relationship Id="rId733" Type="http://schemas.openxmlformats.org/officeDocument/2006/relationships/footer" Target="footer102.xml" /><Relationship Id="rId734" Type="http://schemas.openxmlformats.org/officeDocument/2006/relationships/hyperlink" Target="https://advance.lexis.com/api/document?collection=cases-ca&amp;id=urn:contentItem:5GCC-XVB1-JGHR-M4F1-00000-00&amp;context=" TargetMode="External" /><Relationship Id="rId735" Type="http://schemas.openxmlformats.org/officeDocument/2006/relationships/hyperlink" Target="https://advance.lexis.com/api/document?collection=legislation-ca&amp;id=urn:contentItem:5F41-1FJ1-F5KY-B1T3-00000-00&amp;context=" TargetMode="External" /><Relationship Id="rId736" Type="http://schemas.openxmlformats.org/officeDocument/2006/relationships/hyperlink" Target="https://advance.lexis.com/api/document?collection=cases-ca&amp;id=urn:contentItem:5F7T-S781-JSC5-M435-00000-00&amp;context=" TargetMode="External" /><Relationship Id="rId737" Type="http://schemas.openxmlformats.org/officeDocument/2006/relationships/hyperlink" Target="https://advance.lexis.com/api/document?collection=cases-ca&amp;id=urn:contentItem:5F7T-S6Y1-JF75-M3V6-00000-00&amp;context=" TargetMode="External" /><Relationship Id="rId738" Type="http://schemas.openxmlformats.org/officeDocument/2006/relationships/hyperlink" Target="https://advance.lexis.com/api/document?collection=cases-ca&amp;id=urn:contentItem:5F7T-S731-F1WF-M26B-00000-00&amp;context=" TargetMode="External" /><Relationship Id="rId739" Type="http://schemas.openxmlformats.org/officeDocument/2006/relationships/hyperlink" Target="https://advance.lexis.com/api/document?collection=cases-ca&amp;id=urn:contentItem:5F7T-S7H1-F4GK-M3DX-00000-00&amp;context=" TargetMode="External" /><Relationship Id="rId74" Type="http://schemas.openxmlformats.org/officeDocument/2006/relationships/footer" Target="footer13.xml" /><Relationship Id="rId740" Type="http://schemas.openxmlformats.org/officeDocument/2006/relationships/hyperlink" Target="https://advance.lexis.com/api/document?collection=cases-ca&amp;id=urn:contentItem:5F7T-S7P1-JNJT-B2PV-00000-00&amp;context=" TargetMode="External" /><Relationship Id="rId741" Type="http://schemas.openxmlformats.org/officeDocument/2006/relationships/hyperlink" Target="https://advance.lexis.com/api/document?collection=cases-ca&amp;id=urn:contentItem:5F7T-S791-JCJ5-24W9-00000-00&amp;context=" TargetMode="External" /><Relationship Id="rId742" Type="http://schemas.openxmlformats.org/officeDocument/2006/relationships/hyperlink" Target="https://advance.lexis.com/api/document?collection=cases-ca&amp;id=urn:contentItem:5F7T-S711-JNS1-M16R-00000-00&amp;context=" TargetMode="External" /><Relationship Id="rId743" Type="http://schemas.openxmlformats.org/officeDocument/2006/relationships/hyperlink" Target="https://advance.lexis.com/api/document?collection=cases-ca&amp;id=urn:contentItem:5F16-9301-JFDC-X1T6-00000-00&amp;context=" TargetMode="External" /><Relationship Id="rId744" Type="http://schemas.openxmlformats.org/officeDocument/2006/relationships/hyperlink" Target="https://advance.lexis.com/api/document?collection=cases-ca&amp;id=urn:contentItem:5F7T-S721-JSC5-M37Y-00000-00&amp;context=" TargetMode="External" /><Relationship Id="rId745" Type="http://schemas.openxmlformats.org/officeDocument/2006/relationships/hyperlink" Target="https://advance.lexis.com/api/document?collection=cases-ca&amp;id=urn:contentItem:5F7T-S741-F528-G22X-00000-00&amp;context=" TargetMode="External" /><Relationship Id="rId746" Type="http://schemas.openxmlformats.org/officeDocument/2006/relationships/hyperlink" Target="https://advance.lexis.com/api/document?collection=cases-ca&amp;id=urn:contentItem:5F7T-S7C1-JSRM-617T-00000-00&amp;context=" TargetMode="External" /><Relationship Id="rId747" Type="http://schemas.openxmlformats.org/officeDocument/2006/relationships/hyperlink" Target="https://advance.lexis.com/api/document?collection=cases-ca&amp;id=urn:contentItem:5F7T-S7K1-F528-G2TF-00000-00&amp;context=" TargetMode="External" /><Relationship Id="rId748" Type="http://schemas.openxmlformats.org/officeDocument/2006/relationships/hyperlink" Target="https://advance.lexis.com/api/document?collection=cases-ca&amp;id=urn:contentItem:5F7T-S7K1-JWXF-2142-00000-00&amp;context=" TargetMode="External" /><Relationship Id="rId749" Type="http://schemas.openxmlformats.org/officeDocument/2006/relationships/hyperlink" Target="https://advance.lexis.com/api/document?collection=cases-ca&amp;id=urn:contentItem:5F8T-N3R1-JNS1-M0R4-00000-00&amp;context=" TargetMode="External" /><Relationship Id="rId75" Type="http://schemas.openxmlformats.org/officeDocument/2006/relationships/footer" Target="footer14.xml" /><Relationship Id="rId750" Type="http://schemas.openxmlformats.org/officeDocument/2006/relationships/hyperlink" Target="https://advance.lexis.com/api/document?collection=cases-ca&amp;id=urn:contentItem:5F7T-S761-JX8W-M34J-00000-00&amp;context=" TargetMode="External" /><Relationship Id="rId751" Type="http://schemas.openxmlformats.org/officeDocument/2006/relationships/hyperlink" Target="https://advance.lexis.com/api/document?collection=cases-ca&amp;id=urn:contentItem:5F81-VJX1-FGY5-M3T7-00000-00&amp;context=" TargetMode="External" /><Relationship Id="rId752" Type="http://schemas.openxmlformats.org/officeDocument/2006/relationships/hyperlink" Target="https://advance.lexis.com/api/document?collection=cases-ca&amp;id=urn:contentItem:5F7T-S7M1-JPP5-22KX-00000-00&amp;context=" TargetMode="External" /><Relationship Id="rId753" Type="http://schemas.openxmlformats.org/officeDocument/2006/relationships/hyperlink" Target="https://advance.lexis.com/api/document?collection=cases-ca&amp;id=urn:contentItem:5F7T-S7J1-JYYX-62B9-00000-00&amp;context=" TargetMode="External" /><Relationship Id="rId754" Type="http://schemas.openxmlformats.org/officeDocument/2006/relationships/hyperlink" Target="https://advance.lexis.com/api/document?collection=cases-ca&amp;id=urn:contentItem:5F7T-S751-F361-M0PG-00000-00&amp;context=" TargetMode="External" /><Relationship Id="rId755" Type="http://schemas.openxmlformats.org/officeDocument/2006/relationships/hyperlink" Target="https://advance.lexis.com/api/document?collection=cases-ca&amp;id=urn:contentItem:5F8T-N3N1-JWXF-24H1-00000-00&amp;context=" TargetMode="External" /><Relationship Id="rId756" Type="http://schemas.openxmlformats.org/officeDocument/2006/relationships/hyperlink" Target="https://advance.lexis.com/api/document?collection=cases-ca&amp;id=urn:contentItem:5F7T-S7F1-JK4W-M1WY-00000-00&amp;context=" TargetMode="External" /><Relationship Id="rId757" Type="http://schemas.openxmlformats.org/officeDocument/2006/relationships/hyperlink" Target="https://advance.lexis.com/api/document?collection=cases-ca&amp;id=urn:contentItem:5F7T-S7J1-JGBH-B222-00000-00&amp;context=" TargetMode="External" /><Relationship Id="rId758" Type="http://schemas.openxmlformats.org/officeDocument/2006/relationships/hyperlink" Target="https://advance.lexis.com/api/document?collection=cases-ca&amp;id=urn:contentItem:5GCC-XVB1-JSXV-G09N-00000-00&amp;context=" TargetMode="External" /><Relationship Id="rId759" Type="http://schemas.openxmlformats.org/officeDocument/2006/relationships/hyperlink" Target="https://advance.lexis.com/api/document?collection=cases-ca&amp;id=urn:contentItem:5F7T-S7K1-JX3N-B32S-00000-00&amp;context=" TargetMode="External" /><Relationship Id="rId76" Type="http://schemas.openxmlformats.org/officeDocument/2006/relationships/header" Target="header15.xml" /><Relationship Id="rId760" Type="http://schemas.openxmlformats.org/officeDocument/2006/relationships/hyperlink" Target="https://advance.lexis.com/api/document?collection=cases-ca&amp;id=urn:contentItem:5GCC-XVB1-JSXV-G0F0-00000-00&amp;context=" TargetMode="External" /><Relationship Id="rId761" Type="http://schemas.openxmlformats.org/officeDocument/2006/relationships/header" Target="header103.xml" /><Relationship Id="rId762" Type="http://schemas.openxmlformats.org/officeDocument/2006/relationships/header" Target="header104.xml" /><Relationship Id="rId763" Type="http://schemas.openxmlformats.org/officeDocument/2006/relationships/footer" Target="footer103.xml" /><Relationship Id="rId764" Type="http://schemas.openxmlformats.org/officeDocument/2006/relationships/footer" Target="footer104.xml" /><Relationship Id="rId765" Type="http://schemas.openxmlformats.org/officeDocument/2006/relationships/header" Target="header105.xml" /><Relationship Id="rId766" Type="http://schemas.openxmlformats.org/officeDocument/2006/relationships/footer" Target="footer105.xml" /><Relationship Id="rId767" Type="http://schemas.openxmlformats.org/officeDocument/2006/relationships/hyperlink" Target="https://advance.lexis.com/api/document?collection=cases-ca&amp;id=urn:contentItem:5W4G-7M61-JB7K-207X-00000-00&amp;context=" TargetMode="External" /><Relationship Id="rId768" Type="http://schemas.openxmlformats.org/officeDocument/2006/relationships/hyperlink" Target="https://advance.lexis.com/api/document?collection=legislation-ca&amp;id=urn:contentItem:5F41-1FH1-F361-M0FY-00000-00&amp;context=" TargetMode="External" /><Relationship Id="rId769" Type="http://schemas.openxmlformats.org/officeDocument/2006/relationships/hyperlink" Target="https://advance.lexis.com/api/document?collection=cases-ca&amp;id=urn:contentItem:5F7T-S7M1-JJK6-S1KX-00000-00&amp;context=" TargetMode="External" /><Relationship Id="rId77" Type="http://schemas.openxmlformats.org/officeDocument/2006/relationships/footer" Target="footer15.xml" /><Relationship Id="rId770" Type="http://schemas.openxmlformats.org/officeDocument/2006/relationships/hyperlink" Target="https://advance.lexis.com/api/document?collection=cases-ca&amp;id=urn:contentItem:5F7T-S6Y1-FJDY-X23K-00000-00&amp;context=" TargetMode="External" /><Relationship Id="rId771" Type="http://schemas.openxmlformats.org/officeDocument/2006/relationships/hyperlink" Target="https://advance.lexis.com/api/document?collection=cases-ca&amp;id=urn:contentItem:5GN2-DCK1-FGRY-B3MS-00000-00&amp;context=" TargetMode="External" /><Relationship Id="rId772" Type="http://schemas.openxmlformats.org/officeDocument/2006/relationships/hyperlink" Target="https://advance.lexis.com/api/document?collection=cases-ca&amp;id=urn:contentItem:5NP1-5SB1-JX8W-M2B4-00000-00&amp;context=" TargetMode="External" /><Relationship Id="rId773" Type="http://schemas.openxmlformats.org/officeDocument/2006/relationships/hyperlink" Target="https://advance.lexis.com/api/document?collection=cases-ca&amp;id=urn:contentItem:5GCC-XVB1-JGHR-M4M9-00000-00&amp;context=" TargetMode="External" /><Relationship Id="rId774" Type="http://schemas.openxmlformats.org/officeDocument/2006/relationships/hyperlink" Target="https://advance.lexis.com/api/document?collection=cases-ca&amp;id=urn:contentItem:5F7T-S7D1-FFFC-B1DT-00000-00&amp;context=" TargetMode="External" /><Relationship Id="rId775" Type="http://schemas.openxmlformats.org/officeDocument/2006/relationships/hyperlink" Target="https://advance.lexis.com/api/document?collection=cases-ca&amp;id=urn:contentItem:5F7T-S7F1-FJTD-G3D8-00000-00&amp;context=" TargetMode="External" /><Relationship Id="rId776" Type="http://schemas.openxmlformats.org/officeDocument/2006/relationships/hyperlink" Target="https://advance.lexis.com/api/document?collection=cases-ca&amp;id=urn:contentItem:5GCC-XVC1-FK0M-S016-00000-00&amp;context=" TargetMode="External" /><Relationship Id="rId777" Type="http://schemas.openxmlformats.org/officeDocument/2006/relationships/hyperlink" Target="https://advance.lexis.com/api/document?collection=cases-ca&amp;id=urn:contentItem:5F7T-S761-JCBX-S0W2-00000-00&amp;context=" TargetMode="External" /><Relationship Id="rId778" Type="http://schemas.openxmlformats.org/officeDocument/2006/relationships/hyperlink" Target="https://advance.lexis.com/api/document?collection=cases-ca&amp;id=urn:contentItem:5NSB-PR71-K054-G3CD-00000-00&amp;context=" TargetMode="External" /><Relationship Id="rId779" Type="http://schemas.openxmlformats.org/officeDocument/2006/relationships/hyperlink" Target="https://advance.lexis.com/api/document?collection=cases-ca&amp;id=urn:contentItem:5F7T-S7P1-JP4G-6234-00000-00&amp;context=" TargetMode="External" /><Relationship Id="rId78" Type="http://schemas.openxmlformats.org/officeDocument/2006/relationships/hyperlink" Target="https://advance.lexis.com/api/document?collection=cases-ca&amp;id=urn:contentItem:5F7T-S7F1-FJTD-G34C-00000-00&amp;context=" TargetMode="External" /><Relationship Id="rId780" Type="http://schemas.openxmlformats.org/officeDocument/2006/relationships/hyperlink" Target="https://advance.lexis.com/api/document?collection=cases-ca&amp;id=urn:contentItem:5F8T-N3P1-FC6N-X16W-00000-00&amp;context=" TargetMode="External" /><Relationship Id="rId781" Type="http://schemas.openxmlformats.org/officeDocument/2006/relationships/hyperlink" Target="https://advance.lexis.com/api/document?collection=cases-ca&amp;id=urn:contentItem:5F7T-S6R1-JSXV-G0P2-00000-00&amp;context=" TargetMode="External" /><Relationship Id="rId782" Type="http://schemas.openxmlformats.org/officeDocument/2006/relationships/hyperlink" Target="https://advance.lexis.com/api/document?collection=cases-ca&amp;id=urn:contentItem:5F7T-S6R1-JGPY-X0T3-00000-00&amp;context=" TargetMode="External" /><Relationship Id="rId783" Type="http://schemas.openxmlformats.org/officeDocument/2006/relationships/hyperlink" Target="https://advance.lexis.com/api/document?collection=cases-ca&amp;id=urn:contentItem:5F7T-S6P1-JGBH-B1X2-00000-00&amp;context=" TargetMode="External" /><Relationship Id="rId784" Type="http://schemas.openxmlformats.org/officeDocument/2006/relationships/hyperlink" Target="https://advance.lexis.com/api/document?collection=cases-ca&amp;id=urn:contentItem:5F7T-S711-F4W2-61WK-00000-00&amp;context=" TargetMode="External" /><Relationship Id="rId785" Type="http://schemas.openxmlformats.org/officeDocument/2006/relationships/hyperlink" Target="https://advance.lexis.com/api/document?collection=cases-ca&amp;id=urn:contentItem:5J58-W6W1-FG12-61NB-00000-00&amp;context=" TargetMode="External" /><Relationship Id="rId786" Type="http://schemas.openxmlformats.org/officeDocument/2006/relationships/hyperlink" Target="https://advance.lexis.com/api/document?collection=cases-ca&amp;id=urn:contentItem:5F7T-S781-F900-G0YV-00000-00&amp;context=" TargetMode="External" /><Relationship Id="rId787" Type="http://schemas.openxmlformats.org/officeDocument/2006/relationships/header" Target="header106.xml" /><Relationship Id="rId788" Type="http://schemas.openxmlformats.org/officeDocument/2006/relationships/header" Target="header107.xml" /><Relationship Id="rId789" Type="http://schemas.openxmlformats.org/officeDocument/2006/relationships/footer" Target="footer106.xml" /><Relationship Id="rId79" Type="http://schemas.openxmlformats.org/officeDocument/2006/relationships/hyperlink" Target="https://advance.lexis.com/api/document?collection=cases-ca&amp;id=urn:contentItem:5F8T-N3T1-JFKM-654F-00000-00&amp;context=" TargetMode="External" /><Relationship Id="rId790" Type="http://schemas.openxmlformats.org/officeDocument/2006/relationships/footer" Target="footer107.xml" /><Relationship Id="rId791" Type="http://schemas.openxmlformats.org/officeDocument/2006/relationships/header" Target="header108.xml" /><Relationship Id="rId792" Type="http://schemas.openxmlformats.org/officeDocument/2006/relationships/footer" Target="footer108.xml" /><Relationship Id="rId793" Type="http://schemas.openxmlformats.org/officeDocument/2006/relationships/hyperlink" Target="https://advance.lexis.com/api/document?collection=cases-ca&amp;id=urn:contentItem:5F7T-S7N1-JC5P-G1YB-00000-00&amp;context=" TargetMode="External" /><Relationship Id="rId794" Type="http://schemas.openxmlformats.org/officeDocument/2006/relationships/hyperlink" Target="https://advance.lexis.com/api/document?collection=legislation-ca&amp;id=urn:contentItem:5GBY-CM31-JYYX-633F-00000-00&amp;context=" TargetMode="External" /><Relationship Id="rId795" Type="http://schemas.openxmlformats.org/officeDocument/2006/relationships/hyperlink" Target="https://advance.lexis.com/api/document?collection=cases-ca&amp;id=urn:contentItem:5F7T-S7K1-JSJC-X0TC-00000-00&amp;context=" TargetMode="External" /><Relationship Id="rId796" Type="http://schemas.openxmlformats.org/officeDocument/2006/relationships/hyperlink" Target="https://advance.lexis.com/api/document?collection=cases-ca&amp;id=urn:contentItem:5F7T-S711-FJDY-X3FC-00000-00&amp;context=" TargetMode="External" /><Relationship Id="rId797" Type="http://schemas.openxmlformats.org/officeDocument/2006/relationships/hyperlink" Target="https://advance.lexis.com/api/document?collection=cases-ca&amp;id=urn:contentItem:5F7T-S7K1-JX3N-B2TW-00000-00&amp;context=" TargetMode="External" /><Relationship Id="rId798" Type="http://schemas.openxmlformats.org/officeDocument/2006/relationships/hyperlink" Target="https://advance.lexis.com/api/document?collection=cases-ca&amp;id=urn:contentItem:5F7T-S7D1-F7ND-G0K1-00000-00&amp;context=" TargetMode="External" /><Relationship Id="rId799" Type="http://schemas.openxmlformats.org/officeDocument/2006/relationships/hyperlink" Target="https://advance.lexis.com/api/document?collection=cases-ca&amp;id=urn:contentItem:5F7T-S7M1-F4W2-6258-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81-JC5P-G1ST-00000-00&amp;context=" TargetMode="External" /><Relationship Id="rId800" Type="http://schemas.openxmlformats.org/officeDocument/2006/relationships/header" Target="header109.xml" /><Relationship Id="rId801" Type="http://schemas.openxmlformats.org/officeDocument/2006/relationships/header" Target="header110.xml" /><Relationship Id="rId802" Type="http://schemas.openxmlformats.org/officeDocument/2006/relationships/footer" Target="footer109.xml" /><Relationship Id="rId803" Type="http://schemas.openxmlformats.org/officeDocument/2006/relationships/footer" Target="footer110.xml" /><Relationship Id="rId804" Type="http://schemas.openxmlformats.org/officeDocument/2006/relationships/header" Target="header111.xml" /><Relationship Id="rId805" Type="http://schemas.openxmlformats.org/officeDocument/2006/relationships/footer" Target="footer111.xml" /><Relationship Id="rId806" Type="http://schemas.openxmlformats.org/officeDocument/2006/relationships/hyperlink" Target="https://advance.lexis.com/api/document?collection=cases-ca&amp;id=urn:contentItem:5F7T-S7C1-FGRY-B06B-00000-00&amp;context=" TargetMode="External" /><Relationship Id="rId807" Type="http://schemas.openxmlformats.org/officeDocument/2006/relationships/hyperlink" Target="https://advance.lexis.com/api/document?collection=legislation-ca&amp;id=urn:contentItem:5F41-1FJ1-JKPJ-G0P5-00000-00&amp;context=" TargetMode="External" /><Relationship Id="rId808" Type="http://schemas.openxmlformats.org/officeDocument/2006/relationships/hyperlink" Target="https://advance.lexis.com/api/document?collection=cases-ca&amp;id=urn:contentItem:5F8T-N3T1-JFKM-652N-00000-00&amp;context=" TargetMode="External" /><Relationship Id="rId809" Type="http://schemas.openxmlformats.org/officeDocument/2006/relationships/hyperlink" Target="https://advance.lexis.com/api/document?collection=cases-ca&amp;id=urn:contentItem:5F81-VJX1-JJYN-B4H3-00000-00&amp;context=" TargetMode="External" /><Relationship Id="rId81" Type="http://schemas.openxmlformats.org/officeDocument/2006/relationships/hyperlink" Target="https://advance.lexis.com/api/document?collection=cases-ca&amp;id=urn:contentItem:5F7T-S751-FJDY-X3M1-00000-00&amp;context=" TargetMode="External" /><Relationship Id="rId810" Type="http://schemas.openxmlformats.org/officeDocument/2006/relationships/hyperlink" Target="https://advance.lexis.com/api/document?collection=cases-ca&amp;id=urn:contentItem:5F7T-S6Y1-DY33-B0KB-00000-00&amp;context=" TargetMode="External" /><Relationship Id="rId811" Type="http://schemas.openxmlformats.org/officeDocument/2006/relationships/hyperlink" Target="https://advance.lexis.com/api/document?collection=cases-ca&amp;id=urn:contentItem:5F7T-S711-F27X-60R5-00000-00&amp;context=" TargetMode="External" /><Relationship Id="rId812" Type="http://schemas.openxmlformats.org/officeDocument/2006/relationships/hyperlink" Target="https://advance.lexis.com/api/document?collection=cases-ca&amp;id=urn:contentItem:5F8T-N3T1-JGHR-M1X6-00000-00&amp;context=" TargetMode="External" /><Relationship Id="rId813" Type="http://schemas.openxmlformats.org/officeDocument/2006/relationships/hyperlink" Target="https://advance.lexis.com/api/document?collection=cases-ca&amp;id=urn:contentItem:5F8T-N3V1-JF75-M3CF-00000-00&amp;context=" TargetMode="External" /><Relationship Id="rId814" Type="http://schemas.openxmlformats.org/officeDocument/2006/relationships/header" Target="header112.xml" /><Relationship Id="rId815" Type="http://schemas.openxmlformats.org/officeDocument/2006/relationships/header" Target="header113.xml" /><Relationship Id="rId816" Type="http://schemas.openxmlformats.org/officeDocument/2006/relationships/footer" Target="footer112.xml" /><Relationship Id="rId817" Type="http://schemas.openxmlformats.org/officeDocument/2006/relationships/footer" Target="footer113.xml" /><Relationship Id="rId818" Type="http://schemas.openxmlformats.org/officeDocument/2006/relationships/header" Target="header114.xml" /><Relationship Id="rId819" Type="http://schemas.openxmlformats.org/officeDocument/2006/relationships/footer" Target="footer114.xml" /><Relationship Id="rId82" Type="http://schemas.openxmlformats.org/officeDocument/2006/relationships/hyperlink" Target="https://advance.lexis.com/api/document?collection=cases-ca&amp;id=urn:contentItem:5F8P-SD11-DXHD-G4G1-00000-00&amp;context=" TargetMode="External" /><Relationship Id="rId820" Type="http://schemas.openxmlformats.org/officeDocument/2006/relationships/hyperlink" Target="https://advance.lexis.com/api/document?collection=cases-ca&amp;id=urn:contentItem:5F7T-S7C1-JS0R-2276-00000-00&amp;context=" TargetMode="External" /><Relationship Id="rId821" Type="http://schemas.openxmlformats.org/officeDocument/2006/relationships/hyperlink" Target="https://advance.lexis.com/api/document?collection=legislation-ca&amp;id=urn:contentItem:5F41-1FJ1-JKPJ-G0P7-00000-00&amp;context=" TargetMode="External" /><Relationship Id="rId822" Type="http://schemas.openxmlformats.org/officeDocument/2006/relationships/hyperlink" Target="https://advance.lexis.com/api/document?collection=cases-ca&amp;id=urn:contentItem:5F7T-S761-JX8W-M31J-00000-00&amp;context=" TargetMode="External" /><Relationship Id="rId823" Type="http://schemas.openxmlformats.org/officeDocument/2006/relationships/hyperlink" Target="https://advance.lexis.com/api/document?collection=cases-ca&amp;id=urn:contentItem:5F7T-S751-JG02-S25W-00000-00&amp;context=" TargetMode="External" /><Relationship Id="rId824" Type="http://schemas.openxmlformats.org/officeDocument/2006/relationships/hyperlink" Target="https://advance.lexis.com/api/document?collection=cases-ca&amp;id=urn:contentItem:5F7T-S741-DY89-M3J2-00000-00&amp;context=" TargetMode="External" /><Relationship Id="rId825" Type="http://schemas.openxmlformats.org/officeDocument/2006/relationships/hyperlink" Target="https://advance.lexis.com/api/document?collection=cases-ca&amp;id=urn:contentItem:5F7T-S6Y1-JPP5-21K9-00000-00&amp;context=" TargetMode="External" /><Relationship Id="rId826" Type="http://schemas.openxmlformats.org/officeDocument/2006/relationships/hyperlink" Target="https://advance.lexis.com/api/document?collection=cases-ca&amp;id=urn:contentItem:5F7T-S701-JGPY-X1SR-00000-00&amp;context=" TargetMode="External" /><Relationship Id="rId827" Type="http://schemas.openxmlformats.org/officeDocument/2006/relationships/hyperlink" Target="https://advance.lexis.com/api/document?collection=cases-ca&amp;id=urn:contentItem:5F7T-S741-F8D9-M1P7-00000-00&amp;context=" TargetMode="External" /><Relationship Id="rId828" Type="http://schemas.openxmlformats.org/officeDocument/2006/relationships/hyperlink" Target="https://advance.lexis.com/api/document?collection=cases-ca&amp;id=urn:contentItem:5F7T-S711-F4GK-M2SW-00000-00&amp;context=" TargetMode="External" /><Relationship Id="rId829" Type="http://schemas.openxmlformats.org/officeDocument/2006/relationships/hyperlink" Target="https://advance.lexis.com/api/document?collection=cases-ca&amp;id=urn:contentItem:5F7T-S7C1-FCSB-S2F0-00000-00&amp;context=" TargetMode="External" /><Relationship Id="rId83" Type="http://schemas.openxmlformats.org/officeDocument/2006/relationships/hyperlink" Target="https://advance.lexis.com/api/document?collection=cases-ca&amp;id=urn:contentItem:5F8P-SGB1-JKB3-X1MC-00000-00&amp;context=" TargetMode="External" /><Relationship Id="rId830" Type="http://schemas.openxmlformats.org/officeDocument/2006/relationships/hyperlink" Target="https://advance.lexis.com/api/document?collection=cases-ca&amp;id=urn:contentItem:5F7T-S6W1-FBFS-S1GR-00000-00&amp;context=" TargetMode="External" /><Relationship Id="rId831" Type="http://schemas.openxmlformats.org/officeDocument/2006/relationships/hyperlink" Target="https://advance.lexis.com/api/document?collection=cases-ca&amp;id=urn:contentItem:5F7T-S761-JX8W-M2PV-00000-00&amp;context=" TargetMode="External" /><Relationship Id="rId832" Type="http://schemas.openxmlformats.org/officeDocument/2006/relationships/hyperlink" Target="https://advance.lexis.com/api/document?collection=cases-ca&amp;id=urn:contentItem:5F7T-S741-DY89-M3P5-00000-00&amp;context=" TargetMode="External" /><Relationship Id="rId833" Type="http://schemas.openxmlformats.org/officeDocument/2006/relationships/hyperlink" Target="https://advance.lexis.com/api/document?collection=cases-ca&amp;id=urn:contentItem:5F7T-S771-JSJC-X05N-00000-00&amp;context=" TargetMode="External" /><Relationship Id="rId834" Type="http://schemas.openxmlformats.org/officeDocument/2006/relationships/header" Target="header115.xml" /><Relationship Id="rId835" Type="http://schemas.openxmlformats.org/officeDocument/2006/relationships/header" Target="header116.xml" /><Relationship Id="rId836" Type="http://schemas.openxmlformats.org/officeDocument/2006/relationships/footer" Target="footer115.xml" /><Relationship Id="rId837" Type="http://schemas.openxmlformats.org/officeDocument/2006/relationships/footer" Target="footer116.xml" /><Relationship Id="rId838" Type="http://schemas.openxmlformats.org/officeDocument/2006/relationships/header" Target="header117.xml" /><Relationship Id="rId839" Type="http://schemas.openxmlformats.org/officeDocument/2006/relationships/footer" Target="footer117.xml" /><Relationship Id="rId84" Type="http://schemas.openxmlformats.org/officeDocument/2006/relationships/hyperlink" Target="https://advance.lexis.com/api/document?collection=cases-ca&amp;id=urn:contentItem:5F7T-XPX1-JBDT-B55B-00000-00&amp;context=" TargetMode="External" /><Relationship Id="rId840" Type="http://schemas.openxmlformats.org/officeDocument/2006/relationships/hyperlink" Target="https://advance.lexis.com/api/document?collection=cases-ca&amp;id=urn:contentItem:5JRP-GCK1-JBM1-M0Y8-00000-00&amp;context=" TargetMode="External" /><Relationship Id="rId841" Type="http://schemas.openxmlformats.org/officeDocument/2006/relationships/hyperlink" Target="https://advance.lexis.com/api/document?collection=cases-ca&amp;id=urn:contentItem:5GCC-XVB1-JGHR-M4F4-00000-00&amp;context=" TargetMode="External" /><Relationship Id="rId842" Type="http://schemas.openxmlformats.org/officeDocument/2006/relationships/hyperlink" Target="https://advance.lexis.com/api/document?collection=cases-ca&amp;id=urn:contentItem:5F7T-S7M1-F4W2-6200-00000-00&amp;context=" TargetMode="External" /><Relationship Id="rId843" Type="http://schemas.openxmlformats.org/officeDocument/2006/relationships/hyperlink" Target="https://advance.lexis.com/api/document?collection=cases-ca&amp;id=urn:contentItem:5F7T-S7N1-JJ1H-X2SH-00000-00&amp;context=" TargetMode="External" /><Relationship Id="rId844" Type="http://schemas.openxmlformats.org/officeDocument/2006/relationships/hyperlink" Target="https://advance.lexis.com/api/document?collection=cases-ca&amp;id=urn:contentItem:5F7T-S7G1-JPP5-21VM-00000-00&amp;context=" TargetMode="External" /><Relationship Id="rId845" Type="http://schemas.openxmlformats.org/officeDocument/2006/relationships/hyperlink" Target="https://advance.lexis.com/api/document?collection=cases-ca&amp;id=urn:contentItem:5F7T-S7M1-JNCK-22HM-00000-00&amp;context=" TargetMode="External" /><Relationship Id="rId846" Type="http://schemas.openxmlformats.org/officeDocument/2006/relationships/hyperlink" Target="https://advance.lexis.com/api/document?collection=cases-ca&amp;id=urn:contentItem:5F7T-S7M1-JCRC-B1J7-00000-00&amp;context=" TargetMode="External" /><Relationship Id="rId847" Type="http://schemas.openxmlformats.org/officeDocument/2006/relationships/hyperlink" Target="https://advance.lexis.com/api/document?collection=cases-ca&amp;id=urn:contentItem:5F82-1SJ1-K0BB-S2TJ-00000-00&amp;context=" TargetMode="External" /><Relationship Id="rId848" Type="http://schemas.openxmlformats.org/officeDocument/2006/relationships/hyperlink" Target="https://advance.lexis.com/api/document?collection=cases-ca&amp;id=urn:contentItem:5F7T-S7D1-FFFC-B1FR-00000-00&amp;context=" TargetMode="External" /><Relationship Id="rId849" Type="http://schemas.openxmlformats.org/officeDocument/2006/relationships/hyperlink" Target="https://advance.lexis.com/api/document?collection=cases-ca&amp;id=urn:contentItem:5F7T-S7J1-JYYX-62BW-00000-00&amp;context=" TargetMode="External" /><Relationship Id="rId85" Type="http://schemas.openxmlformats.org/officeDocument/2006/relationships/hyperlink" Target="https://advance.lexis.com/api/document?collection=cases-ca&amp;id=urn:contentItem:5F7T-S711-JB2B-S0SY-00000-00&amp;context=" TargetMode="External" /><Relationship Id="rId850" Type="http://schemas.openxmlformats.org/officeDocument/2006/relationships/hyperlink" Target="https://advance.lexis.com/api/document?collection=cases-ca&amp;id=urn:contentItem:5GCC-XVB1-JGHR-M4RW-00000-00&amp;context=" TargetMode="External" /><Relationship Id="rId851" Type="http://schemas.openxmlformats.org/officeDocument/2006/relationships/hyperlink" Target="https://advance.lexis.com/api/document?collection=cases-ca&amp;id=urn:contentItem:5F7T-S7K1-F528-G2V7-00000-00&amp;context=" TargetMode="External" /><Relationship Id="rId852" Type="http://schemas.openxmlformats.org/officeDocument/2006/relationships/hyperlink" Target="https://advance.lexis.com/api/document?collection=cases-ca&amp;id=urn:contentItem:5F7T-S7K1-F1H1-223T-00000-00&amp;context=" TargetMode="External" /><Relationship Id="rId853" Type="http://schemas.openxmlformats.org/officeDocument/2006/relationships/hyperlink" Target="https://advance.lexis.com/api/document?collection=cases-ca&amp;id=urn:contentItem:5F7T-S7M1-JPP5-22NG-00000-00&amp;context=" TargetMode="External" /><Relationship Id="rId854" Type="http://schemas.openxmlformats.org/officeDocument/2006/relationships/hyperlink" Target="https://advance.lexis.com/api/document?collection=cases-ca&amp;id=urn:contentItem:5F7T-S7K1-DY33-B1VW-00000-00&amp;context=" TargetMode="External" /><Relationship Id="rId855" Type="http://schemas.openxmlformats.org/officeDocument/2006/relationships/hyperlink" Target="https://advance.lexis.com/api/document?collection=cases-ca&amp;id=urn:contentItem:5F7T-S7N1-DXWW-2055-00000-00&amp;context=" TargetMode="External" /><Relationship Id="rId856" Type="http://schemas.openxmlformats.org/officeDocument/2006/relationships/hyperlink" Target="https://advance.lexis.com/api/document?collection=cases-ca&amp;id=urn:contentItem:5F7T-S7M1-JJK6-S1PC-00000-00&amp;context=" TargetMode="External" /><Relationship Id="rId857" Type="http://schemas.openxmlformats.org/officeDocument/2006/relationships/hyperlink" Target="https://advance.lexis.com/api/document?collection=cases-ca&amp;id=urn:contentItem:5F7T-S7F1-F7VM-S495-00000-00&amp;context=" TargetMode="External" /><Relationship Id="rId858" Type="http://schemas.openxmlformats.org/officeDocument/2006/relationships/hyperlink" Target="https://advance.lexis.com/api/document?collection=cases-ca&amp;id=urn:contentItem:5F7T-S7F1-JFKM-61P6-00000-00&amp;context=" TargetMode="External" /><Relationship Id="rId859" Type="http://schemas.openxmlformats.org/officeDocument/2006/relationships/header" Target="header118.xml" /><Relationship Id="rId86" Type="http://schemas.openxmlformats.org/officeDocument/2006/relationships/header" Target="header16.xml" /><Relationship Id="rId860" Type="http://schemas.openxmlformats.org/officeDocument/2006/relationships/header" Target="header119.xml" /><Relationship Id="rId861" Type="http://schemas.openxmlformats.org/officeDocument/2006/relationships/footer" Target="footer118.xml" /><Relationship Id="rId862" Type="http://schemas.openxmlformats.org/officeDocument/2006/relationships/footer" Target="footer119.xml" /><Relationship Id="rId863" Type="http://schemas.openxmlformats.org/officeDocument/2006/relationships/header" Target="header120.xml" /><Relationship Id="rId864" Type="http://schemas.openxmlformats.org/officeDocument/2006/relationships/footer" Target="footer120.xml" /><Relationship Id="rId865" Type="http://schemas.openxmlformats.org/officeDocument/2006/relationships/hyperlink" Target="https://advance.lexis.com/api/document?collection=cases-ca&amp;id=urn:contentItem:5F7T-S7H1-JCRC-B158-00000-00&amp;context=" TargetMode="External" /><Relationship Id="rId866" Type="http://schemas.openxmlformats.org/officeDocument/2006/relationships/hyperlink" Target="https://advance.lexis.com/api/document?collection=cases-ca&amp;id=urn:contentItem:5F8T-N3V1-JTGH-B17G-00000-00&amp;context=" TargetMode="External" /><Relationship Id="rId867" Type="http://schemas.openxmlformats.org/officeDocument/2006/relationships/hyperlink" Target="https://advance.lexis.com/api/document?collection=cases-ca&amp;id=urn:contentItem:5F7T-S7H1-K054-G2FD-00000-00&amp;context=" TargetMode="External" /><Relationship Id="rId868" Type="http://schemas.openxmlformats.org/officeDocument/2006/relationships/hyperlink" Target="https://advance.lexis.com/api/document?collection=cases-ca&amp;id=urn:contentItem:5F7T-S781-DYMS-61HD-00000-00&amp;context=" TargetMode="External" /><Relationship Id="rId869" Type="http://schemas.openxmlformats.org/officeDocument/2006/relationships/hyperlink" Target="https://advance.lexis.com/api/document?collection=cases-ca&amp;id=urn:contentItem:5F7T-S7B1-F7ND-G4YK-00000-00&amp;context=" TargetMode="External" /><Relationship Id="rId87" Type="http://schemas.openxmlformats.org/officeDocument/2006/relationships/header" Target="header17.xml" /><Relationship Id="rId870" Type="http://schemas.openxmlformats.org/officeDocument/2006/relationships/hyperlink" Target="https://advance.lexis.com/api/document?collection=cases-ca&amp;id=urn:contentItem:5F7T-S711-JNY7-X30K-00000-00&amp;context=" TargetMode="External" /><Relationship Id="rId871" Type="http://schemas.openxmlformats.org/officeDocument/2006/relationships/hyperlink" Target="https://advance.lexis.com/api/document?collection=cases-ca&amp;id=urn:contentItem:5F7T-S7D1-JN6B-S184-00000-00&amp;context=" TargetMode="External" /><Relationship Id="rId872" Type="http://schemas.openxmlformats.org/officeDocument/2006/relationships/hyperlink" Target="https://advance.lexis.com/api/document?collection=cases-ca&amp;id=urn:contentItem:5F7T-S7F1-DXWW-23RN-00000-00&amp;context=" TargetMode="External" /><Relationship Id="rId873" Type="http://schemas.openxmlformats.org/officeDocument/2006/relationships/hyperlink" Target="https://advance.lexis.com/api/document?collection=cases-ca&amp;id=urn:contentItem:5F82-1SF1-F361-M45M-00000-00&amp;context=" TargetMode="External" /><Relationship Id="rId874" Type="http://schemas.openxmlformats.org/officeDocument/2006/relationships/header" Target="header121.xml" /><Relationship Id="rId875" Type="http://schemas.openxmlformats.org/officeDocument/2006/relationships/header" Target="header122.xml" /><Relationship Id="rId876" Type="http://schemas.openxmlformats.org/officeDocument/2006/relationships/footer" Target="footer121.xml" /><Relationship Id="rId877" Type="http://schemas.openxmlformats.org/officeDocument/2006/relationships/footer" Target="footer122.xml" /><Relationship Id="rId878" Type="http://schemas.openxmlformats.org/officeDocument/2006/relationships/header" Target="header123.xml" /><Relationship Id="rId879" Type="http://schemas.openxmlformats.org/officeDocument/2006/relationships/footer" Target="footer123.xml" /><Relationship Id="rId88" Type="http://schemas.openxmlformats.org/officeDocument/2006/relationships/footer" Target="footer16.xml" /><Relationship Id="rId880" Type="http://schemas.openxmlformats.org/officeDocument/2006/relationships/hyperlink" Target="https://advance.lexis.com/api/document?collection=cases-ca&amp;id=urn:contentItem:5F7T-S7B1-FH4C-X3DB-00000-00&amp;context=" TargetMode="External" /><Relationship Id="rId881" Type="http://schemas.openxmlformats.org/officeDocument/2006/relationships/hyperlink" Target="https://advance.lexis.com/api/document?collection=cases-ca&amp;id=urn:contentItem:5F8P-SCV1-JBM1-M205-00000-00&amp;context=" TargetMode="External" /><Relationship Id="rId882" Type="http://schemas.openxmlformats.org/officeDocument/2006/relationships/hyperlink" Target="https://advance.lexis.com/api/document?collection=cases-ca&amp;id=urn:contentItem:5F8T-N3V1-JF75-M3KJ-00000-00&amp;context=" TargetMode="External" /><Relationship Id="rId883" Type="http://schemas.openxmlformats.org/officeDocument/2006/relationships/hyperlink" Target="https://advance.lexis.com/api/document?collection=cases-ca&amp;id=urn:contentItem:5F7T-S6Y1-JPP5-2188-00000-00&amp;context=" TargetMode="External" /><Relationship Id="rId884" Type="http://schemas.openxmlformats.org/officeDocument/2006/relationships/hyperlink" Target="https://advance.lexis.com/api/document?collection=cases-ca&amp;id=urn:contentItem:5F8T-N3R1-JNS1-M12J-00000-00&amp;context=" TargetMode="External" /><Relationship Id="rId885" Type="http://schemas.openxmlformats.org/officeDocument/2006/relationships/header" Target="header124.xml" /><Relationship Id="rId886" Type="http://schemas.openxmlformats.org/officeDocument/2006/relationships/header" Target="header125.xml" /><Relationship Id="rId887" Type="http://schemas.openxmlformats.org/officeDocument/2006/relationships/footer" Target="footer124.xml" /><Relationship Id="rId888" Type="http://schemas.openxmlformats.org/officeDocument/2006/relationships/footer" Target="footer125.xml" /><Relationship Id="rId889" Type="http://schemas.openxmlformats.org/officeDocument/2006/relationships/header" Target="header126.xml" /><Relationship Id="rId89" Type="http://schemas.openxmlformats.org/officeDocument/2006/relationships/footer" Target="footer17.xml" /><Relationship Id="rId890" Type="http://schemas.openxmlformats.org/officeDocument/2006/relationships/footer" Target="footer126.xml" /><Relationship Id="rId891" Type="http://schemas.openxmlformats.org/officeDocument/2006/relationships/hyperlink" Target="https://advance.lexis.com/api/document?collection=cases-ca&amp;id=urn:contentItem:5F7T-S7K1-DY33-B1KP-00000-00&amp;context=" TargetMode="External" /><Relationship Id="rId892" Type="http://schemas.openxmlformats.org/officeDocument/2006/relationships/header" Target="header127.xml" /><Relationship Id="rId893" Type="http://schemas.openxmlformats.org/officeDocument/2006/relationships/header" Target="header128.xml" /><Relationship Id="rId894" Type="http://schemas.openxmlformats.org/officeDocument/2006/relationships/footer" Target="footer127.xml" /><Relationship Id="rId895" Type="http://schemas.openxmlformats.org/officeDocument/2006/relationships/footer" Target="footer128.xml" /><Relationship Id="rId896" Type="http://schemas.openxmlformats.org/officeDocument/2006/relationships/header" Target="header129.xml" /><Relationship Id="rId897" Type="http://schemas.openxmlformats.org/officeDocument/2006/relationships/footer" Target="footer129.xml" /><Relationship Id="rId898" Type="http://schemas.openxmlformats.org/officeDocument/2006/relationships/hyperlink" Target="https://advance.lexis.com/api/document?collection=cases-ca&amp;id=urn:contentItem:5F7T-S791-FJTD-G2PP-00000-00&amp;context=" TargetMode="External" /><Relationship Id="rId899" Type="http://schemas.openxmlformats.org/officeDocument/2006/relationships/header" Target="header130.xml" /><Relationship Id="rId9" Type="http://schemas.openxmlformats.org/officeDocument/2006/relationships/footer" Target="footer3.xml" /><Relationship Id="rId90" Type="http://schemas.openxmlformats.org/officeDocument/2006/relationships/header" Target="header18.xml" /><Relationship Id="rId900" Type="http://schemas.openxmlformats.org/officeDocument/2006/relationships/header" Target="header131.xml" /><Relationship Id="rId901" Type="http://schemas.openxmlformats.org/officeDocument/2006/relationships/footer" Target="footer130.xml" /><Relationship Id="rId902" Type="http://schemas.openxmlformats.org/officeDocument/2006/relationships/footer" Target="footer131.xml" /><Relationship Id="rId903" Type="http://schemas.openxmlformats.org/officeDocument/2006/relationships/header" Target="header132.xml" /><Relationship Id="rId904" Type="http://schemas.openxmlformats.org/officeDocument/2006/relationships/footer" Target="footer132.xml" /><Relationship Id="rId905" Type="http://schemas.openxmlformats.org/officeDocument/2006/relationships/hyperlink" Target="https://advance.lexis.com/api/document?collection=cases-ca&amp;id=urn:contentItem:5F7T-S7H1-F4GK-M33J-00000-00&amp;context=" TargetMode="External" /><Relationship Id="rId906" Type="http://schemas.openxmlformats.org/officeDocument/2006/relationships/hyperlink" Target="https://advance.lexis.com/api/document?collection=cases-ca&amp;id=urn:contentItem:5F7T-S7G1-JX3N-B2DD-00000-00&amp;context=" TargetMode="External" /><Relationship Id="rId907" Type="http://schemas.openxmlformats.org/officeDocument/2006/relationships/hyperlink" Target="https://advance.lexis.com/api/document?collection=cases-ca&amp;id=urn:contentItem:5F7T-S7H1-K054-G28B-00000-00&amp;context=" TargetMode="External" /><Relationship Id="rId908" Type="http://schemas.openxmlformats.org/officeDocument/2006/relationships/hyperlink" Target="https://advance.lexis.com/api/document?collection=legislation-ca&amp;id=urn:contentItem:5F97-RC81-FFFC-B38P-00000-00&amp;context=" TargetMode="External" /><Relationship Id="rId909" Type="http://schemas.openxmlformats.org/officeDocument/2006/relationships/hyperlink" Target="https://advance.lexis.com/api/document?collection=cases-ca&amp;id=urn:contentItem:5F7T-S721-FG12-61P4-00000-00&amp;context=" TargetMode="External" /><Relationship Id="rId91" Type="http://schemas.openxmlformats.org/officeDocument/2006/relationships/footer" Target="footer18.xml" /><Relationship Id="rId910" Type="http://schemas.openxmlformats.org/officeDocument/2006/relationships/header" Target="header133.xml" /><Relationship Id="rId911" Type="http://schemas.openxmlformats.org/officeDocument/2006/relationships/header" Target="header134.xml" /><Relationship Id="rId912" Type="http://schemas.openxmlformats.org/officeDocument/2006/relationships/footer" Target="footer133.xml" /><Relationship Id="rId913" Type="http://schemas.openxmlformats.org/officeDocument/2006/relationships/footer" Target="footer134.xml" /><Relationship Id="rId914" Type="http://schemas.openxmlformats.org/officeDocument/2006/relationships/header" Target="header135.xml" /><Relationship Id="rId915" Type="http://schemas.openxmlformats.org/officeDocument/2006/relationships/footer" Target="footer135.xml" /><Relationship Id="rId916" Type="http://schemas.openxmlformats.org/officeDocument/2006/relationships/hyperlink" Target="https://advance.lexis.com/api/document?collection=cases-ca&amp;id=urn:contentItem:5F7T-S7N1-JC5P-G2B1-00000-00&amp;context=" TargetMode="External" /><Relationship Id="rId917" Type="http://schemas.openxmlformats.org/officeDocument/2006/relationships/hyperlink" Target="https://advance.lexis.com/api/document?collection=cases-ca&amp;id=urn:contentItem:5F8T-N3V1-FH4C-X1XK-00000-00&amp;context=" TargetMode="External" /><Relationship Id="rId918" Type="http://schemas.openxmlformats.org/officeDocument/2006/relationships/hyperlink" Target="https://advance.lexis.com/api/document?collection=cases-ca&amp;id=urn:contentItem:5F8T-N3V1-JTGH-B0YX-00000-00&amp;context=" TargetMode="External" /><Relationship Id="rId919" Type="http://schemas.openxmlformats.org/officeDocument/2006/relationships/hyperlink" Target="https://advance.lexis.com/api/document?collection=cases-ca&amp;id=urn:contentItem:5F8T-N3V1-JTGH-B19J-00000-00&amp;context=" TargetMode="External" /><Relationship Id="rId92" Type="http://schemas.openxmlformats.org/officeDocument/2006/relationships/hyperlink" Target="https://advance.lexis.com/api/document?collection=cases-ca&amp;id=urn:contentItem:5GCC-XVB1-JGHR-M4GB-00000-00&amp;context=" TargetMode="External" /><Relationship Id="rId920" Type="http://schemas.openxmlformats.org/officeDocument/2006/relationships/hyperlink" Target="https://advance.lexis.com/api/document?collection=cases-ca&amp;id=urn:contentItem:5F8T-N3T1-JGHR-M1XV-00000-00&amp;context=" TargetMode="External" /><Relationship Id="rId921" Type="http://schemas.openxmlformats.org/officeDocument/2006/relationships/hyperlink" Target="https://advance.lexis.com/api/document?collection=cases-ca&amp;id=urn:contentItem:5F7T-S7N1-JC5P-G1XX-00000-00&amp;context=" TargetMode="External" /><Relationship Id="rId922" Type="http://schemas.openxmlformats.org/officeDocument/2006/relationships/hyperlink" Target="https://advance.lexis.com/api/document?collection=cases-ca&amp;id=urn:contentItem:5F81-YGM1-F5KY-B4Y4-00000-00&amp;context=" TargetMode="External" /><Relationship Id="rId923" Type="http://schemas.openxmlformats.org/officeDocument/2006/relationships/hyperlink" Target="https://advance.lexis.com/api/document?collection=cases-ca&amp;id=urn:contentItem:5F8P-SDP1-JSC5-M0JB-00000-00&amp;context=" TargetMode="External" /><Relationship Id="rId924" Type="http://schemas.openxmlformats.org/officeDocument/2006/relationships/hyperlink" Target="https://advance.lexis.com/api/document?collection=cases-ca&amp;id=urn:contentItem:5F7T-S7K1-JX3N-B318-00000-00&amp;context=" TargetMode="External" /><Relationship Id="rId925" Type="http://schemas.openxmlformats.org/officeDocument/2006/relationships/hyperlink" Target="https://advance.lexis.com/api/document?collection=cases-ca&amp;id=urn:contentItem:5F8T-N3V1-FH4C-X1WY-00000-00&amp;context=" TargetMode="External" /><Relationship Id="rId926" Type="http://schemas.openxmlformats.org/officeDocument/2006/relationships/hyperlink" Target="https://advance.lexis.com/api/document?collection=cases-ca&amp;id=urn:contentItem:5F8T-N3V1-JTGH-B1C2-00000-00&amp;context=" TargetMode="External" /><Relationship Id="rId927" Type="http://schemas.openxmlformats.org/officeDocument/2006/relationships/hyperlink" Target="https://advance.lexis.com/api/document?collection=cases-ca&amp;id=urn:contentItem:5F8P-SDV1-JSC5-M16R-00000-00&amp;context=" TargetMode="External" /><Relationship Id="rId928" Type="http://schemas.openxmlformats.org/officeDocument/2006/relationships/header" Target="header136.xml" /><Relationship Id="rId929" Type="http://schemas.openxmlformats.org/officeDocument/2006/relationships/header" Target="header137.xml" /><Relationship Id="rId93" Type="http://schemas.openxmlformats.org/officeDocument/2006/relationships/hyperlink" Target="https://advance.lexis.com/api/document?collection=cases-ca&amp;id=urn:contentItem:5F7T-S7J1-JGBH-B2H4-00000-00&amp;context=" TargetMode="External" /><Relationship Id="rId930" Type="http://schemas.openxmlformats.org/officeDocument/2006/relationships/footer" Target="footer136.xml" /><Relationship Id="rId931" Type="http://schemas.openxmlformats.org/officeDocument/2006/relationships/footer" Target="footer137.xml" /><Relationship Id="rId932" Type="http://schemas.openxmlformats.org/officeDocument/2006/relationships/header" Target="header138.xml" /><Relationship Id="rId933" Type="http://schemas.openxmlformats.org/officeDocument/2006/relationships/footer" Target="footer138.xml" /><Relationship Id="rId934" Type="http://schemas.openxmlformats.org/officeDocument/2006/relationships/hyperlink" Target="https://advance.lexis.com/api/document?collection=cases-ca&amp;id=urn:contentItem:5F7T-S751-FJDY-X3RY-00000-00&amp;context=" TargetMode="External" /><Relationship Id="rId935" Type="http://schemas.openxmlformats.org/officeDocument/2006/relationships/hyperlink" Target="https://advance.lexis.com/api/document?collection=legislation-ca&amp;id=urn:contentItem:5TBM-3RN1-F2TK-240T-00000-00&amp;context=" TargetMode="External" /><Relationship Id="rId936" Type="http://schemas.openxmlformats.org/officeDocument/2006/relationships/hyperlink" Target="https://advance.lexis.com/api/document?collection=cases-ca&amp;id=urn:contentItem:5F7T-S771-F361-M1J8-00000-00&amp;context=" TargetMode="External" /><Relationship Id="rId937" Type="http://schemas.openxmlformats.org/officeDocument/2006/relationships/hyperlink" Target="https://advance.lexis.com/api/document?collection=cases-ca&amp;id=urn:contentItem:5F7T-S771-FG68-G103-00000-00&amp;context=" TargetMode="External" /><Relationship Id="rId938" Type="http://schemas.openxmlformats.org/officeDocument/2006/relationships/hyperlink" Target="https://advance.lexis.com/api/document?collection=cases-ca&amp;id=urn:contentItem:5F7T-S761-JX8W-M2NW-00000-00&amp;context=" TargetMode="External" /><Relationship Id="rId939" Type="http://schemas.openxmlformats.org/officeDocument/2006/relationships/hyperlink" Target="https://advance.lexis.com/api/document?collection=cases-ca&amp;id=urn:contentItem:5F7T-S761-F81W-21TF-00000-00&amp;context=" TargetMode="External" /><Relationship Id="rId94" Type="http://schemas.openxmlformats.org/officeDocument/2006/relationships/hyperlink" Target="https://advance.lexis.com/api/document?collection=cases-ca&amp;id=urn:contentItem:5F7T-S7H1-K054-G2H1-00000-00&amp;context=" TargetMode="External" /><Relationship Id="rId940" Type="http://schemas.openxmlformats.org/officeDocument/2006/relationships/hyperlink" Target="https://advance.lexis.com/api/document?collection=cases-ca&amp;id=urn:contentItem:5F81-VJX1-FFTT-X1KB-00000-00&amp;context=" TargetMode="External" /><Relationship Id="rId941" Type="http://schemas.openxmlformats.org/officeDocument/2006/relationships/hyperlink" Target="https://advance.lexis.com/api/document?collection=cases-ca&amp;id=urn:contentItem:5F7T-S771-JTGH-B1G5-00000-00&amp;context=" TargetMode="External" /><Relationship Id="rId942" Type="http://schemas.openxmlformats.org/officeDocument/2006/relationships/header" Target="header139.xml" /><Relationship Id="rId943" Type="http://schemas.openxmlformats.org/officeDocument/2006/relationships/header" Target="header140.xml" /><Relationship Id="rId944" Type="http://schemas.openxmlformats.org/officeDocument/2006/relationships/footer" Target="footer139.xml" /><Relationship Id="rId945" Type="http://schemas.openxmlformats.org/officeDocument/2006/relationships/footer" Target="footer140.xml" /><Relationship Id="rId946" Type="http://schemas.openxmlformats.org/officeDocument/2006/relationships/header" Target="header141.xml" /><Relationship Id="rId947" Type="http://schemas.openxmlformats.org/officeDocument/2006/relationships/footer" Target="footer141.xml" /><Relationship Id="rId948" Type="http://schemas.openxmlformats.org/officeDocument/2006/relationships/hyperlink" Target="https://advance.lexis.com/api/document?collection=cases-ca&amp;id=urn:contentItem:5RYJ-DV21-JKPJ-G16G-00000-00&amp;context=" TargetMode="External" /><Relationship Id="rId949" Type="http://schemas.openxmlformats.org/officeDocument/2006/relationships/hyperlink" Target="https://advance.lexis.com/api/document?collection=cases-ca&amp;id=urn:contentItem:5F7T-S751-JP4G-61DK-00000-00&amp;context=" TargetMode="External" /><Relationship Id="rId95" Type="http://schemas.openxmlformats.org/officeDocument/2006/relationships/header" Target="header19.xml" /><Relationship Id="rId950" Type="http://schemas.openxmlformats.org/officeDocument/2006/relationships/hyperlink" Target="https://advance.lexis.com/api/document?collection=cases-ca&amp;id=urn:contentItem:5F7T-S721-F5T5-M260-00000-00&amp;context=" TargetMode="External" /><Relationship Id="rId951" Type="http://schemas.openxmlformats.org/officeDocument/2006/relationships/header" Target="header142.xml" /><Relationship Id="rId952" Type="http://schemas.openxmlformats.org/officeDocument/2006/relationships/header" Target="header143.xml" /><Relationship Id="rId953" Type="http://schemas.openxmlformats.org/officeDocument/2006/relationships/footer" Target="footer142.xml" /><Relationship Id="rId954" Type="http://schemas.openxmlformats.org/officeDocument/2006/relationships/footer" Target="footer143.xml" /><Relationship Id="rId955" Type="http://schemas.openxmlformats.org/officeDocument/2006/relationships/header" Target="header144.xml" /><Relationship Id="rId956" Type="http://schemas.openxmlformats.org/officeDocument/2006/relationships/footer" Target="footer144.xml" /><Relationship Id="rId957" Type="http://schemas.openxmlformats.org/officeDocument/2006/relationships/hyperlink" Target="https://advance.lexis.com/api/document?collection=cases-ca&amp;id=urn:contentItem:5F7T-S7F1-JX3N-B1DK-00000-00&amp;context=" TargetMode="External" /><Relationship Id="rId958" Type="http://schemas.openxmlformats.org/officeDocument/2006/relationships/hyperlink" Target="https://advance.lexis.com/api/document?collection=legislation-ca&amp;id=urn:contentItem:5F41-1FH1-F361-M0H8-00000-00&amp;context=" TargetMode="External" /><Relationship Id="rId959" Type="http://schemas.openxmlformats.org/officeDocument/2006/relationships/header" Target="header145.xml" /><Relationship Id="rId96" Type="http://schemas.openxmlformats.org/officeDocument/2006/relationships/header" Target="header20.xml" /><Relationship Id="rId960" Type="http://schemas.openxmlformats.org/officeDocument/2006/relationships/header" Target="header146.xml" /><Relationship Id="rId961" Type="http://schemas.openxmlformats.org/officeDocument/2006/relationships/footer" Target="footer145.xml" /><Relationship Id="rId962" Type="http://schemas.openxmlformats.org/officeDocument/2006/relationships/footer" Target="footer146.xml" /><Relationship Id="rId963" Type="http://schemas.openxmlformats.org/officeDocument/2006/relationships/header" Target="header147.xml" /><Relationship Id="rId964" Type="http://schemas.openxmlformats.org/officeDocument/2006/relationships/footer" Target="footer147.xml" /><Relationship Id="rId965" Type="http://schemas.openxmlformats.org/officeDocument/2006/relationships/hyperlink" Target="https://advance.lexis.com/api/document?collection=cases-ca&amp;id=urn:contentItem:5F7T-S7G1-F5KY-B1FV-00000-00&amp;context=" TargetMode="External" /><Relationship Id="rId966" Type="http://schemas.openxmlformats.org/officeDocument/2006/relationships/hyperlink" Target="https://advance.lexis.com/api/document?collection=cases-ca&amp;id=urn:contentItem:5F8T-N3T1-JJSF-235C-00000-00&amp;context=" TargetMode="External" /><Relationship Id="rId967" Type="http://schemas.openxmlformats.org/officeDocument/2006/relationships/hyperlink" Target="https://advance.lexis.com/api/document?collection=cases-ca&amp;id=urn:contentItem:5F7T-S7F1-DXWW-244B-00000-00&amp;context=" TargetMode="External" /><Relationship Id="rId968" Type="http://schemas.openxmlformats.org/officeDocument/2006/relationships/hyperlink" Target="https://advance.lexis.com/api/document?collection=cases-ca&amp;id=urn:contentItem:5F82-1SH1-F57G-S2XR-00000-00&amp;context=" TargetMode="External" /><Relationship Id="rId969" Type="http://schemas.openxmlformats.org/officeDocument/2006/relationships/hyperlink" Target="https://advance.lexis.com/api/document?collection=cases-ca&amp;id=urn:contentItem:5F81-VJT1-JK4W-M419-00000-00&amp;context=" TargetMode="External" /><Relationship Id="rId97" Type="http://schemas.openxmlformats.org/officeDocument/2006/relationships/footer" Target="footer19.xml" /><Relationship Id="rId970" Type="http://schemas.openxmlformats.org/officeDocument/2006/relationships/hyperlink" Target="https://advance.lexis.com/api/document?collection=cases-ca&amp;id=urn:contentItem:5F8P-SCC1-FFMK-M0GM-00000-00&amp;context=" TargetMode="External" /><Relationship Id="rId971" Type="http://schemas.openxmlformats.org/officeDocument/2006/relationships/hyperlink" Target="https://advance.lexis.com/api/document?collection=cases-ca&amp;id=urn:contentItem:5F7T-S711-F4GK-M2M0-00000-00&amp;context=" TargetMode="External" /><Relationship Id="rId972" Type="http://schemas.openxmlformats.org/officeDocument/2006/relationships/hyperlink" Target="https://advance.lexis.com/api/document?collection=cases-ca&amp;id=urn:contentItem:5F7T-S701-JBT7-X29X-00000-00&amp;context=" TargetMode="External" /><Relationship Id="rId973" Type="http://schemas.openxmlformats.org/officeDocument/2006/relationships/hyperlink" Target="https://advance.lexis.com/api/document?collection=cases-ca&amp;id=urn:contentItem:5F7T-S711-F4GK-M2DB-00000-00&amp;context=" TargetMode="External" /><Relationship Id="rId974" Type="http://schemas.openxmlformats.org/officeDocument/2006/relationships/hyperlink" Target="https://advance.lexis.com/api/document?collection=cases-ca&amp;id=urn:contentItem:5F8N-K6T1-FG12-6254-00000-00&amp;context=" TargetMode="External" /><Relationship Id="rId975" Type="http://schemas.openxmlformats.org/officeDocument/2006/relationships/hyperlink" Target="https://iclr.co.uk/pubrefLookup/redirectTo?ref=1924+P.+140" TargetMode="External" /><Relationship Id="rId976" Type="http://schemas.openxmlformats.org/officeDocument/2006/relationships/image" Target="media/image4.png" /><Relationship Id="rId977" Type="http://schemas.openxmlformats.org/officeDocument/2006/relationships/hyperlink" Target="https://advance.lexis.com/api/document?collection=cases-ca&amp;id=urn:contentItem:5F7V-3DD1-FG68-G297-00000-00&amp;context=" TargetMode="External" /><Relationship Id="rId978" Type="http://schemas.openxmlformats.org/officeDocument/2006/relationships/hyperlink" Target="https://advance.lexis.com/api/document?collection=cases-ca&amp;id=urn:contentItem:5F7H-KW61-K054-G068-00000-00&amp;context=" TargetMode="External" /><Relationship Id="rId979" Type="http://schemas.openxmlformats.org/officeDocument/2006/relationships/hyperlink" Target="https://advance.lexis.com/api/document?collection=cases-ca&amp;id=urn:contentItem:5F82-1SD1-FC6N-X48P-00000-00&amp;context=" TargetMode="External" /><Relationship Id="rId98" Type="http://schemas.openxmlformats.org/officeDocument/2006/relationships/footer" Target="footer20.xml" /><Relationship Id="rId980" Type="http://schemas.openxmlformats.org/officeDocument/2006/relationships/hyperlink" Target="https://advance.lexis.com/api/document?collection=cases-ca&amp;id=urn:contentItem:5F8T-N3R1-FBV7-B0H9-00000-00&amp;context=" TargetMode="External" /><Relationship Id="rId981" Type="http://schemas.openxmlformats.org/officeDocument/2006/relationships/hyperlink" Target="https://advance.lexis.com/api/document?collection=cases-ca&amp;id=urn:contentItem:5F7T-S6X1-F06F-22BR-00000-00&amp;context=" TargetMode="External" /><Relationship Id="rId982" Type="http://schemas.openxmlformats.org/officeDocument/2006/relationships/hyperlink" Target="https://advance.lexis.com/api/document?collection=cases-ca&amp;id=urn:contentItem:5F7T-S6T1-JJ1H-X262-00000-00&amp;context=" TargetMode="External" /><Relationship Id="rId983" Type="http://schemas.openxmlformats.org/officeDocument/2006/relationships/hyperlink" Target="https://advance.lexis.com/api/document?collection=cases-ca&amp;id=urn:contentItem:5F81-VJV1-JK4W-M4RN-00000-00&amp;context=" TargetMode="External" /><Relationship Id="rId984" Type="http://schemas.openxmlformats.org/officeDocument/2006/relationships/hyperlink" Target="https://advance.lexis.com/api/document?collection=cases-ca&amp;id=urn:contentItem:5F8P-SCH1-FCCX-63PY-00000-00&amp;context=" TargetMode="External" /><Relationship Id="rId985" Type="http://schemas.openxmlformats.org/officeDocument/2006/relationships/hyperlink" Target="https://advance.lexis.com/api/document?collection=cases-ca&amp;id=urn:contentItem:5F8T-N3V1-FC1F-M42M-00000-00&amp;context=" TargetMode="External" /><Relationship Id="rId986" Type="http://schemas.openxmlformats.org/officeDocument/2006/relationships/hyperlink" Target="https://advance.lexis.com/api/document?collection=cases-ca&amp;id=urn:contentItem:5F7T-S771-F361-M1WH-00000-00&amp;context=" TargetMode="External" /><Relationship Id="rId987" Type="http://schemas.openxmlformats.org/officeDocument/2006/relationships/hyperlink" Target="https://advance.lexis.com/api/document?collection=cases-ca&amp;id=urn:contentItem:5F7T-S6W1-FBFS-S19B-00000-00&amp;context=" TargetMode="External" /><Relationship Id="rId988" Type="http://schemas.openxmlformats.org/officeDocument/2006/relationships/hyperlink" Target="https://advance.lexis.com/api/document?collection=cases-ca&amp;id=urn:contentItem:5F7T-S741-FJM6-61BF-00000-00&amp;context=" TargetMode="External" /><Relationship Id="rId989" Type="http://schemas.openxmlformats.org/officeDocument/2006/relationships/hyperlink" Target="https://advance.lexis.com/api/document?collection=cases-ca&amp;id=urn:contentItem:5F8N-K701-F528-G1MG-00000-00&amp;context=" TargetMode="External" /><Relationship Id="rId99" Type="http://schemas.openxmlformats.org/officeDocument/2006/relationships/header" Target="header21.xml" /><Relationship Id="rId990" Type="http://schemas.openxmlformats.org/officeDocument/2006/relationships/hyperlink" Target="https://advance.lexis.com/api/document?collection=cases-ca&amp;id=urn:contentItem:5F7T-S7C1-JCJ5-20JC-00000-00&amp;context=" TargetMode="External" /><Relationship Id="rId991" Type="http://schemas.openxmlformats.org/officeDocument/2006/relationships/hyperlink" Target="https://advance.lexis.com/api/document?collection=cases-ca&amp;id=urn:contentItem:5F7T-S741-F1H1-21GG-00000-00&amp;context=" TargetMode="External" /><Relationship Id="rId992" Type="http://schemas.openxmlformats.org/officeDocument/2006/relationships/hyperlink" Target="https://advance.lexis.com/api/document?collection=cases-ca&amp;id=urn:contentItem:5F8P-SDN1-FC6N-X4TX-00000-00&amp;context=" TargetMode="External" /><Relationship Id="rId993" Type="http://schemas.openxmlformats.org/officeDocument/2006/relationships/hyperlink" Target="https://advance.lexis.com/api/document?collection=cases-ca&amp;id=urn:contentItem:5F7T-S7F1-FFFC-B1RJ-00000-00&amp;context=" TargetMode="External" /><Relationship Id="rId994" Type="http://schemas.openxmlformats.org/officeDocument/2006/relationships/hyperlink" Target="https://advance.lexis.com/api/document?collection=cases-ca&amp;id=urn:contentItem:5F16-9351-JC5P-G1PJ-00000-00&amp;context=" TargetMode="External" /><Relationship Id="rId995" Type="http://schemas.openxmlformats.org/officeDocument/2006/relationships/hyperlink" Target="https://advance.lexis.com/api/document?collection=cases-ca&amp;id=urn:contentItem:5F7T-S781-F06F-23N7-00000-00&amp;context=" TargetMode="External" /><Relationship Id="rId996" Type="http://schemas.openxmlformats.org/officeDocument/2006/relationships/hyperlink" Target="https://advance.lexis.com/api/document?collection=cases-ca&amp;id=urn:contentItem:5F7T-S7C1-JSRM-60W1-00000-00&amp;context=" TargetMode="External" /><Relationship Id="rId997" Type="http://schemas.openxmlformats.org/officeDocument/2006/relationships/hyperlink" Target="https://advance.lexis.com/api/document?collection=cases-ca&amp;id=urn:contentItem:5F7T-S7D1-JXG3-X135-00000-00&amp;context=" TargetMode="External" /><Relationship Id="rId998" Type="http://schemas.openxmlformats.org/officeDocument/2006/relationships/hyperlink" Target="https://advance.lexis.com/api/document?collection=cases-ca&amp;id=urn:contentItem:5F8P-SCX1-F8D9-M2MK-00000-00&amp;context=" TargetMode="External" /><Relationship Id="rId999" Type="http://schemas.openxmlformats.org/officeDocument/2006/relationships/hyperlink" Target="https://advance.lexis.com/api/document?collection=cases-ca&amp;id=urn:contentItem:5F16-92W1-F27X-609K-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Medeiros v. Vuong, [2000] B.C.J. No. 1901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115046804</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