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Gearbulk Pool Ltd. v. Seaboard Shipping Co. (c.o.b. Seaboard International Shipping Co.), [2005] B.C.J. No. 2518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14 - 18 and 21 - 23, and May 10 - 13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16 - 19, and July 21 - 22,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S023051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2518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1620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144 A.C.W.S. (3d) 778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Gearbulk Pool Limited and Ocean President Maritime S.A., plaintiffs, and Seaboard Shipping Company Limited doing business as Seaboard International Shipping Company Limited and the said Seaboard Shipping Company Limited and Seaboard International Shipping Company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Creditors and debtors law — Guarantee and indemnity — Indemnity — Action by the carrier and ship owner for indemnity against the shipper as a result of the liability imposed on the carrier and ship owner in another action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Carriers — Contracts of carriage — Carriage of goods — Bills of lading — Compensation to carrier — Action by the carrier and ship owner for indemnity against the shipper as a result of the liability imposed on the carrier and ship owner in another action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carrier and ship owner for indemnity against the defendant SISCO as a result of the liability imposed on the carrier and ship owner in another action -- The carrier and ship owner were found liable for damage to lumber carried by the carrier -- SISCO was the shipper of the lumber -- The bills of lading for the lumber contained exclusion clauses for cargo carried on deck -- The trial judge found the bills of lading were unreliable with respect to how much cargo was on deck -- The carrier, ship owner and SISCO had an agreement that contained an indemnity provision for loss caused solely by a variance between SISCO's bills of lading and the master bill of lading -- HELD: Action dismissed -- The carrier and ship owner had not established that the loss they incurred was due to a variance in SISCO's bills of lading vis-Ó-vis the master bill of lading -- The parties' agreement did not require SISCO, in preparing its bills of lading, to ensure that the carrier and ship owner would not suffer any loss as a result of the terms of the bills of lading -- Like SISCO's bills of lading, the master bill of lading contained a cargo description insufficient to exempt the cargo from the Hague-Visby Rules definition of goods -- There could not be said to be a variance between the parties' respective bills of lading.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 w:name="Legislation Cited"/>
      <w:bookmarkEnd w:id="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Carriage of Goods by Water Act, R.S.C. 1993, c.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Hague-Visby Rules Article I(c), Article III,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Marine Liability Act, </w:t>
      </w:r>
      <w:hyperlink r:id="rId11" w:history="1">
        <w:r>
          <w:rPr>
            <w:rFonts w:ascii="arial" w:eastAsia="arial" w:hAnsi="arial" w:cs="arial"/>
            <w:i/>
            <w:color w:val="0077CC"/>
            <w:sz w:val="20"/>
            <w:u w:val="single"/>
            <w:shd w:val="clear" w:color="auto" w:fill="FFFFFF"/>
            <w:lang w:val="en-US" w:eastAsia="en-US" w:bidi="ar-SA"/>
          </w:rPr>
          <w:t>S.C. 2001, c. 6 s. 130</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 w:name="Counsel"/>
      <w:bookmarkEnd w:id="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P.G. Bernard, Q.C. A. Keagan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D.F. McEwan, Q.C. J.D. Waller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8" style="position:absolute;z-index:25181184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 xml:space="preserve">[Editor's Note: Supplementary reasons for judgment were delivered February 10, 2006. See </w:t>
      </w:r>
      <w:hyperlink r:id="rId12" w:history="1">
        <w:r>
          <w:rPr>
            <w:rFonts w:ascii="arial" w:eastAsia="arial" w:hAnsi="arial" w:cs="arial"/>
            <w:i/>
            <w:color w:val="0077CC"/>
            <w:sz w:val="18"/>
            <w:u w:val="single"/>
            <w:shd w:val="clear" w:color="auto" w:fill="FFFFFF"/>
            <w:lang w:val="en-US" w:eastAsia="en-US" w:bidi="ar-SA"/>
          </w:rPr>
          <w:t>[2006] B.C.J. No. 301</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COHEN J."/>
            <w:bookmarkEnd w:id="5"/>
            <w:r>
              <w:rPr>
                <w:rFonts w:ascii="arial" w:eastAsia="arial" w:hAnsi="arial" w:cs="arial"/>
                <w:b/>
                <w:color w:val="000000"/>
                <w:sz w:val="30"/>
                <w:lang w:val="en-US" w:eastAsia="en-US" w:bidi="ar-SA"/>
              </w:rPr>
              <w:t>COHEN J.</w:t>
            </w:r>
          </w:p>
        </w:tc>
      </w:tr>
    </w:tbl>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for indemnity arises as a result of the liability imposed upon the plaintiffs, Gearbulk Pool Limited ("Gearbulk"), the carrier, and Ocean President Maritime S.A. ("Ocean"), the shipowner, in two actions in this Court ("the underlying actions") wherein Timberwest Forest Limited ("Timberwest"), S.A. Van Hoorebeke et Fils ("Van Hoorebeke") and N.V. Altripan S.A. ("Altripan") were plaintiffs, and Gearbulk and Ocean were defendants: See Timberwest Forest Ltd. v. Gearbulk Pool Ltd., </w:t>
      </w:r>
      <w:hyperlink r:id="rId13" w:history="1">
        <w:r>
          <w:rPr>
            <w:rFonts w:ascii="arial" w:eastAsia="arial" w:hAnsi="arial" w:cs="arial"/>
            <w:i/>
            <w:color w:val="0077CC"/>
            <w:sz w:val="20"/>
            <w:u w:val="single"/>
            <w:shd w:val="clear" w:color="auto" w:fill="FFFFFF"/>
            <w:lang w:val="en-US" w:eastAsia="en-US" w:bidi="ar-SA"/>
          </w:rPr>
          <w:t>[2001] B.C.J. No. 1253</w:t>
        </w:r>
      </w:hyperlink>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2001 BCSC 882</w:t>
        </w:r>
      </w:hyperlink>
      <w:r>
        <w:rPr>
          <w:rFonts w:ascii="arial" w:eastAsia="arial" w:hAnsi="arial" w:cs="arial"/>
          <w:color w:val="000000"/>
          <w:sz w:val="20"/>
          <w:lang w:val="en-US" w:eastAsia="en-US" w:bidi="ar-SA"/>
        </w:rPr>
        <w:t xml:space="preserve">, aff'd </w:t>
      </w:r>
      <w:hyperlink r:id="rId14" w:history="1">
        <w:r>
          <w:rPr>
            <w:rFonts w:ascii="arial" w:eastAsia="arial" w:hAnsi="arial" w:cs="arial"/>
            <w:i/>
            <w:color w:val="0077CC"/>
            <w:sz w:val="20"/>
            <w:u w:val="single"/>
            <w:shd w:val="clear" w:color="auto" w:fill="FFFFFF"/>
            <w:lang w:val="en-US" w:eastAsia="en-US" w:bidi="ar-SA"/>
          </w:rPr>
          <w:t>10 B.C.L.R. (4th) 327</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2003 BCCA 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in the underlying actions alleged breach of contract, breach of duty as bailees and common carriers for hire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brought applications for summary judgment pursuant to Rule 18A on the issue of liability for damage to lumber carried by Gearbulk by sea from Crofton, British Columbia to Antwerp, Belgium between December 15, 1997 and January 19, 1998 ("the cargo"). The cargo consisted of 1,725 packages of green heat-treated Douglas fir lumber. The cargo was consigned by Timberwest to its customers, Van Hoorebeke and Altripan.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cargo was loaded on board the ship "Rhone" at Crofton on December 15, 1997. Part of the cargo was stowed on deck and part under deck. After loading, the Rhone proceeded to Portland, Oregon where it loaded a cargo of soda ash on December 17 and 18, 1997. During the loading of the soda ash, the cargo stowed on deck was covered to protect it from being contaminated by dust from the soda ash. However, on January 19, 1998, when the soda ash was being unloaded in Antwerp, the on deck cargo was not covered and this resulted in significant quantities of the on deck cargo being contaminated by dust from the soda ash. The crew of the Rhone, apparently in an effort to avoid damage to the contaminated cargo, pressure washed it but this caused further damage by forcing the dust to penetrate into and throughout the packages in which the cargo was contained.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were three bills of lading issued in connection with the shipment of the cargo and it is those documents which gave rise to the issues in the underlying actions with respect to Gearbulk's liability to the plaintiffs for the damage to the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Gearbulk issued its master bill of lading dated December 15, 1997: CRO-ANT-001. This document named the defendant in the instant action, Seaboard International Shipping Company Limited ("SISCO") as shipper and freight forwarder, making the consignee "to the order of the shipper", giving the notify address as that of SISCO and adding a rider to the bill of lading which contained the following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STOWED ON DECK: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2,304,888 FBM of which 1,982,204 FBM LOADED ON DECK WITHOUT LIABILITY FOR LOSS OR DAMAGE HOWSOEVER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should note at this point that FBM is an acronym for "foot-board-measure", and MFBM for one thousand FBM. They are units of volume used in relation to logs and lumber.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reverse side of the document included the following clause: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DECK CARGO AND LIVESTOCK The vessel may carry cargo of all kinds, dangerous or otherwise. Goods maybe stowed in poop, forecastle, deck house, shelter deck, passenger space or any covered in space suitable for the carriage of goods, and when so stowed shall be deemed for all purposes to be stowed under deck. Goods on deck and livestock wherever carried are received, kept, loaded, carried and discharged at Shipper's risk and the Carrier shall not be liable for loss thereof or damage thereto even though resulting from unseaworthiness of the vessel or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Carrier, his Servants or agents, or in case of deviation of the vessel. The time limit for lodging claims on cargoes carried on deck shall be one year from the last day of discharge and a limitation of 100 pounds sterling shall in any event apply per package, unit or bundle. Goods carried on deck shall contribute to and receive compensation from General Average (as the case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SISCO bills of lading numbered CRO-ANT-300 and 301, respectively, also dated December 15, 1997, identified the shipper as Timberwest, were consigned to the order of "shipper", and identified the notify parties as Van Hoorebeke and Altripan. CRO-ANT-300 added a rider setting out the composition of its cargo as totalling 920 packages consisting of 49,892 pieces, comprised of 1,253,669 net FBM. CRO-ANT-301 set out the composition of its cargo on its face, totalling 805 packages consisting of 46,740 pieces, comprising 1,051,219 net FBM.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Each of the SISCO bills of lading contained the following wording on their face: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CARGO CARRIED ON DECK AT CARGO OWNER'S SOLE RISK AS STATED ON THE REVERSE IN CLAUSE 6 OF THE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Clause 6 states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DECK CARGO. Cargo which is stated herein as being carried on deck and is so carried, is received, kept, carried and discharged at the sole risk of the owner of such cargo and the Carrier shall not under any circumstances of any kind whatsoever be liable for any loss of or damage or delay thereto whether or not such loss, damage or delay may be due to the act, neglect or default of the Carrier or the master, pilot, officers, crew, stevedores, servant, agent or other person whomsoever for whom the Carrier may be responsible, whether in the service of the Carrier or not, and whether or not the above-named vessel or any other vessel or craft in which the said cargo may be loaded was unseaworthy at the time of loading or sailing or at any other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addition, the SISCO bills of lading contained on their faces a notation: "Stowage: 86% OD 14% UD." It was common ground between the parties in the underlying actions, as it is in the instant action, that that notation meant that 86% of the cargo was stowed on deck and 14% was stowed under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bills of lading were produced in the following manner. Ms. Sherri Davids, documentation supervisor for SISCO, received instructions from Timberwest requesting SISCO provide it with individual bills of lading for the two consignees of the cargo (Gearbulk was unaware of these instructions). On December 15, 1997, Ms. Davids sent a fax to Gearbulk, requesting copies of the mate's receipt. On December 17, Gearbulk sent to SISCO copies of the mate's receipt, summary mate's receipt and lumber line-up. Ms. Davids and/or Ms. Tina Gee, a documentation department worker for SISCO, then prepared and issued the SISCO bills of lading dated December 15 (Ms. Davids signed the bills of lading). On December 17, SISCO sent copies of its bills of lading to Timberwest (copies were not sent at the same time to Gearbulk). On December 17, SISCO faxed Gearbulk with instructions for Gearbulk to issue its master bill of lading and on December 19, Gearbulk faxed to SISCO its master bill of lading requesting approval for issuance, which was received by Gearbulk on December 19. Gearbulk then issued its master bill of lading dated December 15.</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of the Bills of Lading in the Underlying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effectiveness and scope of the exemption clauses contained in the bills of lading was at the heart of the issues in the underlying actions. The plaintiffs pleaded that the master bill of lading was the document that evidenced the agreement between the parties and that it was the conjunction of the exclusion clause on the back of the bill of lading together with the rider term that allowed Gearbulk to rely on the exclusion of its liability. At the material time, Gearbulk had a long term unsigned contract of affreightment ("COA") with SISCO. Although unsigned, the parties agreed during this trial that the COA clauses relevant to this case governed the parties' relationship at the material times. Particular reference was made to clause 16 of the COA which reads,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Bills of Lading: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Cargo hereunder shall be carried subject to CARRIER's Bill of Lading as attached.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SHIPPER to issue its own Bills of Lading with CARRIER issuing to SHIPPER master Bill(s) of Lading covering entire shipment.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CARRIER to be responsible per COA and CARRIER's Bill of Lading. The first to prevail if conflicts between the two occur. SHIPPER will initially settle cargo claims that are presented to them, having right of recourse for same against CARRIER, subject to any variances between SHIPPER's and CARRIER's Bills of Lading. However, as a pre-condition to the right of recourse against CARRIER for such claims SHIPPER should give prompt notification to CARRIER of any proposed settlement and obtain CARRIER's concurrence.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Insurance settlements not being within SHIPPER's control to be exempted from this condition, but if presented to be handled by SHIPPER in the first instance.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SHIPPER shall indemnify and hold CARRIER/Owner's harmless for any and all consequences, damages, claims, losses, expenses or costs of whatsoever nature which CARRIER/Owner may incur due to any variance in SHIPPER's Bill of Lading vis a vis CARRIER's/Owner's Bill of Lading. In the event of conflict between the terms of such Bills of Lading and this Contract, the terms of this Contract shall govern.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submitted that the master bill of lading, given the provisions of clause 16, given the reference to "merchant" and the definition of merchant in the bill of lading, and given the characterization of SISCO as a "freight forwarder" all combined to give the master bill of lading the character of the document evidencing the agreement between the plaintiffs and Gearbulk.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Gearbulk submitted that its bill of lading mediated the relationship between Gearbulk and SISCO in the individual cases, under the umbrella of the COA. Counsel pointed out that none of the plaintiffs were party to the COA, and also that clause 16 provided that SISCO would issue its own bills of lading and Gearbulk would issue one for the entire shipment.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for Gearbulk made several points: that clause 16 obliged SISCO to settle cargo claims that were presented to it and required SISCO to indemnify Gearbulk should loss occur by reason of "any variance in [SISCO's] bill of lading vis a vis [Gearbulk's] bill of lading"; that the master bill of lading did not refer to the plaintiffs as shipper, consignee or notify party, and in fact made no reference to any of the plaintiffs whatsoever; that Gearbulk did not provide its bill of lading to anyone other than SISCO and SISCO did not provide the master bill of lading to any of the plaintiffs; and, that Gearbulk had no direct dealings with the plaintiffs, but that all communications and arrangements for the carriage of the cargo were made with SISCO.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Accordingly, counsel submitted that the SISCO bills of lading were the bills of lading used to complete the transaction between the plaintiffs and that none of them received nor transacted business using the master bill of lading or even saw it until after the initiation of the underlying actions. Counsel submitted that the SISCO bills of lading must be applicable to the transactions as without them Van Hoorebeke and Altripan would have no privity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this point, Cullen J. found, at paras. 45, 47 and 48,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find the submissions of the plaintiffs persuasive in connection with the Gearbulk bill of lading. It seems to me that while Seaboard may well have been for some purposes an agent of the plaintiff Timberwest, it is equally valid that for some purposes they were an agent of the defendant Gearbulk. In my view, the Gearbulk bill of lading was designed to govern the relationship between Gearbulk and Seaboard under their contract of affreightment and with respect to the individual transactions involving Timberwest and Van Hoorebeke and Timberwest and Altripan. The fact that Seaboard did not forward the Gearbulk bill of lading to Timberwest is evidence, in my view, that the Gearbulk bill of lading was never intended by Seaboard or Gearbulk as a document evidencing any agreement involving Timberwest, Altripan or Van Hoorebeke.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all the indications within the Gearbulk document that otherwise may be taken as suggestive of an intention to apply to Timberwest are subject to what I find to be a clear intention on the part of Gearbulk and Seaboard to limit the use of the Gearbulk bill of lading to regulate the relationship between Gearbulk and Seaboard.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therefore that I find the applicable bills of lading to be those issued by Seaboard on behalf of Gearbulk and provided to the plaintiff Timberwest. The Gearbulk bill of lading is however significant evidence of the reliability of the Seaboard documents with respect to the on deck stowage.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Certainty of the Cargo Descriptions in Underlying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Under the Hague-Visby Rules, which at the material times were Schedule I to the Carriage of Goods by Water Act, R.S.C. 1993, c. 21 (now Schedule 3 to the Marine Liability Act, </w:t>
      </w:r>
      <w:hyperlink r:id="rId11" w:history="1">
        <w:r>
          <w:rPr>
            <w:rFonts w:ascii="arial" w:eastAsia="arial" w:hAnsi="arial" w:cs="arial"/>
            <w:i/>
            <w:color w:val="0077CC"/>
            <w:sz w:val="20"/>
            <w:u w:val="single"/>
            <w:shd w:val="clear" w:color="auto" w:fill="FFFFFF"/>
            <w:lang w:val="en-US" w:eastAsia="en-US" w:bidi="ar-SA"/>
          </w:rPr>
          <w:t>S.C. 2001, c. 6, s. 130</w:t>
        </w:r>
      </w:hyperlink>
      <w:r>
        <w:rPr>
          <w:rFonts w:ascii="arial" w:eastAsia="arial" w:hAnsi="arial" w:cs="arial"/>
          <w:color w:val="000000"/>
          <w:sz w:val="20"/>
          <w:lang w:val="en-US" w:eastAsia="en-US" w:bidi="ar-SA"/>
        </w:rPr>
        <w:t>), "goods" are defined in Article I,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"goods" include goods, wares, merchandise and articles of every kind whatsoever, except ... cargo which by the contract of carriage is stated as being carried on deck and is so carried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Article III, s. 8 of the Hague-Visby Rules sets out the consequence of cargo being "goods":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clause, covenant or agreement in a contract of carriage relieving the carrier or the ship from liability for loss or damage to or in connection with goods arising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fault or failure in the duties and obligations provided in this Article or lessening such liability otherwise than as provided in these Rules, shall be null and void and of no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effect, only if cargo is "stated as being carried on deck and is so carried" can any of the exclusion of carrier's liability clauses contained in the bills of lading be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submitted that the SISCO bills of lading were ineffective in adequately identifying the cargo "as being carried on deck." They submitted that it was not possible, even in retrospect, to establish with precision what was "so carried." That being so, they argued that the cargo could not be excluded from the Hague-Visby Rules definition of "goods" because it was not possible to establish a correspondence between what was stated as being carried on deck and what was actually so carried.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the other hand, Gearbulk submitted that there was no ambiguity in the description of what was stated as being carried on deck, and that there was no discordance between that and what was actually carried on deck. Gearbulk submitted that it was clear that all the damage occurred to cargo that was actually carried on deck, and that was less than the amount stated as being on deck. They also submitted that there was sufficient symmetry between the identification of the cargo being carried on deck and what was actually carried on deck that there was no justification for treating the damaged cargo as "goods" within the meaning of the Hague-Visby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this point, Cullen J. held, in paras. 61 to 67,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concluded, based on the evidence of Sherry Davids and Yoshi Otsuji together with a review of the mate's receipt and the summary mate's receipt that the breakdown of the two cargoes into 86% on deck and 14% under deck proportions does not represent the facts. The percentages are clearly based on the percentage of the entire cargo that was placed under deck and the evidence of Yoshi Otsuji establishes that those figures do not represent an individual breakdown of the two cargoes.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finding, it follows the individual Seaboard bills of lading, insofar as they represent the percentages of each cargo stowed on deck and under deck as 86% and 14% respectively, are simply not reliable. While I accept that overall 85% to 86% of the combined cargoes were stored on deck, that leaves a significant variation in the possible quantities of the individual cargoes which were actually carried on deck and the potential discrepancy between that amount and the amount stated to be so carried.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Basing a calculation purely on the documentation existing at the time of the issuance of the bills of lading, it is possible that anywhere from approximately 70% to 100% of the Altripan cargo was stored on deck and anywhere from approximately 74% to 100% of the Van Hoorebeke cargo was stored on deck, given the relative sizes of the two cargoes.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amount of packages damaged by the soda ash are factored into the calculation the variation in the quantities on deck would be adjusted to approximately 70% to 93% for the Altripan cargo and to approximately 78% to 100% of the Van Hoorebeke cargo. The adjustment is merited by the fact that only 193 packages of the Van Hoorebeke consignment were unaffected by the soda ash and Otsuji estimated 261 packages were stored under deck.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only on deck cargo was affected by the soda ash, it follows that the Van Hoorbeke cargo could not have comprised the entire under deck stowage and therefore some percentage of the Altripan cargo had to be under deck.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variation in the per unit price of the various packages adds to the potential asymmetry between what is "stated as being carried on deck" and what "is so carried".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 in the Underlying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Finally, at paras. 87 - 88, and 94 - 98 under the heading "Analysis and Conclusion", Cullen J.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judgment must be given to the plaintiff on the issue of liability. As much as the Seaboard bills of lading may represent an actual practice in which the stowage of cargo is subject to available space rather than prior agreement, that practice ultimately must recognize the need for some precision and accuracy in identifying the stowage arrangements because of the legal implications and obligations they create.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both at common law and by statute there is a need to establish certainty in contracts of carriage with respect to the conditions of carriage so as to clearly identify each party's potential risk. The certainty must exist at the time the legal implications are created, when the bills of lading are issued, not subsequently by reference to later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cases at bar, there is no evidence of the potential or real impact of the failure to properly identify or quantify the risk to be borne by the plaintiffs, on the plaintiffs. One can easily conceive of a situation, however, where even a relatively small variation between the risk understood and the risk undertaken could have significant consequences to a shipper or consignee. Thus in my view, it is no answer, on a principled analysis, to point to the degree of uncertainty created by the documents to attempt to sustain the applicability of the exclusion clause, or preclude the operation of the Hague-Visby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is no need to demonstrate an absolute uncertainty with regard to the conditions of stowage; it is sufficient if its description creates uncertainty such that the degree of potential risk to the owner and the legal implications to all the parties are not readily ascertainable through a review of the contract of carriage. In my view that is the situation in the cases at bar and I hold the exclusion clause not to be valid or enforceable, by virtue of the Carriage of Goods by Water Act, and by virtue of the common law requiring exclusion clauses to be unambiguous in meaning and in scope.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considered the defendants' submissions based on Preston J.'s judgment in Mitsui &amp; Co., </w:t>
      </w:r>
      <w:hyperlink r:id="rId15" w:history="1">
        <w:r>
          <w:rPr>
            <w:rFonts w:ascii="arial" w:eastAsia="arial" w:hAnsi="arial" w:cs="arial"/>
            <w:i/>
            <w:color w:val="0077CC"/>
            <w:sz w:val="20"/>
            <w:u w:val="single"/>
            <w:shd w:val="clear" w:color="auto" w:fill="FFFFFF"/>
            <w:lang w:val="en-US" w:eastAsia="en-US" w:bidi="ar-SA"/>
          </w:rPr>
          <w:t>[1991] B.C.J. No. 3308</w:t>
        </w:r>
      </w:hyperlink>
      <w:r>
        <w:rPr>
          <w:rFonts w:ascii="arial" w:eastAsia="arial" w:hAnsi="arial" w:cs="arial"/>
          <w:color w:val="000000"/>
          <w:sz w:val="20"/>
          <w:lang w:val="en-US" w:eastAsia="en-US" w:bidi="ar-SA"/>
        </w:rPr>
        <w:t>, that it is incumbent on the court to attempt to determine the actual breakdown of on deck/under deck stowage and limit its liability to any variation between that finding and the amount stated in the bills of lading. I do not accept the defendants' submissions on this point. The Mitsui case involved apportioning responsibility for damages between the plaintiff and defendant according to their respective responsibility. In the circumstances, despite the difficulty, Preston J. endeavoured to estimate the damages because to fail to in his opinion "would visit injustice on the parties". In this case there is no suggestion the plaintiffs are responsible for any of the damages caused. At issue is the applicability of an exemption clause and the business efficacy of requiring certainty in its meaning and scope. It is not a situation in which any manifest injustice flows from a failure to determine the stowage breakdown between the two cargoes.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at bar, I find the damages to the plaintiffs' lumber to be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the exemption clauses ineffective in excluding liability for those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therefore follows that I grant judgment to the plaintiff on the issue of liability and order costs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the appeal was concluded, counsel for the plaintiffs and Gearbulk dealt with the issue of quantum. Ultimately, a settlement was reached whereby Gearbulk paid the plaintiffs $550,000 CDN, which sum included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 SUMMARY OF THE PARTIES' POSITIONS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Arguments of Gearbulk and Ocean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case at bar, Gearbulk and Ocean argued they have both contractual and common law rights to indemnity. They claimed a contractual right to indemnity pursuant to clause 16 of the COA. They said that SISCO issuing two bills of lading with the notation "86% OD 14% UD" was a "variance" within the meaning of clause 16. They acknowledged that the practices which evolved between the parties did not necessarily demonstrate the desired precision in terms of the issuance of documents. However, they said clause 16 evidenced an agreement between the parties that if the SISCO bills of lading lacked the requisite precision to protect Gearbulk and Ocean from liability for loss, SISCO had agreed to indemnify Gearbulk and Ocean for any damages which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Gearbulk and Ocean claimed a common law right to indemnity on the basis that SISCO breached the duty of one issuing a bill of lading for signature by or on behalf of a master (in the instant case SISCO issued its bills of lading on behalf of the master of the Rhone, a fact which was not in issue), that the bill of lading not expose the shipowner/carrier to risks from which by contract they are to be exempt.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Gearbulk and Ocean said that their obligation to prove their claim for indemnity is to show that their conduct and the payment made to settle the underlying actions was reasonable: See Biggin &amp; Co. Ltd. v. Permanite Ltd., [1950] 2 All E.R. 859, [1951] 1 K.B. 422, rev'd in part [1951] 2 K.B. 314, [1951] 2 All E.R. 191 (C.A.) [Biggin]; V.C.P. Homes Inc. v. Fast </w:t>
      </w:r>
      <w:hyperlink r:id="rId16" w:history="1">
        <w:r>
          <w:rPr>
            <w:rFonts w:ascii="arial" w:eastAsia="arial" w:hAnsi="arial" w:cs="arial"/>
            <w:i/>
            <w:color w:val="0077CC"/>
            <w:sz w:val="20"/>
            <w:u w:val="single"/>
            <w:shd w:val="clear" w:color="auto" w:fill="FFFFFF"/>
            <w:lang w:val="en-US" w:eastAsia="en-US" w:bidi="ar-SA"/>
          </w:rPr>
          <w:t>(2002), 1 B.C.L.R. (4th) 81</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2002 BCSC 446</w:t>
        </w:r>
      </w:hyperlink>
      <w:r>
        <w:rPr>
          <w:rFonts w:ascii="arial" w:eastAsia="arial" w:hAnsi="arial" w:cs="arial"/>
          <w:color w:val="000000"/>
          <w:sz w:val="20"/>
          <w:lang w:val="en-US" w:eastAsia="en-US" w:bidi="ar-SA"/>
        </w:rPr>
        <w:t xml:space="preserve"> [VCP Homes]. They said they were reasonable in their conduct of the underlying actions: the issues in that action were fully canvassed and ably argued; they took and followed the advice of counsel; and, as they felt they had a strong case, it was not necessary to accept early settlement offers from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Gearbulk and Ocean also claimed that Seaboard was liable for their loss. They said a duty of care existed on the part of Seaboard to ensure that the liability of the shipowner/carrier was not more onerous than the liability that the shipowner/carrier was intended to face in the circumstances of the case. They said that in this case, Gearbulk and Ocean were to have the protection of clause 6 of the SISCO bills of lading. They submitted that, on the evidence, Ms. Davids and Ms. Gee knew that the notation on the SISCO bills of lading of the division of on and under deck cargo was inaccurate, that they did not inform Gearbulk of the problem they created, and they knew or ought to have known that by their conduct they were exposing Gearbulk and Ocean to greater liability in the event that the cargo was lost or damaged in transit. They also said that as Ms. Davids and Ms. Gee were negligent, and were in fact employees of Seaboard, Seaboard is vicariously liable for their loss.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Arguments of SISCO and Seaboard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SISCO claimed that as a matter of contractual interpretation, the indemnity provision in clause 16 does not apply to claims arising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deliberate actions of Gearbulk, and it is clear in this case that Gearbulk's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damage to the lumber.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They also said that clause 15 of the COA, which states, in part, "CARRIER to be responsible for shortage, damage and/or misdelivery of cargo up to delivery under vessel's tackle at port(s) of discharge" means that as between the parties, Gearbulk and Ocean have agreed to be liable for all damage to cargo that arises during transit. They said that as a result, the indemnity provision of clause 16 of the COA must be limited to matters where liability to the cargo owner arises solely due to a variance between the master and SISCO bills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SISCO also argued that there was no variance to trigger the indemnity provision of clause 16 of the COA. It said that the indemnity provision of the COA can only be triggered if the master bill of lading and SISCO bills of lading vary in a material way, and that there was no such material variance. SISCO said "variance" means a numerical variance, or, for example, a failure to include remarks as to pre-existing damage from the mate's receipt and master bill of lading onto the SISCO bills of lading. SISCO argued that its issuance of two bills of lading cannot be a "variance" because it was common practice between the parties for the shipper to issue multiple bills of lading, Gearbulk was aware of the multiple consignees and bills of lading issued by SISCO in the instant case, and, the practice of multiple bills of lading was contemplated by the COA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SISCO argued that even if the court accepted that the indemnity provision of clause 16 applied, and there was a variance between the master and SISCO bills of lading, Gearbulk and Ocean would still have to prove that: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the loss in the underlying actions was one the liability for which would have been negated by the exculpatory clauses in the Gearbulk master bill of lading, if it had been the operative bill of lading between SISCO and the consignees, i.e. that the "Deck Cargo and Livestock Clause" in the master bill of lading would have been enforceable in spite of its internal inconsistency in alleging both complete exculpation for loss of damage, and in limiting liability to [pounds]100 per package;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the legal principles established in the underlying actions, at the time of the issuance of the master bill of lading, the specific packages loaded on and under deck and their respective values could have been identified, i.e. that the master bill of lading had a sufficiently certain description of the cargo that its exclusion clauses would not have been rendered inoperable by the Hague-Visby Rules;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exclusion of liability clauses in the Gearbulk and SISCO bills of lading were sufficient to cover the actions of the plaintiffs in the extra-contractual situation of pressure washing the cargo, and thus increasing the damage from the soda ash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SISCO also said that that Gearbulk and Ocean had to prove not only a contractual or other right to indemnity, but also a factual basis for indemnification. SISCO said that Gearbulk and Ocean failed to do so, as they did not call any evidence of the actual circumstances and actual cause of the loss suffered by Altripan and Van Hoorebeke. Furthermore, as Gearbulk and Ocean did not join SISCO or Seaboard in the underlying actions, they cannot simply provide the judgement of Cullen J. as a factual basis for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SISCO said that Biggin and VCP Homes stand for the proposition that in a claim for indemnity, the quantum of damages can be proven by a reasonable settlement of the underlying claim. However, it said, proving a reasonable settlement does not help establish liability for indemnification.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SISCO also submitted that Gearbulk was estopped from claiming indemnity because Gearbulk had offered to SISCO that it would handle the consignees'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respect of Seaboard's liability, the defendants argued Seaboard is unrelated to the action. They said it was clear to Gearbulk that it was dealing only with SISCO, and that Seaboard had no contractual or other relationship to the shipments in question. It said Ms. Davids and Ms. Gee were SISCO employees and that Seaboard could not be found vicariously liable for any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SISCO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SISCO argued that Ocean is not a proper party to this action. It said Ocean has failed to prove it was owner of the Rhone during the relevant times, and that even if it was, the owner of a bareboat chartered vessel is not the employer of the master and crew, and has no liability for cargo claims, and therefore, has no cause of action. In addition, it has not been proved that Ocean was a party to the COA.</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opinion, the primary issue to be decided is whether SISCO shall indemnify Gearbulk for the loss it sustained as a result of the decisions in the underlying actions. To succeed in their action, Gearbulk and Ocean must establish that the loss they incurred was due to a variance in SISCO's bills of lading vis-à-vis the master bill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If the answer to the primary issue is that SISCO must indemnify Gearbulk and Ocean, then the following issues arise: whether Ms. Davids and Ms. Gee were employees of Seaboard, whether they and Mr. Bjorndal, vice-president of shipping for SISCO and Seaboard, acted in breach of their duty to Gearbulk and Ocean and whether as their employer Seaboard is also liable to Gearbulk and Ocean; whether Gearbulk and Ocean are estopped from claiming indemnity from SISCO; whether Ocean is a proper party to this action; and, quantum.</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opinion, based upon the application of the established law to the whole of the evidence before me, Gearbulk and Ocean have failed to meet the burden upon them to succeed on the primary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Indemnification</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Grounds for Indemnification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Gearbulk claims both a common law and contractual right to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provision in clause 16 of the COA sets out Gearbulk's contractual right to indemnity: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SHIPPER shall indemnify and hold CARRIER/Owner's harmless for any and all consequences, damages, claims, losses, expenses or costs of whatsoever nature which CARRIER/Owner may incur due to any variance in SHIPPER's Bill of Lading vis a vis CARRIER's/Owner's Bill of Lading. In the event of conflict between the terms of such Bills of Lading and this Contract, the terms of this Contract shall govern.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Thus, pursuant to clause 16, Gearbulk is entitled to indemnity from SISCO for loss caused solely by a variance between SISCO's bills of lading and the master bill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Gearbulk and Ocean also claim a common law right to indemnity. They argued that it has long been accepted as a principle of marine law that it is the duty of one issuing a bill of lading for signature by or on behalf of a master that the bill of lading not expose the shipowner/carrier to risks from which by contract they are to be exempt. Gearbulk and Ocean said that in the instant case, they were to have had the advantage of clause 6 of the SISCO bills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said that if the shipper fails to obtain such exemption because of the form of the bill of lading, then there is an obligation on the part of the party who prepared and issued or presented the bill of lading to indemnify the shipowner/carrier for any greater liability: See Kruger and Co. Ltd. v. Moel Tryvan Ship Company Limited, [1907] A.C. 272, 76 L.J.K.B. 985 (H.L.) [Kruger]; Triad Shipping Co. v. Steller Chartering and Brokerage Inc. (The "Island Archon") [1994] 2 Lloyd's L.R. 227 (C.A.) [Triad].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opinion, the law set out in Kruger and Triad does not advance Gearbulk and Ocean's case against SISCO.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Kruger, the charter party provided that the shipowners were not to be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master. The master was also responsible for signing bills of lading that contained that term. The master signed bills that did not contain the term, and was also negligent in transporting the goods. The shipowners were held liable in an action by the indorsees of the bills of lading. They then claimed indemnification from the charterers. The House of Lords found that the master in signing the defective bills had not waived the shipowners' right to be protected from liability in accordance with the charter party. Therefore, the charterers who presented the defective bills of lading were liable in contract to indemnify the shipowners for the damage caused by the defective bills. Simply put, Kruger was a case of breach of the charter party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this case, the COA does not contain a contractual term that requires SISCO, in preparing its bills of lading, to ensure that Gearbulk and Ocean would not suffer any loss as a result of the terms of the bills of lading. The closest it comes is the requirement in clause 16 that SISCO be liable for any loss caused due to a variance in the SISCO bills of lading vis-à-vis the master bill of lading. Clause 16 is, of course, considered more fully later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Triad, the shipowners incurred a loss in complying with the time charterers' orders to proceed to Basrah, Iraq to deliver cargo. The vessel was detained in Iraq, and the shipowners had to give security for the ship to be allowed to leave port. The English Court of Appeal found that the shipowners had an implied right to be indemnified against the consequences of the charterers' orders, notwithstanding that such orders were not a breach of the charter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rely on the following statement of Evans L.J. at 232, with whom Mann L.J. concurred: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Essential to the reasoning in all the authorities is the tripartite relationship between shipowners, charterers and cargo interests. Legal relations between shipowner and charterer are governed by their contract contained in the charter-party. When a bill of lading is issued or is transferred to the owner or person entitled to possession of the cargo, who is not the charterer, then it contains or evidences a separate contract between the shipowner and that other person. If the shipowner's liability under the bill of lading is more onerous than under the charter-party, then the extent to which, if at all, he can recover an indemnity against the excess from the charterer is governed by the charter-party, or it may arise under the general principles of law recognized in Kruger v. Moel Tryvan as a consequence of the master's compliance with the charterer's request.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terms of the bill of lading as presented for signature may be different from those "required" by the charter-party (per Lord Justice Scrutton in Dawson Line Limited v. Alder (1931) 41 L1. L. Rep. 75 at p. 78, col. 2; [1932] 1 K.B. 433 at p. 439) and in such cases a breach of contract is established from the fact of presentment alone, as in Kruger v. Moel Tryvan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I understand Triad, and this statement, it too suggests that Gearbulk and Ocean's right to indemnity will have to be found in the COA. As noted at 237 in the concurring judgement of Donald Nicholls, V.C., with whom Mann L.J. also concurred, an implied right to indemnity arises only where it is necessarily implicit having regard to the terms of the contract and its commercial setting. Donald Nicholls V.C. went on to note that most charter parties make elaborate provisions for which party is to bear the inherent risks of performing the charter party. Only where unforeseen types of occurrences arise will an implied term of indemnity have to be considered. In the case at bar, the COA addresses the situations of damage to cargo during transport, and a variance between the master and shipper's bills of lading. In effect, there is no need to consider whether in relation to such occurrences there are any implied terms of indemnity.</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Variance between the Bills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Gearbulk and Ocean submitted that the "variance" triggering their right to indemnity under clause 16 of the COA occurred when SISCO issued multiple bills of lading. They said that the "2,304,888 FBM of which 1,982,204 FBM LOADED ON DECK ..." notation on the master bill of lading was an accurate description of the entire shipment, but SISCO converting that notation onto the SISCO bills of lading as "86% OD 14% UD" created inaccurate descriptions of each consignee's portion of the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SISCO argued that there was no variance: it said "variance" means a numerical variance, or a failure to incorporate remarks as to pre-existing damage noted on the mate's receipt or master bill of lading onto the SISCO bills of lading. It claimed the Gearbulk and SISCO bills of lading contained the same information.</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Defining "Variance"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my interpretation of their analysis, Cullen J. and Levine J.A. determined that value is relevant for the purpose of determining whether or not cargo carried on deck is "goods", that is, the specific packages of lumber stowed on and under deck and their respective values must be identified by the carrier to be excluded from the definition of "goods" in the Hague-Visby Rules. Only if the cargo is excluded from the definition of "goods" can it be subject to the exclusion of liability clauses in the bills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paras. 67 and 89, Cullen J.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even in retrospect, excepting the damaged cargo, it is not possible to identify the specific packages of the cargo carried on deck and under deck. Prospectively, that is at the time of the issuance of the bills of lading, because none of the documentation identified any specific packages according to whether they were on deck or under deck, it would be impossible to correlate a potential value to the cargoes on deck even if it were possible to identify the respective quantities.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at the time of the issuance of the two Seaboard bills of lading there could not be said to be certainty with regard to either cargo as to the quantity or value of the portions shipped on deck and hence subject to the cargo owner's sole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Court of Appeal Levine J.A., for the Court, noted counsels' advice that it was likely that the figures of 86% and 14% on the SISCO bills of lading were calculated from the information in the mate's receipt that of the total of 2,304,888 FBM, 1,984 MFBM was stowed on deck and 321 MFBM was stowed under deck. Her Ladyship then noted that the only references in all of the documentation to the quantity of lumber stowed on and under deck referred to the entire shipment, undivided between Van Hoorebeke and Altripan, and that none of the references specified which of the packages of lumber were stowed on or under deck. She then went on to make the following important findings at paras. 42, and 45-47: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trial judge found that the notation on the bills of lading that 86% of the lumber was carried on deck and 14% was carried below deck was unreliable with respect to each shipment. He found, further, that because the specific packages carried on deck and under deck were not identified it was impossible to determine the values of the cargo on deck even if the quantities could be determined. He held, correctly in my view, that the uncertainty was analogous to the absence of information in the bills of lading in Svenska and St. Siméon, and the principles articulated in those cases applied.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trial judge correctly interpreted and applied these principles when he said (at paras. 87-9):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judgment must be given to the plaintiff on the issue of liability. As much as the Seaboard bills of lading may represent an actual practice in which the stowage of cargo is subject to available space rather than prior agreement, that practice must ultimately recognize the need for some precision and accuracy in identifying the stowage arrangements because of the legal implications and obligations they create.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clear that both at common law and by statute there is a need to establish certainty in contracts of carriage with respect to the conditions of carriage so as to clearly identify each party's potential risk. The certainty must exist at the time the legal implications are created, when the bills of lading are issued, not subsequently by reference to later events.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at the time of the issuance of the two Seaboard bills of lading there could not be said to be certainty with regard to either cargo as to the quantity or value of the portions shipped on deck and hence subject to the cargo owner's sole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conclusions reached by the trial judge reflect a construction of the definition of "goods" that accords with practical affairs and business efficacy, in that certainty is necessary for the parties to commercial transactions to assess their respective risks and determine the appropriate price for their goods and services. It is not a construction that creates a "more extensive restriction [on freedom of contract] than the language used reasonably requires", to quote McFarlane J.A. in H.B. Contracting Ltd. v. Northland Shipping (1962) Co. Ltd. </w:t>
      </w:r>
      <w:hyperlink r:id="rId17" w:history="1">
        <w:r>
          <w:rPr>
            <w:rFonts w:ascii="arial" w:eastAsia="arial" w:hAnsi="arial" w:cs="arial"/>
            <w:i/>
            <w:color w:val="0077CC"/>
            <w:sz w:val="20"/>
            <w:u w:val="single"/>
            <w:shd w:val="clear" w:color="auto" w:fill="FFFFFF"/>
            <w:lang w:val="en-US" w:eastAsia="en-US" w:bidi="ar-SA"/>
          </w:rPr>
          <w:t>(1971), 24 D.L.R. (3d) 209</w:t>
        </w:r>
      </w:hyperlink>
      <w:r>
        <w:rPr>
          <w:rFonts w:ascii="arial" w:eastAsia="arial" w:hAnsi="arial" w:cs="arial"/>
          <w:color w:val="000000"/>
          <w:sz w:val="20"/>
          <w:lang w:val="en-US" w:eastAsia="en-US" w:bidi="ar-SA"/>
        </w:rPr>
        <w:t xml:space="preserve"> at 215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facts of this case as found by the trial judge the parties could not, when the bills of lading were issued, determine the value of the cargo that was stored on deck, and thus could not determine their respective risks. It is true that the parties know now that all of the damaged cargo was carried on deck, and Gearbulk saved some of the cargo from damage by storing it below deck. I agree with the trial judge, however, that a principled approach requires that the contract must be sufficiently clear so that the parties can determine their risks and responsibilities prospectively, not in light of subsequent circumstances. He said (at para. 93):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If the effectiveness of exclusion clauses or the applicability of the rules are to have some certainly in a commercial context, it cannot be left to the courts on a case by case basis to calibrate the potential risks created by uncertain terms in an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Based on my understanding of the underlying actions, the above-noted law means that in this case, value is a key consideration in determining whether there was a "variance" between the descriptions of the cargo in the bills of lading.</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Gearbulk's Documents and the Principled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Based on the principled approach developed by Cullen J. and Levine J.A., I find that like SISCO's bills of lading, the master bill of lading contained a cargo description insufficient to exempt the cargo from the Hague-Visby Rules definition of "goods." Therefore, there cannot be said to be a variance between the parties' respective bills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master bill of lading contained the same two deficiencies as SISCO's bills of lading: it did not have the information necessary to determine the value of the lumber stowed on and under deck and it contained an imprecise record of the proportion of cargo stowed on and under deck. Essentially, the parties' respective bills of lading expressed the same inaccurate information in two different manners.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That the master bill of lading's description of its cargo was insufficient to exempt it from the Hague-Visby Rules definition of "goods" is clear from the following statement of Levine J.A. in para. 48 of the underlying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principled approach also precludes an attempt to determine the quantity of each of Van Hoorebeke's and Altripan's shipments stowed on deck. I would reject Gearbulk's arguments that the trial judge should have made such findings of fact and accept the trial judge's reasons for not doing so. Furthermore, a determination of the quantity, or percentage, of each cargo that was stowed on deck would not be sufficient, as the value of that cargo could not thereby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Bjorndal testified, on re-examination, about the information necessary for a document to establish the volume and value of lumber loaded on and under deck: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would have to show the number of packages and the footage that was stowed on deck, the number of packages and the footage that was stowed under deck, and in addition they would need to show the size of the packages, they would need to show the mark of the packages, and they would need to show the length of the packages.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Pursuant to Mr. Bjorndal's testimony, and the law set out in the underlying actions, for the Gearbulk documents to have been sufficiently descriptive, they had to show the number of packages, the marks and the dimensions of the packages of cargo stowed on and under deck. From that information, one could then discern the value of the cargo stowed on or under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 second reason Gearbulk's description of the cargo on its bill of lading was insufficient to exempt it from the Hague-Visby Rules definition of "goods" was that the supercargo's notation on the mate's receipt of the quantity of the cargo stowed on and under deck was not sufficiently precise.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supercargo for the Rhone, Mr. Yoshi Otsuji, explained that a supercargo, employed by the carrier, supervises and monitors the loading of cargo onto vessels. Based on the cargo line-up, he prepares a stowage plan and decides where cargo is to be stowed on the vessel. At the end of the loading, the supercargo signs a mate's receipt that indicates the total packages, number of packages, total volume and, when appropriate, how much of the cargo is stowed on and under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Otsuji conceded, in cross-examination, that he averaged the volume per lineal foot for entire cargo shipment in order to get a rough number to use for his calculation of how much lumber was stowed on and under deck. Mr. Stephen Brown, operations manager and acting general manager for Gearbulk at the time of trial, testified that this averaging was the standard and accepted methodology used by supercargos.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Otsuji calculated the average FBM per overall package foot length for the shipment by dividing the entire lineal feet of the cargo into the total FBM of the shipment. He then kept track of the lengths of packages stowed under deck, and then multiplied the aggregate package length by the average FBM per overall package foot length. As all the 1 1/4" x 7" boards were stowed under deck and all of the 3" x 9" boards on deck, and as the 3" x 9" boards had nearly 50% more FBM than the 1 1/4" x 7" boards, the amount of cargo estimated to be stowed on deck was significantly lower than the amount so stowed. Conversely, Mr. Otsuji's estimate of the quantity of the shipment stowed under deck was significantly greater than the actual amount so stowed. Mr. Brown conceded in cross-examination that this method of calculation produced only a "very rough estimation."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should also be noted that it was the volume of lumber stored on and under deck for which Mr. Otsuji recorded his estimate. As the shipment contained a range of packages of lumber with widely divergent values per FBM (the difference in value between the least valuable package and the most valuable package was almost 100%, the least valuable having a value of $550 per MFBM, and the most valuable having a value of $1,060 MFBM), even a precise calculation of the volume of lumber stowed on deck would not, without more, have helped the consignees determine their respective risks in relation to the carriage of the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Otsuji's imprecise calculation was noted by him on the mate's receipts. Thus, when SISCO received copies of the mate's receipts from Gearbulk they could not provide Timberwest and its customers with the kind of detailed information from which the value of each customer's portion of lumber stowed on and under deck could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For the reasons set out above, I find that there was no variance between the master bill of lading and SISCO's bills of lading.</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Gearbulk's "Two Bills of Lading"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Gearbulk and Ocean submitted that the SISCO bills of lading were at variance with the master bill of lading because once SISCO issued multiple bills of lading for the single shipment of the cargo, those bills' notations of the on and under deck cargo were inaccurate. They also argued that once SISCO issued multiple bills of lading, as instructed by Timberwest, the die was cast: nothing could be done to resolve the problem created by the issuance of the two SISCO bills of lading with the notation "86% OD 14% UD" because they had been issued and delivered to Timberwest without any notice to Gearbulk at the time of their issuance.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Although these submissions are rendered moot by my finding that there was no variance between the master and SISCO bills of lading, I do want to address Gearbulk's argument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SISCO submitted that its issuance of two bills of lading could not be a "variance" because it was common practice between the parties for the shipper to issue multiple bills of lading; Gearbulk was aware of the multiple consignees and bills of lading issued by SISCO in the instant case; and, the practice of issuing multiple bills of lading was contemplated by the COA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agree with SISCO, for the reasons they have given, that the issuance of two bills of lading could not be a "variance" vis-à-vis the master bill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First, the evidence supports SISCO's submission that it was common practice between the parties for the shipper to issue multiple bills of lading. Mr. Bjorndal testified that the practice of SISCO issuing its own bills of lading with Gearbulk issuing master bills of lading covering the whole shipment had existed since before 1994. Also, at least in relation to shipments to Antwerp, SISCO would provide Gearbulk with its bill of lading and the cargo manifest, both of which indicated whether there were multiple customers. Mr. Brown conceded, in cross-examination, that the documentation department of Gearbulk was aware that there were normally multiple consignees on European shipments for SISCO, and that the normal procedure was for Gearbulk's master bill of lading to be "broken" down into individual SISCO bills of lading as described in the cargo manifest.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Moreover, according to Mr. Bjorndal, SISCO has carried forest products on its own ships for customers of Gearbulk. In such cases, the reciprocal situation has applied: SISCO issued a master bill of lading and Gearbulk issued individual bills of lading for each consignee. According to Mr. Bjorndal, this practice occurred in the carriage of forest products by ship from British Columbia to Japan.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Secondly, the evidence supports SISCO's submission that Gearbulk was aware of the multiple consignees and bills of lading issued by SISCO in the instant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Gearbulk and Ocean argued that throughout the booking and loading process Mr. Otsuji was dealing with a single shipment of cargo. Counsel said that he did not and would not be expected to know whether Timberwest intended to warehouse the cargo in Antwerp for delivery to a number of customers, nor would he know whether Timberwest's customers were brokers, wholesalers, retailers or consumers of the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Thus, claimed counsel, none of Gearbulk's representatives had any reason to review the documentation other than for what was important to their particular role in the shipment of the cargo. Thus, Mr. Otsuji paid no attention to the reference to the names Van Hoorebeke and Altripan noted in the summary mate's receipt and lumber line-up he received from the terminal operator; and the individuals in Gearbulk's documentation department also had no reason to pay attention to these names because their role was to ensure only that the master bill of lading was issued in accordance with the instructions received from SISCO.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already noted, prior to the shipment of the cargo on the Rhone, Mr. Otsuji received the summary mate's receipt and lumber line-up and bin list from the terminal operator. The summary mate's receipt and lumber line-up clearly show that there were two separate consignees and two separate shipments. Although the Mr. Otsuji apparently paid no attention to this information, the fact that Timberwest was shipping lumber to two of its customers must have been most obvious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Moreover, there is no evidence that prior to the instant case Gearbulk ever took the position that the SISCO bills of lading were at variance with the master bill of lading. In fact, after Gearbulk received the SISCO bills of lading within a week or two of the Rhone sailing from Crofton, Gearbulk did not tell SISCO that its bills of lading were at variance with the master bill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well, Gearbulk's knowledge about multiple customers receiving the shipment was most apparent in its own master bill of lading. On the rider to the master bill of lading, Gearbulk listed information relating to each customer, including each customer's shipment and the corresponding SISCO bill of lading number. This information was taken from the cargo manifest sent by SISCO to Gearbulk at the time when SISCO instructed Gearbulk to issue its bill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Thirdly, the COA itself contemplates the practice of issuing multiple bills of lading. It states, at clause 16: "SHIPPER to issue its own Bills of Lading with CARRIER issuing to SHIPPER master Bill(s) of Lading covering entire shipment."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Furthermore, regardless of whether it was aware of multiple consignees of the cargo, Gearbulk had the ability to collect the information necessary to describe the cargo on its master bill of lading in a manner imparting the information necessary to determine the value of the lumber carried on and under deck. Such a description would have caused the cargo to fall outside the definition of "goods" in the Hague-Visby Rules, and so within the exemption from liability clauses in the bills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was Mr. Otsuji who decided, after reviewing his stowage plan, the lumber line-up and bin list, that a portion of the cargo would be stowed under deck, even though the entire shipment was booked to be stowed on deck. As usual in the shipment of lumber by Timberwest on a Gearbulk carrier, Mr. Otsuji made his decision without discussing it with anyone from Timberwest or SISCO, except the dock foreman.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Otsuji's decision was to stow the packages of lumber containing the thinnest boards under deck and the packages of timber containing the thickest boards on deck. According to his testimony, he was able to stow all of the 1 1/4" x 7" dimension lumber under deck and all of the 3" x 9" dimension lumber on deck. Although according to his testimony he made a note of the number of packages stowed under deck (261) and their dimensions, he did not retain this information, nor did he note it on the mate's receipts or pass the information along to Gearbulk.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evidence is that it would have been possible for Mr. Otsuji to keep a precise record of the packages of lumber stowed on and under deck. He could have asked the terminal operator to separate the two consignments in separate bins at the wharf, prior to loading the Rhone, or to have a checker do a tally of the portion from each consignment that was actually stowed under deck. It was also possible for Mr. Otsuji to direct that the portion of the cargo to be stowed under deck be taken from particular bin(s), and after the under deck cargo was loaded the precise number of packages of lumber remaining in the bin(s) could have been back tallied by a checker to determine which packages of lumber were actually stowed under deck. The process and result of back-tallying was described by Mr. Bjorndal in direct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the under-deck loading -- when the under-deck loading is complete a checker is sent to the bin, and the checker is to count the packages that are left in the bin, and the count should include whatever information is on the package; the mark, the length, the size of the wood, et cetera.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information, then, is derived from that, once you back tally that bin?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once you back tally the bin, you will get a clear indication of what was - what cargo from that bin was stowed on deck and what cargo was stowed under deck.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then have information about the actual packages and value of those packages, from which you can calculate the value of the packages that were stowed under deck?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you would have the actual packages.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However, none of these possible ways of determining the precise number of packages of lumber stowed on and under deck was done. Mr. Otsuji testified in cross-examination that, for about 15 years prior to this shipment, Gearbulk has not hired checkers to tally the cargo as it is loaded onto a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Gearbulk's further submission that SISCO should have notified Mr. Otsuji that the cargo should have been separated in the bins at the terminal is, in my view, also incorrect. First, Mr. Otsuji made the decision at the terminal to stow a portion of the cargo under deck. Mr. Brown testified that he believed there was never any notice given to either SISCO or Timberwest prior to the commencement of loading that Gearbulk was going to stow some of the cargo under deck. Thus, there is no way that SISCO could have arranged in advance with Gearbulk to have the portion of the cargo which Mr. Otsuji decided to stow under deck separated. Furthermore, SISCO would have had no reason to instruct Gearbulk, the terminal operator or Mr. Otsuji to separate the consignments, as the cargo was booked to be stowed on deck and it was not notified in advance by Gearbulk that a portion of the cargo was going to be stowed under deck. As explained by Mr. Bjorndal, on re-examination, the segregation of the cargo only becomes important when a decision is made to stow some of the cargo under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Secondly, it was not necessary to separate the two consignments. All that Mr. Otsuji had to do in order to permit Gearbulk and SISCO to meet the requirements of the law, namely, be able to note on the bills of lading a quantity in value of the packages of lumber stowed on and under deck, was for him to record the precise number of packages of lumber stowed under deck by their marks and dimensions. In other words, hire a checker to tally the packages of lumber as they were being stowed under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summary, it was the imprecise calculation of the on and under deck cargo noted on the mate's receipts that caused the mischief in this case, not the fact that SISCO issued two bills of lading.</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as to Indemnification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For the reasons set out above, I find that Gearbulk and Ocean are not entitled to indemnification from SISCO for the losses incurred in the underlying actions, as those losses were not due to a variance between the master bill of lading and the SISCO bills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Having found that Gearbulk has failed to prove its claim against SISCO for indemnity, it is therefore not necessary for me to go on and consider the secondary issues, including quantum. However, I wish to provide my conclusions on whether Gearbulk is estopped from claiming indemnification in the event that Gearbulk had succeeded against SISCO and whether, had Gearbulk succeeded on liability, Seaboard would have been found vicariously liable.</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Gearbulk Estopped from Claiming Indemnification?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SISCO argued that Gearbulk was estopped from claiming indemnity because it had offered to handle the consignees' claims. If I had found SISCO liable to indemnify Gearbulk, I would not have found Gearbulk was estopped from claiming such indemnification.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SISCO said that in February and March 1998, through correspondence and conversations, Mr. Jone Hognestad, general manager of Gearbulk in Vancouver at the material times, and Mr. Bjorndal had reached a "meeting of the minds" that Gearbulk would "handle the [consignees'] claims", and that SISCO would have no further involvement in the claims beyond being kept informed. It said that once Gearbulk voluntarily assumed responsibility for the consignees' claims, it did not put SISCO on notice of a potential indemnity claim, keep SISCO informed of the conduct of the claims, seek instructions from SISCO or commence third party proceedings against SISCO. Gearbulk also did not inform SISCO about, nor take advantage of, what turned out to be favourable settlement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Gearbulk and Ocean submitted that the promise to handle the consignees' claims was a friendly indulgence offered to SISCO because the damage had obviously occurred as a result of the master of the Rhone not protecting the on deck lumber before discharging the soda ash. Gearbulk said this promise did not alter or waive any other rights of the parties under the COA or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SISCO submitted that the modern test for estoppel is a broad one, based on a broad concept of fairness and equity rather than technical evidentiary requirements. It said this Court should follow the law set out in Litwin Construction (1975) Ltd. v. Pan </w:t>
      </w:r>
      <w:hyperlink r:id="rId18" w:history="1">
        <w:r>
          <w:rPr>
            <w:rFonts w:ascii="arial" w:eastAsia="arial" w:hAnsi="arial" w:cs="arial"/>
            <w:i/>
            <w:color w:val="0077CC"/>
            <w:sz w:val="20"/>
            <w:u w:val="single"/>
            <w:shd w:val="clear" w:color="auto" w:fill="FFFFFF"/>
            <w:lang w:val="en-US" w:eastAsia="en-US" w:bidi="ar-SA"/>
          </w:rPr>
          <w:t>(1988), 29 B.C.L.R. (2d) 88</w:t>
        </w:r>
      </w:hyperlink>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52 D.L.R. (4th) 459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evidence is that there was only one written exchange between Gearbulk and SISCO about Gearbulk handling the consignees' claims. On February 27, 1998, Mr. Bjorndal, on behalf of SISCO, wrote to Mr. Hognestad,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confirm our discussion on this matter in view of the circumstances involved, we would ask that Gearbulk take over the handling of this claim directly with the Cargo Underwriters.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seen the pictures, I must say that we at Seaboard are certainly disappointed with the lack of protection that Gearbulk had given our forest products during the voyage in question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March 11, 1998, Mr. Hognestad replied to Mr. Bjorndal,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that we will handle the claim directly with the cargo underwriters, and we will keep you advised of developments.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was an operation which we are not at all proud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worked closely with Gearbulk for the last ten years, we are sure you are aware that this is not the type of operations that we will normally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Bjorndal testified that there were also several verbal discussions about the claims, and his understanding was that Gearbulk would completely handle the claims. However, he admitted, in cross examination, that he never discussed with Gearbulk what would happen if a lawsuit was started, nor did he recall the parties ever having discussed the indemnity provisions of the COA or indemnity more generally. He felt that Gearbulk was negligent and responsible under the COA for the damage that had resulted from the soda ash, and so it would handle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Fridman, in The Law of Contract in Canada, 4th ed. (Scarborough, Ont.: Carswell, 1999) sets out at 139-146 the following essential features of estoppel:</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existing legal relationship between the parties at the time the statement on which the estoppel is founded was made;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clear promise or representation made by the party against whom the estoppel is claimed, establishing his intent to be bound by what he has said;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reliance, by the party raising the estoppel, upon the statement or conduct of the party against whom the estoppel is raised;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to whom the representation was made must have acted upon it to his detriment;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promisee must have acted equitably.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John Burrows Ltd. v. Subsurface Surveys Ltd. </w:t>
      </w:r>
      <w:hyperlink r:id="rId19" w:history="1">
        <w:r>
          <w:rPr>
            <w:rFonts w:ascii="arial" w:eastAsia="arial" w:hAnsi="arial" w:cs="arial"/>
            <w:i/>
            <w:color w:val="0077CC"/>
            <w:sz w:val="20"/>
            <w:u w:val="single"/>
            <w:shd w:val="clear" w:color="auto" w:fill="FFFFFF"/>
            <w:lang w:val="en-US" w:eastAsia="en-US" w:bidi="ar-SA"/>
          </w:rPr>
          <w:t>[1968] S.C.R. 607</w:t>
        </w:r>
      </w:hyperlink>
      <w:r>
        <w:rPr>
          <w:rFonts w:ascii="arial" w:eastAsia="arial" w:hAnsi="arial" w:cs="arial"/>
          <w:color w:val="000000"/>
          <w:sz w:val="20"/>
          <w:lang w:val="en-US" w:eastAsia="en-US" w:bidi="ar-SA"/>
        </w:rPr>
        <w:t xml:space="preserve"> at 615, </w:t>
      </w:r>
      <w:hyperlink r:id="rId19" w:history="1">
        <w:r>
          <w:rPr>
            <w:rFonts w:ascii="arial" w:eastAsia="arial" w:hAnsi="arial" w:cs="arial"/>
            <w:i/>
            <w:color w:val="0077CC"/>
            <w:sz w:val="20"/>
            <w:u w:val="single"/>
            <w:shd w:val="clear" w:color="auto" w:fill="FFFFFF"/>
            <w:lang w:val="en-US" w:eastAsia="en-US" w:bidi="ar-SA"/>
          </w:rPr>
          <w:t>68 D.L.R. (2d) 354</w:t>
        </w:r>
      </w:hyperlink>
      <w:r>
        <w:rPr>
          <w:rFonts w:ascii="arial" w:eastAsia="arial" w:hAnsi="arial" w:cs="arial"/>
          <w:color w:val="000000"/>
          <w:sz w:val="20"/>
          <w:lang w:val="en-US" w:eastAsia="en-US" w:bidi="ar-SA"/>
        </w:rPr>
        <w:t>, Ritchie J. for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[Estoppel] cannot be invoked unless there is some evidence that one of the parties entered into a course of negotiation which had the effect of leading the other to suppose that the strict rights under the contract would not be enforced, and I think that this implies that there must be evidence from which it can be inferred that the first party intended that the legal relations created by the contract would be altered as a result of the negotiations.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enough to show that one party has taken advantage of indulgences granted to him by the other for if this were so in relation to commercial transactions, such as promissory notes, it would mean that the holders of such notes would be required to insist on the very letter being enforced in all cases for fear that any indulgences granted and acted upon could be translated into a waiver of their rights to enforce the contract according to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that SISCO has not proven a clear statement by Gearbulk that SISCO would not be asked for contribution toward any successful claim made against Gearbulk and Ocean. Nor has SISCO shown that Gearbulk and Ocean intended to forsake any right to claim indemnity from SISCO. Furthermore, the totality of the communications between the parties regarding responsibility for handling the consignees' claims suggests that Gearbulk's offer to handle the claims was a mere friendly indulgence to an important customer, prompted by the way the lumber was damaged and the way the actions against Gearbulk had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summary, SISCO has failed to prove that Gearbulk would have been estopped from claiming indemnity from SISCO. Moreover, I agree with the analysis by Gearbulk and Ocean of the law set out in Biggin and VCP Homes that their obligation to prove their claim for indemnity against SISCO is to merely establish that their conduct and the payment made by them to the plaintiffs in the underlying actions was reasonable. I do not agree with the position of SISCO that the authorities only stand for the proposition that in a claim for indemnity the quantum can be proven by a reasonable settlement of the underlying claim.</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Vicarious Liability of Seaboard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Gearbulk and Ocean also claim against Seaboard. If I had found Ms. Davids and/or Ms. Gee negligent in their preparation and issuance of the SISCO bills of lading, which I have not, I would have found Seaboard, as their employer, vicariously liable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Seaboard is the parent company of SISCO. During the material times, Seaboard operated Seaboard International Terminals in North Vancouver, and did some lumber selling. Since SISCO's formation in 1993, it has handled the companies' commercial and operational side of the shipping business, including all of the freight forwarding and contracts of affreightment.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Gearbulk and Ocean said that Ms. Davids and Ms. Gee, who worked in SISCO's documentation department, as well as Mr. Bjorndal, were all in fact employees of Seaboard. Gearbulk said those employees negligently issued a bill of lading which, as a result of its lack of conformity with the master bill of lading, resulted in loss to Gearbulk. Gearbulk said that Seaboard, as their employer, is liable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Counsel said that, on the evidence, Ms. Davids and Ms. Gee knew that the notation on the bills of lading of a division of on and under deck cargo was inaccurate, that they did not inform Gearbulk of the problem they created and they knew, or ought to have known, that by their conduct they were exposing Gearbulk and Ocean to greater liability in the event that the cargo was lost or damaged in transit.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SISCO argued that Seaboard is unrelated to the action. It said that it was clear to Gearbulk that it was dealing only with SISCO, and that Seaboard had no contractual or other relationship to the shipment in question. Furthermore, although SISCO used SISCO/Seaboard employees during the transaction in question, it was always SISCO, not Seaboard, that exercised authority over them. Therefore, SISCO submitted, the principle of vicarious liability does not assist Gearbulk and Ocean to found a claim against Seaboard.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evidence relating to the employment status and role of the individuals who prepared and issued the SISCO bills of lading is contained in the discovery testimony of Mr. Bjorndal. The discovery admissions, either adopted by Mr. Bjorndal at trial, or read in by Gearbulk and Ocean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just so I'm clear, those are 20 employees of Seaboard Shipping Company Limited today, 19 of which -- or 19 of whom are in North Vancouver, one in Japan?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 me try and explain it this way, without getting too complicated: The employees work for Seaboard Shipping Company Limited for administrative purposes and Seaboard International Company, who is billed by Seaboard Shipping Company Limited for the cost of the employees.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just to jump ahead, then, does Seaboard International Shipping Company Limited have any employees that it employs directly?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They're all employed through this arrangement with Seaboard Shipping Company Limited?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the way it exists today, and is that the way it existed in 1997?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you're an officer of both SISCO and Seaboard?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do you receive payment for your services by single cheque or do you receive payment for your services by two cheques?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By one cheque.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relates to what? Well, let me put it this way: Who do you receive it from? Whose name is on top of the cheque?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Seaboard Shipping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do you receive any form of remuneration as an officer for SISCO?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receive any remuneration from SISCO for anything you do as an employee? And the point is you're really an employee of SISCO; you're an officer.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don't know. I would beg to differ. I'm an employee of SISCO as well. I'm an officer, but I am an employee.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you don't receive any pay cheque from them?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As I mentioned earlier, the employees of SISCO, the operations office of SISCO, are paid for by Seaboard Shipping Company Limited.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who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SISCO is charged their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 remits withholding tax in relation to your pay? SISCO or Seaboard Shipping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Seaboard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Company Limited?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Shipping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would be the case with all of the employees of Seaboard Shipping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all of the employees of Seaboard Shipping Company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sorry. That's -- I just want to -- it's not -- That's correct with the exception of the one in Japan.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All the employees of Seaboard SISCO -- Pardon me. All of the employees of Seaboard Shipping Company Limited, all of their remittances are made by Seaboard Shipping Company Limited?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documents department. So the people in those departments, then, would receive two pay cheques;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would receive one pay cheque?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Seaboard Shipping Company Limited?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Seaboard Shipping Company Limited would make the appropriate remittances to the income tax people?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Seaboard Shipping Company Limited pays their benefits?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Acquires them? SISCO doesn't do any of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SISCO doesn't remit anything to Revenue Canada?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SISCO doesn't direct any payments on behalf of those people to providers of benefits?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your office one subject to Workers' Compensation? The Workers' Compensation Board legislation?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somebody submits a fee, or whatever it is, to the Workers' Compensation Board of British Columbia;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I'd have to check on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would be Seaboard Shipping Company Limited?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don't want to get into the relationship between Seaboard and SISCO particularly, but just to be clear, my understanding is that SISCO, which is an acronym for Seaboard International Shipping, is a wholly owned subsidiary of Seaboard -- wholly owned subsidiary of Seaboard Shipping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Seaboard Shipping Company Limited,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Shipping Company Limited?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SISCO, if I can call it that, only acts -- only carries out its business through the agency of Seaboard Shipping Company, it's day-to-day -- Sorry. SISCO's business is done by people who are employed by Seaboard Shipping?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all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Maybe that's too much of a capsulization?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that's -- that's -- I think that - that that isn't -- isn't necessarily the way I would put it. I would say that SISCO's business is done by people who are employed -- for employment terms are paid by Seaboard Shipping Company, and SISCO is billed 100 percent of their costs. For example, I am paid -- I am paid by Seaboard Shipping Company and -- but virtually all of my work is done by -- is done on behalf of SISCO.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 understand. Do you have an employment contract?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But your paycheques are signed by Seaboard Shipping?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Seaboard Shipping,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Seaboard Shipping is doing that in furtherance of its conduct of that business on behalf of SISCO, is it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 -- I don't know -- I would say that the ocean -- the -- that the -- the ocean transportation or the shipping side of the business is done by SISCO, it's performed by SISCO, and the people that are doing it are paid by Seaboard Shipping and charged to SISCO.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think you've given us some documentation. What Seaboard Shipping does is it pays the various -- the wages and the benefits and health plan and pension and whatever else it pays and then it sends a lump sum bill to SISCO and SISCO remits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it's clear that the charges to SISCO were all done under the heading of a management fee, and that management fee included all of the costs including salaries and all of the other costs that Seaboard had?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think that the most telling evidence of the employment relationship is the Management Services Agreement between SISCO and Seaboard (the "Agreement"). Clause 4.8 of the Agreement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[Seaboard] may deliver to SISCO a termination invoice, within 90 days after the date of termination, setting out the actual costs incurred by [Seaboard] to cease providing the Services to SISCO, including but not limited to Seaboard's] termination and severance costs for such of its employees whose employment may be terminated as a result of the termination of this Agreement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As I read the provision, Seaboard remains the employer of any of its employees that may do work for SISCO.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next question, then, would be whether Seaboard should be held vicariously liable for the acts of its employees. In Shultz v. Miki, </w:t>
      </w:r>
      <w:hyperlink r:id="rId20" w:history="1">
        <w:r>
          <w:rPr>
            <w:rFonts w:ascii="arial" w:eastAsia="arial" w:hAnsi="arial" w:cs="arial"/>
            <w:i/>
            <w:color w:val="0077CC"/>
            <w:sz w:val="20"/>
            <w:u w:val="single"/>
            <w:shd w:val="clear" w:color="auto" w:fill="FFFFFF"/>
            <w:lang w:val="en-US" w:eastAsia="en-US" w:bidi="ar-SA"/>
          </w:rPr>
          <w:t>[2005] B.C.J. No. 654</w:t>
        </w:r>
      </w:hyperlink>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2005 BCSC 406</w:t>
        </w:r>
      </w:hyperlink>
      <w:r>
        <w:rPr>
          <w:rFonts w:ascii="arial" w:eastAsia="arial" w:hAnsi="arial" w:cs="arial"/>
          <w:color w:val="000000"/>
          <w:sz w:val="20"/>
          <w:lang w:val="en-US" w:eastAsia="en-US" w:bidi="ar-SA"/>
        </w:rPr>
        <w:t xml:space="preserve"> at para. 28, Burnyeat J. set out a helpful summary of the law of vicarious liability of an employer, taken from Q. v. Minto Management Ltd. </w:t>
      </w:r>
      <w:hyperlink r:id="rId21" w:history="1">
        <w:r>
          <w:rPr>
            <w:rFonts w:ascii="arial" w:eastAsia="arial" w:hAnsi="arial" w:cs="arial"/>
            <w:i/>
            <w:color w:val="0077CC"/>
            <w:sz w:val="20"/>
            <w:u w:val="single"/>
            <w:shd w:val="clear" w:color="auto" w:fill="FFFFFF"/>
            <w:lang w:val="en-US" w:eastAsia="en-US" w:bidi="ar-SA"/>
          </w:rPr>
          <w:t>(1985), 15 D.L.R. (4th) 581</w:t>
        </w:r>
      </w:hyperlink>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31 C.C.L.T. 158</w:t>
        </w:r>
      </w:hyperlink>
      <w:r>
        <w:rPr>
          <w:rFonts w:ascii="arial" w:eastAsia="arial" w:hAnsi="arial" w:cs="arial"/>
          <w:color w:val="000000"/>
          <w:sz w:val="20"/>
          <w:lang w:val="en-US" w:eastAsia="en-US" w:bidi="ar-SA"/>
        </w:rPr>
        <w:t xml:space="preserve"> (Ont. S.C. (H.C.J.)) aff'd </w:t>
      </w:r>
      <w:hyperlink r:id="rId22" w:history="1">
        <w:r>
          <w:rPr>
            <w:rFonts w:ascii="arial" w:eastAsia="arial" w:hAnsi="arial" w:cs="arial"/>
            <w:i/>
            <w:color w:val="0077CC"/>
            <w:sz w:val="20"/>
            <w:u w:val="single"/>
            <w:shd w:val="clear" w:color="auto" w:fill="FFFFFF"/>
            <w:lang w:val="en-US" w:eastAsia="en-US" w:bidi="ar-SA"/>
          </w:rPr>
          <w:t>(1986) 34 D.L.R. (4th) 767</w:t>
        </w:r>
      </w:hyperlink>
      <w:r>
        <w:rPr>
          <w:rFonts w:ascii="arial" w:eastAsia="arial" w:hAnsi="arial" w:cs="arial"/>
          <w:color w:val="000000"/>
          <w:sz w:val="20"/>
          <w:lang w:val="en-US" w:eastAsia="en-US" w:bidi="ar-SA"/>
        </w:rPr>
        <w:t xml:space="preserve"> (Ont.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this aspect of the law, I am obliged to counsel for the defendants Minto and Greenberg. I can put it best by quoting from their memorandum of law on this aspect: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Although an employer is generally liable for the actions of his employee, this is only so if the employee who committed the act was acting within the scope of his employment.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show that the relation of employer and employee existed between the actual tortfeasor and the person sought to be made liable, or even that the act in the doing of which the third person was injured was done on the employer's behalf. The act must be shown to have been performed while the employee was acting within the course of his employment, that is while the employee was engaged on his employer's business and was performing either duties falling within the scope of this authority which he was employed to perform or functions which were at least incidental to his employment. Unless this is established, any action against the employer will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this case, the evidence is that SISCO had no employees. I find that Ms. Davids and Ms. Gee were employed by Seaboard, but performed most of their work for SISCO. Therefore, work performed for SISCO was clearly within the scope of their employment by Seaboard. So if there had been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Davids or Ms. Gee in their preparation and issuance of the SISCO bills of lading, Seaboard would be held vicariously liable.</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Gearbulk and Ocean have failed to prove a right to indemnity from SISCO.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Accordingly, their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
          <w:headerReference w:type="default" r:id="rId24"/>
          <w:footerReference w:type="even" r:id="rId25"/>
          <w:footerReference w:type="default" r:id="rId26"/>
          <w:headerReference w:type="first" r:id="rId27"/>
          <w:footerReference w:type="first" r:id="rId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 w:history="1">
        <w:r>
          <w:rPr>
            <w:rFonts w:ascii="arial" w:eastAsia="arial" w:hAnsi="arial" w:cs="arial"/>
            <w:b/>
            <w:bCs/>
            <w:i/>
            <w:color w:val="0077CC"/>
            <w:kern w:val="32"/>
            <w:sz w:val="28"/>
            <w:szCs w:val="32"/>
            <w:u w:val="single"/>
            <w:shd w:val="clear" w:color="auto" w:fill="FFFFFF"/>
            <w:lang w:val="en-US" w:eastAsia="en-US" w:bidi="ar-SA"/>
          </w:rPr>
          <w:t>Goodwin v. Goodwin, [2006] B.C.J. No. 395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Taylor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Campbell River Registry No. S5632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218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147 A.C.W.S. (3d) 336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Christina Mary Goodwin, plaintiff, and Kelly Dean Goodwin, Holbrook Dyson Logging Ltd., District of Campbell River and Mainroad North Island Contracting Ltd., defendant, and District of Campbell River and Mainroad North Island Contracting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Motor vehicle — Liability of driver — Liability of owner — The plaintiff's action for damages for injuries sustained in a motor vehicle accident was summarily dismissed against all three remaining defendants — The defendant driver (the plaintiff's husband) was not negligent as he had done everything possible to avoid the accident, which was found to be due to unexpected black ice, meaning the owner of the vehicle was similarly not liable — The defendant road maintenance contracting company was not liable as the plaintiff failed to establish it owed her a duty of care, due to insufficient proximity.</w:t>
      </w:r>
    </w:p>
    <w:p>
      <w:pPr>
        <w:jc w:val="both"/>
        <w:rPr>
          <w:rFonts w:ascii="arial" w:eastAsia="arial" w:hAnsi="arial" w:cs="arial"/>
          <w:sz w:val="20"/>
          <w:lang w:val="en-US" w:eastAsia="en-US" w:bidi="ar-SA"/>
        </w:rPr>
      </w:pPr>
      <w:bookmarkStart w:id="7" w:name="Legislation Cited_0"/>
      <w:bookmarkEnd w:id="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 w:name="Counsel_0"/>
      <w:bookmarkEnd w:id="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Kelly Dean Goodwin and Holbrook Dyson Logging Ltd., J.A. Graham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Mainroad North Island Contracting Ltd., L. Afonso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 w:name="Judgment_0"/>
      <w:bookmarkEnd w:id="9"/>
      <w:r>
        <w:pict>
          <v:line id="_x0000_s1033" style="position:absolute;z-index:25181286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July 21, 2006;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 w:name="TAYLOR J."/>
            <w:bookmarkEnd w:id="10"/>
            <w:r>
              <w:rPr>
                <w:rFonts w:ascii="arial" w:eastAsia="arial" w:hAnsi="arial" w:cs="arial"/>
                <w:b/>
                <w:color w:val="000000"/>
                <w:sz w:val="30"/>
                <w:lang w:val="en-US" w:eastAsia="en-US" w:bidi="ar-SA"/>
              </w:rPr>
              <w:t>TAYLOR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Each of the remaining defendants in these proceedings, Kelly Dean Goodwin (Kelly), Holbrook Dyson Logging Ltd. (Holbrook) and Mainroad North Island Contracting Ltd. (Mainroad), applied pursuant to Rule 18A for dismissal of the plaintiff's claims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objects to the matter being determined on a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short, while plaintiff's counsel did not seek to adjourn either of the applications, he professed, without being able to persuade me with any specifics, that there "may be other evidence" that, in part, might arise on cross examination of various of the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summary trial is to be determined on the evidence tendered and where the Chambers judge is able to determine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a passenger in an F350 pickup driven by her husband, Kelly that went off Quinsam Road at 2:15 p.m. on Saturday January 18, 2003 after sliding on black ice. The plaintiff was injured. The truck Kelly was driving was owned by the defendant Holbrook.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January 18, 2003, the Ministry of Transportation and Highways had a contract with Mainroad to provide highway maintenance to provincial highways and roads within the Campbell River District but this contract did not include roads within the Municipal District of Campbell River. Quinsam Road lies within the Municipal District of Campbell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morning of January 18, 2003, Kelly, with the plaintiff as passenger, had driven Holbrook's pickup to his logging camp near Woss and then had returned to the Campbell River Area. This trip had taken some four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Kelly's driving was without complaint. In her examination for discovery the plaintiff testified that throughout the trip that Kelly was "driving as usual", that nothing in the manner of his driving caused her any concern, and that at the moment the truck went off the road Kelly "was aware he had lost control and there was nothing we could do. We just went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also testified that the trip along Quinsam Road, which consisted of steep hills, tall trees, embankments and was partly in shade, partly in sun, was "entirely normal" until suddenly and unexpectedly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Kelly's uncontradicted evidence is that his speed along Quinsam Road was less than 50 kilometres per hour and that that road appeared bare and dry. In the area where the accident occurred there are a number of curves and Kelly slowed to 30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Kelly had not experienced any slippage during the trip until he reached the downhill curve. When he was going down this curve, the vehicle began to slip. Kelly attempted corrective steering without result and the vehicle went in a straight line over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truck had a temperature gauge that recorded the outside temperature. Kelly had noted the temperature gauge recorded an exterior temperature of +40C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the truck went over the embankment the vehicle came to rest close to another pickup that had also gone off the road approximately three hours earlier. The driver of that pickup had been a Steve Lotridge.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approximately 11:30 a.m. Steven Lotridge had driven his pickup, at speeds of less than 50 km/h, through the series of curves preceding the one where his, and later Kelly's, pickup went off the road. Lotridge, like Kelly, attempted to negotiate the left-hand curve only to find his vehicle, despite corrective measures, went in a straight line off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with Kelly, when Lotridge climbed up to the road following the accident he noted the road surface was slippery due to ice that had not been visible on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Lotridge called the RCMP at approximately 11:30 a.m. to report the accident and request their attendance. Lotridge also called a tow truck. The RCMP were extremely busy that day and did not attend prior to Lotridge's departure at 12:30 p.m. with the tow truck driver. The tow truck operator, Les Andrews, did not remove Lotridge's vehicle at the time as in his view the road was too slippery to have sufficient 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about 2:30 p.m. Lotridge and the tow truck operator returned to Lotridge's vehicle to find that Kelly's vehicle had also gone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response to a call from Kelly, Kelly's father (the plaintiff's father in law) attended the accident scene. He approached from the opposite direction that Kelly and the plaintiff had been travelling and was travelling in an uphill direction. He parked on the gravel verge and walked to the accident scene. He found the roadway very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Staff Sergeant Greel, who was an operations Non Commissioned Officer in the Campbell River RCMP Detachment, deposed that when the RCMP is made aware of dangerous road or black-ice conditions the policy of the RCMP is to notify the "appropriate source for maintenance and address those road conditions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Staff Sergeant Greep deposed that there was a radio transmission from a tow truck operator at 12:15 p.m. on January 18, 2003. The evidence before me is that the radio transmission was made by the dispatcher for the tow truck called to the scene by Lotridge.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gist of that call was that black ice existed at the scene where Lotridge, and eventually Kelly, went off the road. At 11:32 a.m. the dispatcher for the RCMP called the Mainroad dispatcher and informed the Mainroad dispatcher that there had been a report of black ice on Quinsam Road and that there had been an accident. The RCMP dispatcher provided the Mainroad dispatcher with the location on Quinsam Road. In response to this the Mainroad dispatcher said, "I'll pass that on to our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second call was made by the RCMP dispatcher to the Mainroad dispatcher at 2:44 p.m., the RCMP dispatcher stated that he was "just a phoning [sic] to make sure that a truck has been called out to Quinsam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Mainroad dispatcher responded with "(y)eah, actually I told them about it. They were, yeah, about one-half hour ago or so." Between themselves the RCMP and the Mainroad dispatcher confirmed the location of the earlier (Lotridge) accident. The Mainroad dispatcher confirmed, "(t)hey said they were heading out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Nowhere in those transmissions does Mainroad indicate that Quinsam Road was not in their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Bruce Forsyth swore an affidavit on January 18, 2003. In this affidavit he deposed he was the winter shift operator in the District of Campbell River and was working from 4:00 a.m. to 4:00 p.m. that day. He deposed that he had sanded and salted Quinsam Road at approximately 4:26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Forsyth also deposed that on weekends (January 18, 2003, being a Saturday) any report/complaint that is made in respect of roads in the Campbell River District are received by the Fire Department which pages the on-call Public Works dispatcher who then calls the person responsible for responding to the road conditions. They received no call on January 18, 2003, in respect to Quinsam Road and this is supported by the records maintained by the Public Works dispatcher which records "no calls" on January 18,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report of a Dr. Weaver, an expert in climate and modelling analysis, was also tendered by Kelly and Holbrook. It was not referred to other than for Dr. Weaver's opinion in the formation of black ice was consistent with the physical observation of those who were at the scene of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will first deal with the applications for dismissal made by both Kelly and Holbrook. Both defendants advance two defences. They argue that what occurred was either an inevitable accident or failing that,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Kelly that caused or contributed to his vehicle going off the road. The success of either of these defences will result in the dismissal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Where a plaintiff asserts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an accident, the burden of proof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lies with the plaintiff. In the absence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being proven the action against the defendant should be dismissed. That burden is not shifted by a Rule 18A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Merely because an accident occurred, it can not be presumed that it was the consequence of a negligent act on the part of the defendant. (See </w:t>
      </w:r>
      <w:r>
        <w:rPr>
          <w:rFonts w:ascii="arial" w:eastAsia="arial" w:hAnsi="arial" w:cs="arial"/>
          <w:b/>
          <w:i/>
          <w:color w:val="000000"/>
          <w:sz w:val="20"/>
          <w:lang w:val="en-US" w:eastAsia="en-US" w:bidi="ar-SA"/>
        </w:rPr>
        <w:t>Babich v. Maxwell</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[1990] B.C.J. No. 1575</w:t>
        </w:r>
      </w:hyperlink>
      <w:r>
        <w:rPr>
          <w:rFonts w:ascii="arial" w:eastAsia="arial" w:hAnsi="arial" w:cs="arial"/>
          <w:color w:val="000000"/>
          <w:sz w:val="20"/>
          <w:lang w:val="en-US" w:eastAsia="en-US" w:bidi="ar-SA"/>
        </w:rPr>
        <w:t xml:space="preserve"> (C.A.)). Nevertheless, where a vehicle leaves a roadway for no apparent reason an assumption of negligent driving may be made but this can be rebutted if the defendant can establish that the accident was not the result of negligent conduct but was a consequence of an inevitable accident and there were no reasonable steps the defendant could take to avoid the hazard once it became apparent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As observed by Cumming J.A. in </w:t>
      </w:r>
      <w:r>
        <w:rPr>
          <w:rFonts w:ascii="arial" w:eastAsia="arial" w:hAnsi="arial" w:cs="arial"/>
          <w:b/>
          <w:i/>
          <w:color w:val="000000"/>
          <w:sz w:val="20"/>
          <w:lang w:val="en-US" w:eastAsia="en-US" w:bidi="ar-SA"/>
        </w:rPr>
        <w:t>Basra v. Gill</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[1994] B.C.J. No. 2196</w:t>
        </w:r>
      </w:hyperlink>
      <w:r>
        <w:rPr>
          <w:rFonts w:ascii="arial" w:eastAsia="arial" w:hAnsi="arial" w:cs="arial"/>
          <w:color w:val="000000"/>
          <w:sz w:val="20"/>
          <w:lang w:val="en-US" w:eastAsia="en-US" w:bidi="ar-SA"/>
        </w:rPr>
        <w:t xml:space="preserve"> at paragraph 12 in discussing a jury instruction on the concept of inevitable accident:</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charge with respect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defence of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in this case properly set out the requirements of duty, standard of care, and breach of the standard of care by the defendant and properly defined the standard of care applicable in these circumstances. Further, the charge to the jury correctly set out the elements of the defence of inevitable accident as being: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had no prior warning or indication of the hazard; and that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hazard had become apparent, there were no reasonable steps the defendant could have taken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had no complaint about Kelly's driving. In my view, the plaintiff has not established that the driving of Kelly was negligent at any point that day and more importantly was not negligent as he drove along Quinsam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is nothing to suggest that black ice on the downward curve where the two pickups left the road was apparent to or should have been anticipated by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Kelly's actions must be assessed against the actions that would be taken by the mythically prudent driver who was driving at a speed of approximately 30 km/h, was aware that the road was bare and seemingly dry and was aware that there was an outside temperature of +4oC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driver in such circumstance would first, not be expected to anticipate black ice and second, would be expected to do all that he could do to avoid sliding off the road once he hit black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Kelly, like the "mythically prudent driver", would not have expected black ice, and Kelly did all that he could do to avoid sliding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assessment of the reasonableness of Kelly's actions need not only be assessed in a vacuum against the "mythically prudent driver." Here there is evidence that Lotridge, who was driving in a similarly cautious manner, also went off the road in the same circumstances as Kelly less than 3 hours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view, what occurred to both Kelly and Lotridge was the consequence of road conditions that neither driver had warning of or could have reasonably anticipated and when confronted with their sliding, each took what reasonable steps could have been taken, without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While as I observed earlier, going off a road without explanation may be presumed to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presumption can be rebutted. Where the defendant driver has met the two stage test in </w:t>
      </w:r>
      <w:r>
        <w:rPr>
          <w:rFonts w:ascii="arial" w:eastAsia="arial" w:hAnsi="arial" w:cs="arial"/>
          <w:b/>
          <w:i/>
          <w:color w:val="000000"/>
          <w:sz w:val="20"/>
          <w:lang w:val="en-US" w:eastAsia="en-US" w:bidi="ar-SA"/>
        </w:rPr>
        <w:t>Basra</w:t>
      </w:r>
      <w:r>
        <w:rPr>
          <w:rFonts w:ascii="arial" w:eastAsia="arial" w:hAnsi="arial" w:cs="arial"/>
          <w:color w:val="000000"/>
          <w:sz w:val="20"/>
          <w:lang w:val="en-US" w:eastAsia="en-US" w:bidi="ar-SA"/>
        </w:rPr>
        <w:t xml:space="preserve"> and has established that there was no prior warning or indication of a hazard and that once the hazard became apparent there were no reasonable steps the defendant could have taken to avoid the accident,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not be established and the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Since the plaintiff has not proven that the defendant was negligent the defendant is entitled to a dismissal of the claim against him. The plaintiff's claim against Kelly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now turn to the defendant Mainroad's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alleges that Mainroad is liable for her injuries. In support of this the plaintiff argues that because Mainroad did not inform the RCMP that it was the District of Campbell River, and not Mainroad, who was responsible for the maintenance of Quinsam Road, the roads were not de-iced and this caused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order to be successful in her claim against Mainroad, the plaintiff must establish that Mainroad owed her a duty of care. The test that must be met to establish a duty of care has been set out by the Supreme Court of Canada in </w:t>
      </w:r>
      <w:r>
        <w:rPr>
          <w:rFonts w:ascii="arial" w:eastAsia="arial" w:hAnsi="arial" w:cs="arial"/>
          <w:b/>
          <w:i/>
          <w:color w:val="000000"/>
          <w:sz w:val="20"/>
          <w:lang w:val="en-US" w:eastAsia="en-US" w:bidi="ar-SA"/>
        </w:rPr>
        <w:t>Cooper v. Hobbart</w:t>
      </w:r>
      <w:r>
        <w:rPr>
          <w:rFonts w:ascii="arial" w:eastAsia="arial" w:hAnsi="arial" w:cs="arial"/>
          <w:i/>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i/>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consideration of the evidence reveals that there was not sufficient proximity between the plaintiff and the defendant, Mainroad, to create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Since the evidence does not establish that the defendant owed the plaintiff a duty of care it is not necessary to discuss the issues of standard of care, breach or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the plaintiff has failed to establish that the Mainroad owed her a duty of care, the plaintiff's claim against Mainroad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will be costs to the defendants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LANDER J. for TAYLOR J. (now deceased)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July 21,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date of release for these Reasons for Judgment was February 17, 2006 from the Campbell River Registry and is date stamped accordingly.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 w:history="1">
        <w:r>
          <w:rPr>
            <w:rFonts w:ascii="arial" w:eastAsia="arial" w:hAnsi="arial" w:cs="arial"/>
            <w:b/>
            <w:bCs/>
            <w:i/>
            <w:color w:val="0077CC"/>
            <w:kern w:val="32"/>
            <w:sz w:val="28"/>
            <w:szCs w:val="32"/>
            <w:u w:val="single"/>
            <w:shd w:val="clear" w:color="auto" w:fill="FFFFFF"/>
            <w:lang w:val="en-US" w:eastAsia="en-US" w:bidi="ar-SA"/>
          </w:rPr>
          <w:t>Graham v. Lee, [2004] B.C.J. No. 2052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Quesnel,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28 - 29, 2004 (Prince George).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Quesnel Registry No. 8833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2052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1287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134 A.C.W.S. (3d) 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Stephen James Graham, plaintiff, and Chow Lee,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 w:name="Keywords_1"/>
      <w:bookmarkEnd w:id="11"/>
      <w:r>
        <w:rPr>
          <w:rFonts w:ascii="arial" w:eastAsia="arial" w:hAnsi="arial" w:cs="arial"/>
          <w:b/>
          <w:color w:val="000000"/>
          <w:sz w:val="20"/>
          <w:lang w:val="en-US" w:eastAsia="en-US" w:bidi="ar-SA"/>
        </w:rPr>
        <w:t xml:space="preserve">Civil procedure — Costs — Damages — General damages — For personal injuries — Loss of earning capacity — Non-pecuniary damages, including pain and suffering — Retroactive loss of income — Assessment — Measure of damages — Deductions — Collateral benefits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 w:name="Case Summary_0"/>
            <w:bookmarkEnd w:id="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Graham against Lee for damages for personal injury. Graham was injured when he fell from the deck of a truck on Lee's property. The liability portion of the trial apportioned 80 per cent of the responsibility to Graham and 20 per cent to Lee. Graham suffered a serious knee injury. Several surgeries were conducted over a period of years to treat the knee. Expert medical evidence indicated that a further two or more major surgeries would be required, with three to six months recovery periods for each surgery. Graham had to stop work at various periods. Expert medical evidence indicated that Graham would find it difficult to climb ladders, crouch, kneel or work in confined spaces. There was a risk of re-injury. Graham was 44 years old and worked in a pulp mill for eight years. In the year of the accident Graham earned $20,127. He was currently earning $55,000 annually.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 w:name="Holdings of Court"/>
            <w:bookmarkEnd w:id="1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Graham was awarded 20 per cent of $90,000 in non-pecuniary damages. He was awarded compensation for past lost income and 20 per cent of $125,000 for lost future earning capacity. Graham was entitled to 100 per cent of the costs for the liability portion of the trial, and 20 per cent of the costs for the quantum portion. Graham's knee injury was at the more severe end of the spectrum of knee injuries. Graham suffered considerable pain for several months after the accident and the initial surgery, and from time to time after. His ability to enjoy life was affected in connection with work, outdoor activities and family relationships. He faced the prospect of several surgeries and a lifetime of impaired mobility and flexibility. His trajectory toward steady and well-compensated employment was interrupted but not halted by the accident. Without the accident, Graham would have found employment at his current income level earlier. Social assistance benefits and medical benefits from Graham's employer were deducted from the award for lost income. Although Graham fortuitously found a well-paying job, he did not have the same income-earning capacity in the future that he would have had if the accident had not occurred. He should be compensated for the periods of time in the future when he would not be able to work, estimated at 12 months during his lifetime. It would be unjust to apportion costs for the liability portion of the trial as it would result in cost recovery to Graham bearing no reasonable relationship to the result he achieved.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 w:name="Legislation Cited_1"/>
      <w:bookmarkEnd w:id="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Employment Insurance Act, R.S.C. 1996, c. 23, ss. 45,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0" w:history="1">
        <w:r>
          <w:rPr>
            <w:rFonts w:ascii="arial" w:eastAsia="arial" w:hAnsi="arial" w:cs="arial"/>
            <w:i/>
            <w:color w:val="0077CC"/>
            <w:sz w:val="20"/>
            <w:u w:val="single"/>
            <w:shd w:val="clear" w:color="auto" w:fill="FFFFFF"/>
            <w:lang w:val="en-US" w:eastAsia="en-US" w:bidi="ar-SA"/>
          </w:rPr>
          <w:t>R.S.B.C. 1996, c. 333, s. 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 w:name="Counsel_1"/>
      <w:bookmarkEnd w:id="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Hutchison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H.B. Kaun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 w:name="Judgment_1"/>
      <w:bookmarkEnd w:id="16"/>
      <w:r>
        <w:pict>
          <v:line id="_x0000_s1038" style="position:absolute;z-index:2518138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 w:name="C.L. SMITH J."/>
            <w:bookmarkEnd w:id="17"/>
            <w:r>
              <w:rPr>
                <w:rFonts w:ascii="arial" w:eastAsia="arial" w:hAnsi="arial" w:cs="arial"/>
                <w:b/>
                <w:color w:val="000000"/>
                <w:sz w:val="30"/>
                <w:lang w:val="en-US" w:eastAsia="en-US" w:bidi="ar-SA"/>
              </w:rPr>
              <w:t>C.L.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Stephen Graham, the plaintiff, was injured in a fall on the defendant Chow Lee's property on September 4, 1997. The parties agreed to proceed to trial on liability before addressing the issue of damages. On January 9, 2001, I issued Reasons for Judgment on liability, holding that the defendant was 20% responsible and the plaintiff was 80%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were unable to reach an agreement on quantum of damages, and the trial resumed three and a half years later. The plaintiff seeks non-pecuniary damages, compensation for past loss of income and compensation for lost future earning capacity. There was no claim for special damages or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Graham injured his knee when he fell from the deck of a truck on Mr. Lee's property while assisting Mr. Lee's grandson (Mr. Graham's nephew) with a building project. In order to avoid striking a piece of jagged metal on the ground, he twisted and landed straight-legged. He testified that the pain was excruciating and that he was screaming in pain as he was loaded into a vehicle and transported first to the hospital in Quesnel and then by ambulance to Prince George Regional Hospital. He had surgery on his leg the following night involving the installation of some plates and screws, and the grafting of some bone from his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Graham spent just over a week in the hospital. Despite morphine, he still experienced some pain. He could not leave his bed, eat or deal with his bodily functions on his own. A hard cast was applied to his leg from the groin to the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Graham experienced considerable pain on the trip from the hospital to the mobile home where he lives with his common-in-law wife, Leann Gaboury, her two sons, and their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next few months he slept on the couch, because he could not get himself in and out of the master bedroom. He was unable to get up on his own for about three weeks, he had to have help to go into and use the bathroom, could not bathe himself and had to be helped with almost everything. The cast was on until October. It was changed at one point because it was too loose.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Graham's daughter was born shortly before the accident. He testified that while the cast was on he could not do much with his newborn child although prior to the accident he had taken a paternity leave and had been a very active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was on medication for some time (morphine for pain relief, muscle relaxants, and sleeping pills). His sleep was disrupted because of the cast and the pain; he would get at best three hours of sleep before he would awaken. He would have to disturb his wife to get his medications, which were kept out of reach of his two young stepsons. Eventually the cast was removed and he used crutches, then a single crutch, and eventually a cane. He was at the single crutch or cane stage by the end of December, 1997. He used a cane for about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Graham's recovery from the injury took considerable time, although he attended physiotherapy. He was unable to do anything physical with the children. His relationship with his wife was affected; he was dependent on her assistance in many ways, and in addition, marital relations became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McVicar performed the original surgery on Mr. Graham's leg. When Dr. McVicar moved out of the area, he referred Mr. Graham to Dr. Olmstead, another orthopaedic surgeon. Dr. Olmstead provided medical-legal reports and testified at the trial. I accepted him as qualified to give expert evidence in orthopaedic surgery and in his subspecialty of orthopaedic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Olmstead saw Mr. Graham on February 28, 2001 because he was continuing to experience pain and although he had returned to work, he was having trouble standing or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June 7, 2001, Mr. Graham had further surgery. In this procedure, Dr. Olmstead removed the hardware and debrided (cleaned out) the knee. He stated that he found advanced degenerative changes in the lateral compartment of Mr. Graham's knee, with nearly complete loss of articular cartilage (so that there was no normal surface on the bearing portion of the knee) and a concave dishing to the lateral tibial plateau. He said that there was also evidence of injury to the anterior cruciate ligament with looseness to its fibres. Dr. Olmstead testified that there was essentially bone-on-bone contact indicating advancing, nearly end-stage osteoarthritis. He testified that the procedure was designed just to give Mr. Graham some relief, and buy some time. The procedure cannot provide a new knee. Mr. Graham continued to use a brace, although a different one than he had been using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July, Dr. Olmstead recommended a different brace than the one that Mr. Graham had been 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2001 surgery, Mr. Graham was immobile for a time, then used crutches, then a single crutch or cane for up to seven or eight months. Again, he slept on the couch for around eight weeks, could not get up unassisted for 10 days or two weeks and needed assistance with bathing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September, 2003, Mr. Graham re-injured his knee. He saw Dr. Olmstead on October 20, 2003. Mr. Graham had been experiencing episodes of instability and pain in his knee and was using a cane. Examination showed a knock-kneed alignment of the right knee, that Mr. Graham walked with a prominent limp even with his cane, and considerable signs of instability and crepitus (that is, a grinding sensation). Radiographs showed advancing osteoarthritis of the right knee and considerable loss of joint space in the lateral compartment.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Olmstead performed a further athroscopic debridement of the right knee. He observed that the anterior cruciate ligament was intact although slightly lax, but that there was severe damage of the lateral compartment with concave dishing of the tibial plateau, substantial loss of articular cartilage with some bare areas exposed, and advanced degeneration of the corresponding lateral femoral condyle.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By February 16, 2004, Mr. Graham had felt some improvement though his continuing symptoms still limited his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his final report dated April 19, 2004, Dr. Olmstead summarized his conclusions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clearly sustained a major injury to his right knee in the motor vehicle accident of September 4, 1997 resulting in a lateral tibial plateau fracture with subsequent depression of the lateral tibial plateau and progressive degeneration with resultant impairment of function. Mr. Graham has had to stop work at times due to his symptoms, particularly from September 2003 to January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is no question that Mr. Graham will require management of his right knee symptoms with arthroplasty surgery. I would expect that this would be undertaken likely within the next year depending on his progression of symptoms. A relatively new procedure of a unicompartmental knee replacement has become available to manage patients in this relatively young age group who have primarily unicompartmental degeneration as is the case with Mr. Graham. This is a major surgical procedure with a number of risks and complications, including infection, deep vein thrombosis and continuing pain. However, the main risk with this type of procedure is that of loosening over time, requiring a revision procedure in future. In fact, it is fully expected that this type of unicompartmental knee replacement would have a life span of about 10 years before failing, typically by loosening. This would need to then be revised to a total knee replacement which is a technically more difficult procedure due to the bone loss which typically occurs with loosening of the initial components. Along with this greater technical difficulty is a higher risk of complications. Again, the life expectancy of the revision procedure would be about 10 years. Given Mr. Graham's age at this point, it is therefore conceivable that he could require 2, 3 or more major procedures on his knee with the associated risks. On each occasion, it would be expected that he would require three to six months to recover before being able to return to relatively normal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Another factor to be considered in this case is that a knee replacement imposes certain restrictions on the patient with standing and walking limitations. These limitations are quite individual but in general are said to be reduced by about 50% or more from the normal status. In addition, it would be expected that there would be restriction of movement with flexion being limited to about 90 degrees. This creates some restrictions in terms of self care, and maneuvering into certain positions which could be required by his work. He would be unlikely able to kneel on this knee. He would also have limitation of being able to step onto a high step as well as use ladders. All of these restrictions would have a bearing on his ability to do his present type of work as a saw-mill laborer.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Olmstead testified that Mr. Graham will find it difficult to climb ladders, crouch, kneel or to work in confined spaces. He said that he was not surprised that Mr. Graham had to stop work at times, and that in fact he was surprised that Mr. Graham was able to go back to work as a sawmill labourer. He expects that Mr. Graham will need a full knee replacement, although believes that he should wait as long as he can because each subsequent procedure is progressively more difficult and carries more risks. He testified that after a knee replacement most people experience constraints in their mobility and restriction in their flexion. He testified that a knee replacement for Mr. Graham would require the removal of more bone than in the typical primary knee replacement, and that subsequent procedures would be even more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Olmstead said that he would have expected the injury to cause significant pain from the time of the injury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cross-examination, Dr. Olmstead added that because the knee does not support itself properly Mr. Graham is likely to experience re-injury. He agreed that he did not know how normal Mr. Graham's knees were before the accident. He agreed that possibly Mr. Graham will go on longer without a knee replacement than would some others because he is clearly on the stoic end of the bell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response to questions from the court, Dr. Olmstead testified that in his current state Mr. Graham should be able to do most things, although he would experience discomfort and instability on uneven surfaces and difficulty with ladders. After a knee replacement his range of motion will be restricted to 90 degrees, he will not want to kneel, or to stand or walk for a long time, or to walk on uneven ground, and he will not be able to step up where more than 90 degrees flexion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accept Dr. Olmstead's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Graham is currently 44 years old, living in Quesnel, and employed by CanFor. He is just short of the credits needed for his Grade XII diploma. He obtained qualifications as a journeyman baker and as laboratory technician. He has his First Aid Level III certificate. He has worked as a roofer, in construction, in sawmills, and as a baker. He worked for eight years in a pulp mill. He started at his present job with CanFor on August 28,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Graham was off work for the second arthroscopic procedure in the fall of 2003, returning to work on January 2, 2004. He testified that he finds the physical demands of the job challenging because of the instability of his knee and the pain that vibrations can cause him to experience, and that there are certain jobs at the mill he is unable to do. He finds many of his pre-accident activities difficult or impossible: mountain biking, golfing, skiing, swimming, soccer, ice-skating and tobogganing. His inability to run, he says, affects his ability to interact with his children. He cannot mow the lawn, and finds house repairs difficult when they require the use of a ladder. He has to pay to have work done on his car that previously he would have done himself. He finds that after work he has to rest for an hour or more, which was not the case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Gadoury in her testimony in general confirmed Mr. Graham's testimony regarding the pain and disability following the accident and the surgical procedures, and regarding the impact of the knee injury on their family life. An exception was that she testified, contrary to Mr. Graham's evidence, that he was able to hold their infant daughter after the accident, and that he did continue to participate in her care although to a limited extent. This small inconsistency does not cause me to find that either witness lacks credibility; in general, I accept Mr. Graham's and Ms. Gadoury's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that Mr. Graham suffered considerable pain for several months following the accident and the initial surgery, and from time to time in the ensuing years, particularly in conjunction with the two ensuing surgical procedures. His ability to enjoy life has been affected, not only in connection with work, outdoor activities and sports, but also in connection with his family relationships. He faces the prospect of between one and three knee replacement surgeries (depending on his longevity and the longevity of the knee replacements), and a lifetime of impaired mobility and flexibility.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Graham is currently earning about $55,000 per year. He expects that his wages will go up in the next six years. In the year of the accident, he was earning $20,127.00 on an annualized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for the plaintiff submitted that, in the light of the significant pain and incapacity suffered by the plaintiff in the past, and the prospect of two or three more surgical procedures in the future, each of which will bring pain and incapacity and each of which will involve increasing risk, the appropriate range for non-pecuniary damages is between $90,000 and $110,000. Mr. Hutchison referred to the following authorities: Kmetyko v. Harrison, </w:t>
      </w:r>
      <w:hyperlink r:id="rId41" w:history="1">
        <w:r>
          <w:rPr>
            <w:rFonts w:ascii="arial" w:eastAsia="arial" w:hAnsi="arial" w:cs="arial"/>
            <w:i/>
            <w:color w:val="0077CC"/>
            <w:sz w:val="20"/>
            <w:u w:val="single"/>
            <w:shd w:val="clear" w:color="auto" w:fill="FFFFFF"/>
            <w:lang w:val="en-US" w:eastAsia="en-US" w:bidi="ar-SA"/>
          </w:rPr>
          <w:t>[1998] B.C.J. No. 2918</w:t>
        </w:r>
      </w:hyperlink>
      <w:r>
        <w:rPr>
          <w:rFonts w:ascii="arial" w:eastAsia="arial" w:hAnsi="arial" w:cs="arial"/>
          <w:color w:val="000000"/>
          <w:sz w:val="20"/>
          <w:lang w:val="en-US" w:eastAsia="en-US" w:bidi="ar-SA"/>
        </w:rPr>
        <w:t xml:space="preserve"> (S.C.); Zicari v. Young, </w:t>
      </w:r>
      <w:hyperlink r:id="rId42" w:history="1">
        <w:r>
          <w:rPr>
            <w:rFonts w:ascii="arial" w:eastAsia="arial" w:hAnsi="arial" w:cs="arial"/>
            <w:i/>
            <w:color w:val="0077CC"/>
            <w:sz w:val="20"/>
            <w:u w:val="single"/>
            <w:shd w:val="clear" w:color="auto" w:fill="FFFFFF"/>
            <w:lang w:val="en-US" w:eastAsia="en-US" w:bidi="ar-SA"/>
          </w:rPr>
          <w:t>[2001] B.C.J. No. 2299</w:t>
        </w:r>
      </w:hyperlink>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2001 BCSC 1549</w:t>
        </w:r>
      </w:hyperlink>
      <w:r>
        <w:rPr>
          <w:rFonts w:ascii="arial" w:eastAsia="arial" w:hAnsi="arial" w:cs="arial"/>
          <w:color w:val="000000"/>
          <w:sz w:val="20"/>
          <w:lang w:val="en-US" w:eastAsia="en-US" w:bidi="ar-SA"/>
        </w:rPr>
        <w:t xml:space="preserve">; Farrell v. White Rock Players' Club, </w:t>
      </w:r>
      <w:hyperlink r:id="rId43" w:history="1">
        <w:r>
          <w:rPr>
            <w:rFonts w:ascii="arial" w:eastAsia="arial" w:hAnsi="arial" w:cs="arial"/>
            <w:i/>
            <w:color w:val="0077CC"/>
            <w:sz w:val="20"/>
            <w:u w:val="single"/>
            <w:shd w:val="clear" w:color="auto" w:fill="FFFFFF"/>
            <w:lang w:val="en-US" w:eastAsia="en-US" w:bidi="ar-SA"/>
          </w:rPr>
          <w:t>[1997] B.C.J. No. 507</w:t>
        </w:r>
      </w:hyperlink>
      <w:r>
        <w:rPr>
          <w:rFonts w:ascii="arial" w:eastAsia="arial" w:hAnsi="arial" w:cs="arial"/>
          <w:color w:val="000000"/>
          <w:sz w:val="20"/>
          <w:lang w:val="en-US" w:eastAsia="en-US" w:bidi="ar-SA"/>
        </w:rPr>
        <w:t xml:space="preserve"> (S.C.); Lawson v. Vu, </w:t>
      </w:r>
      <w:hyperlink r:id="rId44" w:history="1">
        <w:r>
          <w:rPr>
            <w:rFonts w:ascii="arial" w:eastAsia="arial" w:hAnsi="arial" w:cs="arial"/>
            <w:i/>
            <w:color w:val="0077CC"/>
            <w:sz w:val="20"/>
            <w:u w:val="single"/>
            <w:shd w:val="clear" w:color="auto" w:fill="FFFFFF"/>
            <w:lang w:val="en-US" w:eastAsia="en-US" w:bidi="ar-SA"/>
          </w:rPr>
          <w:t>[2000] B.C.J. No. 230</w:t>
        </w:r>
      </w:hyperlink>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2000 BCSC 206</w:t>
        </w:r>
      </w:hyperlink>
      <w:r>
        <w:rPr>
          <w:rFonts w:ascii="arial" w:eastAsia="arial" w:hAnsi="arial" w:cs="arial"/>
          <w:color w:val="000000"/>
          <w:sz w:val="20"/>
          <w:lang w:val="en-US" w:eastAsia="en-US" w:bidi="ar-SA"/>
        </w:rPr>
        <w:t xml:space="preserve">; French v. Fort St. John Curling Club, </w:t>
      </w:r>
      <w:hyperlink r:id="rId45" w:history="1">
        <w:r>
          <w:rPr>
            <w:rFonts w:ascii="arial" w:eastAsia="arial" w:hAnsi="arial" w:cs="arial"/>
            <w:i/>
            <w:color w:val="0077CC"/>
            <w:sz w:val="20"/>
            <w:u w:val="single"/>
            <w:shd w:val="clear" w:color="auto" w:fill="FFFFFF"/>
            <w:lang w:val="en-US" w:eastAsia="en-US" w:bidi="ar-SA"/>
          </w:rPr>
          <w:t>[2003] B.C.J. No. 1434</w:t>
        </w:r>
      </w:hyperlink>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2003 BCSC 932</w:t>
        </w:r>
      </w:hyperlink>
      <w:r>
        <w:rPr>
          <w:rFonts w:ascii="arial" w:eastAsia="arial" w:hAnsi="arial" w:cs="arial"/>
          <w:color w:val="000000"/>
          <w:sz w:val="20"/>
          <w:lang w:val="en-US" w:eastAsia="en-US" w:bidi="ar-SA"/>
        </w:rPr>
        <w:t xml:space="preserve">; Zacharias v. Leys, </w:t>
      </w:r>
      <w:hyperlink r:id="rId46" w:history="1">
        <w:r>
          <w:rPr>
            <w:rFonts w:ascii="arial" w:eastAsia="arial" w:hAnsi="arial" w:cs="arial"/>
            <w:i/>
            <w:color w:val="0077CC"/>
            <w:sz w:val="20"/>
            <w:u w:val="single"/>
            <w:shd w:val="clear" w:color="auto" w:fill="FFFFFF"/>
            <w:lang w:val="en-US" w:eastAsia="en-US" w:bidi="ar-SA"/>
          </w:rPr>
          <w:t>[2003] B.C.J. No. 1811</w:t>
        </w:r>
      </w:hyperlink>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2003 BCSC 1157</w:t>
        </w:r>
      </w:hyperlink>
      <w:r>
        <w:rPr>
          <w:rFonts w:ascii="arial" w:eastAsia="arial" w:hAnsi="arial" w:cs="arial"/>
          <w:color w:val="000000"/>
          <w:sz w:val="20"/>
          <w:lang w:val="en-US" w:eastAsia="en-US" w:bidi="ar-SA"/>
        </w:rPr>
        <w:t>. Those cases all involved knee injuries of varying degrees of severity, sometimes in conjunction with other injuries, with a range of damages from $75,000 to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Counsel for the defendant submitted that the appropriate range of damages in this case is $40,000 to $65,000. Mr. Kaun referred to these authorities: Bruce v. Coliseum Management Ltd. (c.o.b. Uncle Charlie's) </w:t>
      </w:r>
      <w:hyperlink r:id="rId47" w:history="1">
        <w:r>
          <w:rPr>
            <w:rFonts w:ascii="arial" w:eastAsia="arial" w:hAnsi="arial" w:cs="arial"/>
            <w:i/>
            <w:color w:val="0077CC"/>
            <w:sz w:val="20"/>
            <w:u w:val="single"/>
            <w:shd w:val="clear" w:color="auto" w:fill="FFFFFF"/>
            <w:lang w:val="en-US" w:eastAsia="en-US" w:bidi="ar-SA"/>
          </w:rPr>
          <w:t>(1998), 56 B.C.L.R. (3d) 27</w:t>
        </w:r>
      </w:hyperlink>
      <w:r>
        <w:rPr>
          <w:rFonts w:ascii="arial" w:eastAsia="arial" w:hAnsi="arial" w:cs="arial"/>
          <w:color w:val="000000"/>
          <w:sz w:val="20"/>
          <w:lang w:val="en-US" w:eastAsia="en-US" w:bidi="ar-SA"/>
        </w:rPr>
        <w:t xml:space="preserve"> (C.A.); Tourigny v. McSween, </w:t>
      </w:r>
      <w:hyperlink r:id="rId48" w:history="1">
        <w:r>
          <w:rPr>
            <w:rFonts w:ascii="arial" w:eastAsia="arial" w:hAnsi="arial" w:cs="arial"/>
            <w:i/>
            <w:color w:val="0077CC"/>
            <w:sz w:val="20"/>
            <w:u w:val="single"/>
            <w:shd w:val="clear" w:color="auto" w:fill="FFFFFF"/>
            <w:lang w:val="en-US" w:eastAsia="en-US" w:bidi="ar-SA"/>
          </w:rPr>
          <w:t>[1997] B.C.J. No. 2846</w:t>
        </w:r>
      </w:hyperlink>
      <w:r>
        <w:rPr>
          <w:rFonts w:ascii="arial" w:eastAsia="arial" w:hAnsi="arial" w:cs="arial"/>
          <w:color w:val="000000"/>
          <w:sz w:val="20"/>
          <w:lang w:val="en-US" w:eastAsia="en-US" w:bidi="ar-SA"/>
        </w:rPr>
        <w:t xml:space="preserve"> (S.C.), reversed on other grounds </w:t>
      </w:r>
      <w:hyperlink r:id="rId49" w:history="1">
        <w:r>
          <w:rPr>
            <w:rFonts w:ascii="arial" w:eastAsia="arial" w:hAnsi="arial" w:cs="arial"/>
            <w:i/>
            <w:color w:val="0077CC"/>
            <w:sz w:val="20"/>
            <w:u w:val="single"/>
            <w:shd w:val="clear" w:color="auto" w:fill="FFFFFF"/>
            <w:lang w:val="en-US" w:eastAsia="en-US" w:bidi="ar-SA"/>
          </w:rPr>
          <w:t>(1999), 64 B.C.L.R. (3d) 311</w:t>
        </w:r>
      </w:hyperlink>
      <w:r>
        <w:rPr>
          <w:rFonts w:ascii="arial" w:eastAsia="arial" w:hAnsi="arial" w:cs="arial"/>
          <w:color w:val="000000"/>
          <w:sz w:val="20"/>
          <w:lang w:val="en-US" w:eastAsia="en-US" w:bidi="ar-SA"/>
        </w:rPr>
        <w:t xml:space="preserve"> (C.A.); Lam v. Manoj, </w:t>
      </w:r>
      <w:hyperlink r:id="rId50" w:history="1">
        <w:r>
          <w:rPr>
            <w:rFonts w:ascii="arial" w:eastAsia="arial" w:hAnsi="arial" w:cs="arial"/>
            <w:i/>
            <w:color w:val="0077CC"/>
            <w:sz w:val="20"/>
            <w:u w:val="single"/>
            <w:shd w:val="clear" w:color="auto" w:fill="FFFFFF"/>
            <w:lang w:val="en-US" w:eastAsia="en-US" w:bidi="ar-SA"/>
          </w:rPr>
          <w:t>[1998] B.C.J. No. 1134</w:t>
        </w:r>
      </w:hyperlink>
      <w:r>
        <w:rPr>
          <w:rFonts w:ascii="arial" w:eastAsia="arial" w:hAnsi="arial" w:cs="arial"/>
          <w:color w:val="000000"/>
          <w:sz w:val="20"/>
          <w:lang w:val="en-US" w:eastAsia="en-US" w:bidi="ar-SA"/>
        </w:rPr>
        <w:t xml:space="preserve"> (S.C.); Whitmore v. Arens, </w:t>
      </w:r>
      <w:hyperlink r:id="rId51" w:history="1">
        <w:r>
          <w:rPr>
            <w:rFonts w:ascii="arial" w:eastAsia="arial" w:hAnsi="arial" w:cs="arial"/>
            <w:i/>
            <w:color w:val="0077CC"/>
            <w:sz w:val="20"/>
            <w:u w:val="single"/>
            <w:shd w:val="clear" w:color="auto" w:fill="FFFFFF"/>
            <w:lang w:val="en-US" w:eastAsia="en-US" w:bidi="ar-SA"/>
          </w:rPr>
          <w:t>[1999] B.C.J. No. 313</w:t>
        </w:r>
      </w:hyperlink>
      <w:r>
        <w:rPr>
          <w:rFonts w:ascii="arial" w:eastAsia="arial" w:hAnsi="arial" w:cs="arial"/>
          <w:color w:val="000000"/>
          <w:sz w:val="20"/>
          <w:lang w:val="en-US" w:eastAsia="en-US" w:bidi="ar-SA"/>
        </w:rPr>
        <w:t xml:space="preserve"> (S.C.); Moore v. Zapalski, </w:t>
      </w:r>
      <w:hyperlink r:id="rId52" w:history="1">
        <w:r>
          <w:rPr>
            <w:rFonts w:ascii="arial" w:eastAsia="arial" w:hAnsi="arial" w:cs="arial"/>
            <w:i/>
            <w:color w:val="0077CC"/>
            <w:sz w:val="20"/>
            <w:u w:val="single"/>
            <w:shd w:val="clear" w:color="auto" w:fill="FFFFFF"/>
            <w:lang w:val="en-US" w:eastAsia="en-US" w:bidi="ar-SA"/>
          </w:rPr>
          <w:t>[2003] B.C.J. No. 742</w:t>
        </w:r>
      </w:hyperlink>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2003 BCSC 494</w:t>
        </w:r>
      </w:hyperlink>
      <w:r>
        <w:rPr>
          <w:rFonts w:ascii="arial" w:eastAsia="arial" w:hAnsi="arial" w:cs="arial"/>
          <w:color w:val="000000"/>
          <w:sz w:val="20"/>
          <w:lang w:val="en-US" w:eastAsia="en-US" w:bidi="ar-SA"/>
        </w:rPr>
        <w:t xml:space="preserve">; Catalano v. Donald, </w:t>
      </w:r>
      <w:hyperlink r:id="rId53" w:history="1">
        <w:r>
          <w:rPr>
            <w:rFonts w:ascii="arial" w:eastAsia="arial" w:hAnsi="arial" w:cs="arial"/>
            <w:i/>
            <w:color w:val="0077CC"/>
            <w:sz w:val="20"/>
            <w:u w:val="single"/>
            <w:shd w:val="clear" w:color="auto" w:fill="FFFFFF"/>
            <w:lang w:val="en-US" w:eastAsia="en-US" w:bidi="ar-SA"/>
          </w:rPr>
          <w:t>[2002] B.C.J. No. 1944</w:t>
        </w:r>
      </w:hyperlink>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2002 BCSC 1232</w:t>
        </w:r>
      </w:hyperlink>
      <w:r>
        <w:rPr>
          <w:rFonts w:ascii="arial" w:eastAsia="arial" w:hAnsi="arial" w:cs="arial"/>
          <w:color w:val="000000"/>
          <w:sz w:val="20"/>
          <w:lang w:val="en-US" w:eastAsia="en-US" w:bidi="ar-SA"/>
        </w:rPr>
        <w:t xml:space="preserve">; Dudley v. Orca Bay Arena Corp., </w:t>
      </w:r>
      <w:hyperlink r:id="rId54" w:history="1">
        <w:r>
          <w:rPr>
            <w:rFonts w:ascii="arial" w:eastAsia="arial" w:hAnsi="arial" w:cs="arial"/>
            <w:i/>
            <w:color w:val="0077CC"/>
            <w:sz w:val="20"/>
            <w:u w:val="single"/>
            <w:shd w:val="clear" w:color="auto" w:fill="FFFFFF"/>
            <w:lang w:val="en-US" w:eastAsia="en-US" w:bidi="ar-SA"/>
          </w:rPr>
          <w:t>[2002] B.C.J. No. 1310</w:t>
        </w:r>
      </w:hyperlink>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2002 BCSC 889</w:t>
        </w:r>
      </w:hyperlink>
      <w:r>
        <w:rPr>
          <w:rFonts w:ascii="arial" w:eastAsia="arial" w:hAnsi="arial" w:cs="arial"/>
          <w:color w:val="000000"/>
          <w:sz w:val="20"/>
          <w:lang w:val="en-US" w:eastAsia="en-US" w:bidi="ar-SA"/>
        </w:rPr>
        <w:t>. Those cases involved knee injuries of varying degrees of severity, with awards of non-pecuniary damages between $20,000 and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Mr. Graham's knee injury is at the more severe end of the spectrum of knee injuries, and that despite his stoicism he faces some real challenges resulting from it, both in terms of ongoing pain, future surgical procedures, and impairment of his ability to enjoy life. He is relatively young. Deterioration of the knee has progressed to a point where a knee replacement will be necessary in the next year or two. Further knee replacements will almost inevitably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Having considered the evidence before me and the cases to which counsel referred, taking into account the dates when they were decided, the relative severity of the injuries and the extent of the impairment they produced, and the ages of the plaintiffs, I have concluded that the appropriate award for non-pecuniary damages in this case is $90,000. The plaintiff will receive 20% of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order to reach a conclusion regarding Mr. Graham's loss of income to the date of trial, it is necessary for me to determine what Mr. Graham's career progress and income earnings between 1997 and the concluding portion of the trial in 2004 would have been if the accident had not occurred. Mr. Graham, in the period prior to the accident in 1997, had acquired a family and had begun to concentrate his efforts on earning money in order to provide for himself and his family. He was on a trajectory toward steady and well-compensated employment that was interrupted, but not halted, by the accident. Nevertheless, although he was on that trajectory, it would have taken him some time to reach the position where he now is because he had been through a number of years of low earnings and sporadic employment. I find that, without the accident, Mr. Graham would have continued at his 1997 income level for a few years, but that he would have found employment at his current level earlier than he actually did. For ease of calculation, I find that he would have earned $20,000 in each of 1997, 1998, 1999 and 2000 and that he would have earned $51,000 in each of 2001, 2002 and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Mr. Graham would have taken paternity leave without the accident. He therefore lost no income as a result of the accident until November 1, 1997, when the paternity leave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the accident Mr. Graham received certain payments, including social assistance, medical benefits from his employer's plan, unemployment insurance and grants from Human Resources Development Canada to permit him to further his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Ratych v. Bloomer, </w:t>
      </w:r>
      <w:hyperlink r:id="rId55"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xml:space="preserve"> the Supreme Court of Canada made clear that the fundamental question is whether the plaintiff will doubly recover if he both receives damages for lost earnings and keeps specific benefits; in other words, will he be compensated for the same loss from more than one source? In that case, the court held that payments from the plaintiff's employer pursuant to a collective agreement during the period he was unable to work due to his injuries had to be brought into account and deducted from his claim for lost earnings. The majority stated the following general principle at 982-83: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general rule, wage benefits paid while a plaintiff is unable to work must be brought into account and deducted from the claim for lost earnings. An exception to this rule may lie where the court is satisfied that the employer or fund which paid the wage benefits is entitled to be reimbursed for them on the principle of subrogation. This is the case where statutes, such as the Workers' Compensation Act, expressly provide for payment to the benefactor of any wage benefits recovered. It will also be the case where the person who paid the benefits establishes a valid claim to have them repaid out of any damages awarded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comments should not be taken as extending to types of collateral benefits other than lost earnings, such as insurance paid for by the plaintiff and gratuitous payments made by third parties. Those issues are not before the Court and must be left for another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social assistance benefits are essentially a form of income replacement and are deductible from the award for lost income: M.B. v. British Columbia, </w:t>
      </w:r>
      <w:hyperlink r:id="rId56" w:history="1">
        <w:r>
          <w:rPr>
            <w:rFonts w:ascii="arial" w:eastAsia="arial" w:hAnsi="arial" w:cs="arial"/>
            <w:i/>
            <w:color w:val="0077CC"/>
            <w:sz w:val="20"/>
            <w:u w:val="single"/>
            <w:shd w:val="clear" w:color="auto" w:fill="FFFFFF"/>
            <w:lang w:val="en-US" w:eastAsia="en-US" w:bidi="ar-SA"/>
          </w:rPr>
          <w:t>[2003] 2 S.C.R. 477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regarding the plaintiff's medical benefits from his employer's plan was somewhat unclear. However, the burden is on the plaintiff and I conclude that those benefits are also a form of income replacement and are deductible, in the absence of evidence that the plaintiff paid for those benefits in some manner or that he is obliged to re-pay them: Ratych v. Bloomer.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unemployment insurance benefits are not deductible: Bracchi v. Roberts </w:t>
      </w:r>
      <w:hyperlink r:id="rId57" w:history="1">
        <w:r>
          <w:rPr>
            <w:rFonts w:ascii="arial" w:eastAsia="arial" w:hAnsi="arial" w:cs="arial"/>
            <w:i/>
            <w:color w:val="0077CC"/>
            <w:sz w:val="20"/>
            <w:u w:val="single"/>
            <w:shd w:val="clear" w:color="auto" w:fill="FFFFFF"/>
            <w:lang w:val="en-US" w:eastAsia="en-US" w:bidi="ar-SA"/>
          </w:rPr>
          <w:t>(1990), 51 B.C.L.R. (2d) 257</w:t>
        </w:r>
      </w:hyperlink>
      <w:r>
        <w:rPr>
          <w:rFonts w:ascii="arial" w:eastAsia="arial" w:hAnsi="arial" w:cs="arial"/>
          <w:color w:val="000000"/>
          <w:sz w:val="20"/>
          <w:lang w:val="en-US" w:eastAsia="en-US" w:bidi="ar-SA"/>
        </w:rPr>
        <w:t xml:space="preserve"> (S.C.); Hayre v. Walz </w:t>
      </w:r>
      <w:hyperlink r:id="rId58" w:history="1">
        <w:r>
          <w:rPr>
            <w:rFonts w:ascii="arial" w:eastAsia="arial" w:hAnsi="arial" w:cs="arial"/>
            <w:i/>
            <w:color w:val="0077CC"/>
            <w:sz w:val="20"/>
            <w:u w:val="single"/>
            <w:shd w:val="clear" w:color="auto" w:fill="FFFFFF"/>
            <w:lang w:val="en-US" w:eastAsia="en-US" w:bidi="ar-SA"/>
          </w:rPr>
          <w:t>(1992), 67 B.C.L.R. (2d) 296</w:t>
        </w:r>
      </w:hyperlink>
      <w:r>
        <w:rPr>
          <w:rFonts w:ascii="arial" w:eastAsia="arial" w:hAnsi="arial" w:cs="arial"/>
          <w:color w:val="000000"/>
          <w:sz w:val="20"/>
          <w:lang w:val="en-US" w:eastAsia="en-US" w:bidi="ar-SA"/>
        </w:rPr>
        <w:t xml:space="preserve"> (C.A.); Khairati v. Prasad, </w:t>
      </w:r>
      <w:hyperlink r:id="rId59" w:history="1">
        <w:r>
          <w:rPr>
            <w:rFonts w:ascii="arial" w:eastAsia="arial" w:hAnsi="arial" w:cs="arial"/>
            <w:i/>
            <w:color w:val="0077CC"/>
            <w:sz w:val="20"/>
            <w:u w:val="single"/>
            <w:shd w:val="clear" w:color="auto" w:fill="FFFFFF"/>
            <w:lang w:val="en-US" w:eastAsia="en-US" w:bidi="ar-SA"/>
          </w:rPr>
          <w:t>[2002] B.C.J. No. 513</w:t>
        </w:r>
      </w:hyperlink>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2002 BCSC 360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on the evidence that the grants from Human Resources Development Canada were for education and re-training; they were not income replacement, and indeed permitted Mr. Graham to mitigate his damages. They do not constitute double recovery for the plaintiff and are not deductible.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Although counsel for the defendant raised an issue regarding the effect of sections 45 and 46 of the Employment Insurance Act, R.S.C. 1996, c. 23, that is a matter between the plaintiff and the administrators of that legislation and does not affect my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will leave to counsel the calculations of the total amount of lost wages, on the basis of my findings set out above. The plaintiff will receive 20% of that amount. If it is necessary to make further submissions as to the calculations, counsel may do so by telephone appearance in Chambers at 9:00 a.m., on a date arranged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Lost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case is somewhat unusual in that, since the accident, Mr. Graham has done considerably better in terms of his employment earnings than he ever did before. In August, 2002, he obtained a full-time position with benefits at CanFor, earning about $51,000 per year. Prior to the accident he had been working for a construction company, and was earning about $20,100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Counsel for the plaintiff argued that, nevertheless, Mr. Graham has suffered a loss in his capacity to earn future income under the principles set out in Kwei v. Boisclair </w:t>
      </w:r>
      <w:hyperlink r:id="rId60"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Those principles require the court to consider whether Mr. Graham has been rendered less capable overall from earning income from all types of employment, less marketable or attractive as an employee, less able to take advantage of all job opportunities which reasonably might have been open to him, and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Hutchison argued that Mr. Graham has always worked in jobs requiring physical labour. Certain types of physical activity are difficult for him now and will likely become impossible for him in the future. Despite his proven ability to work through pain, there are limits to what he will be able to do. Although fortuitously, after the injury Mr. Graham found a well-paying job that he has been able to keep, he does not have the same income-earning capacity he would have had if the accident never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well, Mr. Hutchison submitted, Mr. Graham should be compensated for the periods of time in the future when he will be unable to work due to further surgical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Kaun for the defence submitted that there should be no award for lost future earning capacity except for the periods of time around future surgeries. He pointed to the fact that, despite the theoretical impact of the knee injury on Mr. Graham's marketability, in fact he has worked continuously since the last surgery and is a success at his current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the plaintiff has established on a balance of probabilities, through the evidence of Dr. Olmstead, that Mr. Graham will have to undergo at least two more surgical procedures, which will prevent him from working for three to six months each time. As well, it is likely that he will experience difficulties with his knee from time to time which will cause him to miss work. I find on a balance of probabilities that he will miss another 12 months of work during his lifetime as a result of the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Given Mr. Graham's success at his current job and the increase in his earnings since the accident, this is not a situation in which it is appropriate to find that his future earning capacity has been greatly reduced. Nevertheless, considering the factors described in Kwei v. Boisclair, there has been some diminution in Mr. Graham's potential as an employee, particularly since he has always done some form of physical work and since the medical evidence is clear that his condition will worsen over time even with successive surgeries. Taking that diminution into account, as well as the time Mr. Graham will lose from work due to further surgeries, I conclude that the appropriate total award for lost future earning capacity is $125,000. The plaintiff will receive 20% of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 asked for costs of the trial throughout, despite the allocation of liability.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 333</w:t>
      </w:r>
      <w:r>
        <w:rPr>
          <w:rFonts w:ascii="arial" w:eastAsia="arial" w:hAnsi="arial" w:cs="arial"/>
          <w:color w:val="000000"/>
          <w:sz w:val="20"/>
          <w:lang w:val="en-US" w:eastAsia="en-US" w:bidi="ar-SA"/>
        </w:rPr>
        <w:t>, provides in s. 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Mr. Hutchison referred to Forsyth v. Sikorsky Aircraft Corp. </w:t>
      </w:r>
      <w:hyperlink r:id="rId61" w:history="1">
        <w:r>
          <w:rPr>
            <w:rFonts w:ascii="arial" w:eastAsia="arial" w:hAnsi="arial" w:cs="arial"/>
            <w:i/>
            <w:color w:val="0077CC"/>
            <w:sz w:val="20"/>
            <w:u w:val="single"/>
            <w:shd w:val="clear" w:color="auto" w:fill="FFFFFF"/>
            <w:lang w:val="en-US" w:eastAsia="en-US" w:bidi="ar-SA"/>
          </w:rPr>
          <w:t>(2002), 100 B.C.L.R. (3d) 66</w:t>
        </w:r>
      </w:hyperlink>
      <w:r>
        <w:rPr>
          <w:rFonts w:ascii="arial" w:eastAsia="arial" w:hAnsi="arial" w:cs="arial"/>
          <w:color w:val="000000"/>
          <w:sz w:val="20"/>
          <w:lang w:val="en-US" w:eastAsia="en-US" w:bidi="ar-SA"/>
        </w:rPr>
        <w:t xml:space="preserve"> (C.A.). In that case, four plaintiffs were awarded 100% of their costs in an action in which the defendants were found 50% liable and three of the four plaintiffs were found to have been contributorily negligent. Rowles J.A. stated at [paragraph] 39-41: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question of whether he ought to exercise his discretion under s. 3, the trial judge said, in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Legace (Guardian ad litem) v. Canadian Pacific Ltd. </w:t>
      </w:r>
      <w:hyperlink r:id="rId62" w:history="1">
        <w:r>
          <w:rPr>
            <w:rFonts w:ascii="arial" w:eastAsia="arial" w:hAnsi="arial" w:cs="arial"/>
            <w:i/>
            <w:color w:val="0077CC"/>
            <w:sz w:val="20"/>
            <w:u w:val="single"/>
            <w:shd w:val="clear" w:color="auto" w:fill="FFFFFF"/>
            <w:lang w:val="en-US" w:eastAsia="en-US" w:bidi="ar-SA"/>
          </w:rPr>
          <w:t>[1994] B.C.J. No. 2392</w:t>
        </w:r>
      </w:hyperlink>
      <w:r>
        <w:rPr>
          <w:rFonts w:ascii="arial" w:eastAsia="arial" w:hAnsi="arial" w:cs="arial"/>
          <w:color w:val="000000"/>
          <w:sz w:val="20"/>
          <w:lang w:val="en-US" w:eastAsia="en-US" w:bidi="ar-SA"/>
        </w:rPr>
        <w:t xml:space="preserve"> and Sayers v. Fediuk </w:t>
      </w:r>
      <w:hyperlink r:id="rId63" w:history="1">
        <w:r>
          <w:rPr>
            <w:rFonts w:ascii="arial" w:eastAsia="arial" w:hAnsi="arial" w:cs="arial"/>
            <w:i/>
            <w:color w:val="0077CC"/>
            <w:sz w:val="20"/>
            <w:u w:val="single"/>
            <w:shd w:val="clear" w:color="auto" w:fill="FFFFFF"/>
            <w:lang w:val="en-US" w:eastAsia="en-US" w:bidi="ar-SA"/>
          </w:rPr>
          <w:t>(1992), 77 B.C.L.R. (2d) 117</w:t>
        </w:r>
      </w:hyperlink>
      <w:r>
        <w:rPr>
          <w:rFonts w:ascii="arial" w:eastAsia="arial" w:hAnsi="arial" w:cs="arial"/>
          <w:color w:val="000000"/>
          <w:sz w:val="20"/>
          <w:lang w:val="en-US" w:eastAsia="en-US" w:bidi="ar-SA"/>
        </w:rPr>
        <w:t xml:space="preserve">, both refer to the decision of Bouck J. in Ferguson v. Henshaw </w:t>
      </w:r>
      <w:hyperlink r:id="rId64" w:history="1">
        <w:r>
          <w:rPr>
            <w:rFonts w:ascii="arial" w:eastAsia="arial" w:hAnsi="arial" w:cs="arial"/>
            <w:i/>
            <w:color w:val="0077CC"/>
            <w:sz w:val="20"/>
            <w:u w:val="single"/>
            <w:shd w:val="clear" w:color="auto" w:fill="FFFFFF"/>
            <w:lang w:val="en-US" w:eastAsia="en-US" w:bidi="ar-SA"/>
          </w:rPr>
          <w:t>[1989] B.C.J. No. 1199</w:t>
        </w:r>
      </w:hyperlink>
      <w:r>
        <w:rPr>
          <w:rFonts w:ascii="arial" w:eastAsia="arial" w:hAnsi="arial" w:cs="arial"/>
          <w:color w:val="000000"/>
          <w:sz w:val="20"/>
          <w:lang w:val="en-US" w:eastAsia="en-US" w:bidi="ar-SA"/>
        </w:rPr>
        <w:t xml:space="preserve">, (June 23, 1989), Doc. New Westminster C852173), in addressing the factors in determining whether the discretion found in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is to be exercised to make an award of costs which does not accord with the outcome on liability. The factors follow:</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plaintiffs were seriously injured and the defendant suffered no injury;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plaintiffs have few financial resources;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case was difficult and the costs of getting to trial were significant;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defendant made no offer of settlement or payment into court before the commencement of the trial;</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would be unjust to apportion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concur with Mr. Justice Braidwood (as he then was) who noted in Sayers at para 8 that the principal consideration is whether an injustice will result in following s. 3, the list of other factors merely supporting the conclusion that an unjust result will occur.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second factor, that being the plaintiffs' financial resources, has been rejected as a relevant consideration: Bourelle v. Andrychuk </w:t>
      </w:r>
      <w:hyperlink r:id="rId65" w:history="1">
        <w:r>
          <w:rPr>
            <w:rFonts w:ascii="arial" w:eastAsia="arial" w:hAnsi="arial" w:cs="arial"/>
            <w:i/>
            <w:color w:val="0077CC"/>
            <w:sz w:val="20"/>
            <w:u w:val="single"/>
            <w:shd w:val="clear" w:color="auto" w:fill="FFFFFF"/>
            <w:lang w:val="en-US" w:eastAsia="en-US" w:bidi="ar-SA"/>
          </w:rPr>
          <w:t>[1998] B.C.J. No. 2508</w:t>
        </w:r>
      </w:hyperlink>
      <w:r>
        <w:rPr>
          <w:rFonts w:ascii="arial" w:eastAsia="arial" w:hAnsi="arial" w:cs="arial"/>
          <w:color w:val="000000"/>
          <w:sz w:val="20"/>
          <w:lang w:val="en-US" w:eastAsia="en-US" w:bidi="ar-SA"/>
        </w:rPr>
        <w:t xml:space="preserve"> (B.C.C.A.).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respectful view, the trial judge did not misdirect himself when he considered the plaintiffs' application for 100% of their costs. In concluding that the plaintiffs ought to receive 100% of their costs, the trial judge took into account the seriousness of the injuries suffered by the plaintiffs in the accident, the difficulty facing the plaintiffs in establishing liability, and the fact that in settlement negotiations the amount the defendants offered was substantially below the ultimate award.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implicit in the trial judge's reasons that, on weighing the factors he mentioned, his overall conclusion was that the application of the usual or prima facie rule would result in an injustice to the plaintiffs in the circumstances of this case. It seems to me that an examination of the effect of the trial judge's ruling provides support for 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Court of Appeal referred to the fact that extensive investigation and preparation must have been required to present the case, that the plaintiffs had major liability issues to overcome, and that extensive lay and expert evidence was required to establish the losses of the plaintiffs. The multiple plaintiffs had one set of costs, having shared the same counsel. The plaintiffs enjoyed success on almost all of the liability issues. The Court of Appeal concluded that if the trial judge had not exercised his discretion, the costs recovery available to the plaintiffs would not have borne any reasonable relationship to their costs in obtaining the result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Mr. Kaun argued that Forsyth v. Sikorsky (in contrast with this case) involved complex litigation, where considerable information was provided to the court with respect to the effect of an apportioned costs award. He pointed to Pietraroia v. Fort and Fort </w:t>
      </w:r>
      <w:hyperlink r:id="rId66" w:history="1">
        <w:r>
          <w:rPr>
            <w:rFonts w:ascii="arial" w:eastAsia="arial" w:hAnsi="arial" w:cs="arial"/>
            <w:i/>
            <w:color w:val="0077CC"/>
            <w:sz w:val="20"/>
            <w:u w:val="single"/>
            <w:shd w:val="clear" w:color="auto" w:fill="FFFFFF"/>
            <w:lang w:val="en-US" w:eastAsia="en-US" w:bidi="ar-SA"/>
          </w:rPr>
          <w:t>(1984), 54 B.C.L.R. 280</w:t>
        </w:r>
      </w:hyperlink>
      <w:r>
        <w:rPr>
          <w:rFonts w:ascii="arial" w:eastAsia="arial" w:hAnsi="arial" w:cs="arial"/>
          <w:color w:val="000000"/>
          <w:sz w:val="20"/>
          <w:lang w:val="en-US" w:eastAsia="en-US" w:bidi="ar-SA"/>
        </w:rPr>
        <w:t xml:space="preserve"> (S.C.); Swanson v. British Columbia Packers Ltd. </w:t>
      </w:r>
      <w:hyperlink r:id="rId67" w:history="1">
        <w:r>
          <w:rPr>
            <w:rFonts w:ascii="arial" w:eastAsia="arial" w:hAnsi="arial" w:cs="arial"/>
            <w:i/>
            <w:color w:val="0077CC"/>
            <w:sz w:val="20"/>
            <w:u w:val="single"/>
            <w:shd w:val="clear" w:color="auto" w:fill="FFFFFF"/>
            <w:lang w:val="en-US" w:eastAsia="en-US" w:bidi="ar-SA"/>
          </w:rPr>
          <w:t>(1984), 53 B.C.L.R. 193</w:t>
        </w:r>
      </w:hyperlink>
      <w:r>
        <w:rPr>
          <w:rFonts w:ascii="arial" w:eastAsia="arial" w:hAnsi="arial" w:cs="arial"/>
          <w:color w:val="000000"/>
          <w:sz w:val="20"/>
          <w:lang w:val="en-US" w:eastAsia="en-US" w:bidi="ar-SA"/>
        </w:rPr>
        <w:t xml:space="preserve"> (S.C.); and Barnes v. Chow, </w:t>
      </w:r>
      <w:hyperlink r:id="rId68" w:history="1">
        <w:r>
          <w:rPr>
            <w:rFonts w:ascii="arial" w:eastAsia="arial" w:hAnsi="arial" w:cs="arial"/>
            <w:i/>
            <w:color w:val="0077CC"/>
            <w:sz w:val="20"/>
            <w:u w:val="single"/>
            <w:shd w:val="clear" w:color="auto" w:fill="FFFFFF"/>
            <w:lang w:val="en-US" w:eastAsia="en-US" w:bidi="ar-SA"/>
          </w:rPr>
          <w:t>[1992] B.C.J. No. 2831</w:t>
        </w:r>
      </w:hyperlink>
      <w:r>
        <w:rPr>
          <w:rFonts w:ascii="arial" w:eastAsia="arial" w:hAnsi="arial" w:cs="arial"/>
          <w:color w:val="000000"/>
          <w:sz w:val="20"/>
          <w:lang w:val="en-US" w:eastAsia="en-US" w:bidi="ar-SA"/>
        </w:rPr>
        <w:t xml:space="preserve"> (S.C.) as examples of cases in which courts declined to vary the apportionment of costs resulting from application of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The defendant's position is that there is nothing here to justify deviation from apportionment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refer to the factors described in Forsyth v. Sikorsky. Mr. Kaun conceded that the defendant here suffered no injury while the plaintiff was relatively seriously injured. The case was not unusually difficult and there was no suggestion that the costs of getting to trial were significant. Counsel advised the court that there was no offer of settlement or payment into court by the defendant Chow Lee, at either the liability or damages phase of the trial; thus, the plaintiff was required to go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have concluded, taking into account the factors approved by the Court of Appeal in the Forsyth case for the exercise of my discretion in this regard, that it would be unjust to apportion costs because such apportionment would result in costs recovery to the plaintiff bearing no reasonable relationship to the result he achieved. Therefore, the plaintiff will have 100% of his costs for the liability portion of the trial and 20% of his costs for the quantum portion. The defendant will receive no award of costs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do not accept Mr. Kaun's argument that the plaintiff should not recover the costs of having Dr. Olmstead testify; his evidence was central to the plaintiff's case and it was appropriate to call him even though the defendant did not request his presence for cross-examination. The plaintiff will have 100% of his disbursements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 w:history="1">
        <w:r>
          <w:rPr>
            <w:rFonts w:ascii="arial" w:eastAsia="arial" w:hAnsi="arial" w:cs="arial"/>
            <w:b/>
            <w:bCs/>
            <w:i/>
            <w:color w:val="0077CC"/>
            <w:kern w:val="32"/>
            <w:sz w:val="28"/>
            <w:szCs w:val="32"/>
            <w:u w:val="single"/>
            <w:shd w:val="clear" w:color="auto" w:fill="FFFFFF"/>
            <w:lang w:val="en-US" w:eastAsia="en-US" w:bidi="ar-SA"/>
          </w:rPr>
          <w:t>Intrawest Corp. v. Hart, [2002] B.C.J. No. 2816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on costs: December 13,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S000281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2816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1733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119 A.C.W.S. (3d) 895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Intrawest Corporation and the Owners, Strata Plan N83, plaintiffs, and Kendyl Hart,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 w:name="Keywords_2"/>
      <w:bookmarkEnd w:id="18"/>
      <w:r>
        <w:rPr>
          <w:rFonts w:ascii="arial" w:eastAsia="arial" w:hAnsi="arial" w:cs="arial"/>
          <w:b/>
          <w:color w:val="000000"/>
          <w:sz w:val="20"/>
          <w:lang w:val="en-US" w:eastAsia="en-US" w:bidi="ar-SA"/>
        </w:rPr>
        <w:t>Practice — Costs — Entitlement to party and party costs — Where success or fault divided.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 w:name="Case Summary_1"/>
            <w:bookmarkEnd w:id="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 Intrawest Corp. for 50 per cent of its costs. Intrawest claimed damages for breach of contract, breach of warranty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the defendant Hart's installation of roofing material. The trial judge found Intrawest contributorily negligent and divided liability equally between the parties. Hart argued that since he had also suffered a loss due to the non-payment of certain snow removal, he should recover one-half of his costs. He had not claimed a set-off in the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 w:name="Holdings of Court_0"/>
            <w:bookmarkEnd w:id="20"/>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Intrawest was awarded 50 per cent of its costs. Hart was not awarded costs. To do otherwise would effectively penalize Intrawest. Intrawest had already been penalized for its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an award of only 50 per cent of its costs. Hart did not demonstrate that he had suffered a loss that should lead to an award of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 w:name="Legislation Cited_2"/>
      <w:bookmarkEnd w:id="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0" w:history="1">
        <w:r>
          <w:rPr>
            <w:rFonts w:ascii="arial" w:eastAsia="arial" w:hAnsi="arial" w:cs="arial"/>
            <w:i/>
            <w:color w:val="0077CC"/>
            <w:sz w:val="20"/>
            <w:u w:val="single"/>
            <w:shd w:val="clear" w:color="auto" w:fill="FFFFFF"/>
            <w:lang w:val="en-US" w:eastAsia="en-US" w:bidi="ar-SA"/>
          </w:rPr>
          <w:t>R.S.B.C. 1996, c. 333, s. 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 w:name="Counsel_2"/>
      <w:bookmarkEnd w:id="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R.W. Cooper, for the plaintiffs. W.D. Mussio,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 w:name="Judgment_2"/>
      <w:bookmarkEnd w:id="23"/>
      <w:r>
        <w:pict>
          <v:line id="_x0000_s1043" style="position:absolute;z-index:251814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 w:name="MELNICK J."/>
            <w:bookmarkEnd w:id="24"/>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 gave reasons for judgment in this case on February 15, 2002, </w:t>
      </w:r>
      <w:hyperlink r:id="rId76" w:history="1">
        <w:r>
          <w:rPr>
            <w:rFonts w:ascii="arial" w:eastAsia="arial" w:hAnsi="arial" w:cs="arial"/>
            <w:i/>
            <w:color w:val="0077CC"/>
            <w:sz w:val="20"/>
            <w:u w:val="single"/>
            <w:shd w:val="clear" w:color="auto" w:fill="FFFFFF"/>
            <w:lang w:val="en-US" w:eastAsia="en-US" w:bidi="ar-SA"/>
          </w:rPr>
          <w:t>[2002] B.C.J. No. 301</w:t>
        </w:r>
      </w:hyperlink>
      <w:r>
        <w:rPr>
          <w:rFonts w:ascii="arial" w:eastAsia="arial" w:hAnsi="arial" w:cs="arial"/>
          <w:color w:val="000000"/>
          <w:sz w:val="20"/>
          <w:lang w:val="en-US" w:eastAsia="en-US" w:bidi="ar-SA"/>
        </w:rPr>
        <w:t xml:space="preserve">, following a 6-day trial in October and November, 2001. The claim of the plaintiffs was framed in breach of contract, breach of warranty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the defendant's installation of roofing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Eventually, I concluded that, while the defendant was in breach of the contract, and in breach of an implied warranty, the plaintiffs were contributorily negligent for failing to provide the defendant with certain information. I also found that they were equally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now seek 50% of their costs on the basis of s. 3(1)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That section was interpreted by Chief Justice McEachern of the Court of Appeal in Flatley v. Denike </w:t>
      </w:r>
      <w:hyperlink r:id="rId77" w:history="1">
        <w:r>
          <w:rPr>
            <w:rFonts w:ascii="arial" w:eastAsia="arial" w:hAnsi="arial" w:cs="arial"/>
            <w:i/>
            <w:color w:val="0077CC"/>
            <w:sz w:val="20"/>
            <w:u w:val="single"/>
            <w:shd w:val="clear" w:color="auto" w:fill="FFFFFF"/>
            <w:lang w:val="en-US" w:eastAsia="en-US" w:bidi="ar-SA"/>
          </w:rPr>
          <w:t>(1997), 32 B.C.L.R. (3d) 97</w:t>
        </w:r>
      </w:hyperlink>
      <w:r>
        <w:rPr>
          <w:rFonts w:ascii="arial" w:eastAsia="arial" w:hAnsi="arial" w:cs="arial"/>
          <w:color w:val="000000"/>
          <w:sz w:val="20"/>
          <w:lang w:val="en-US" w:eastAsia="en-US" w:bidi="ar-SA"/>
        </w:rPr>
        <w:t xml:space="preserve"> to mean that, where a defendant has not suffered damage or loss, that defendant is not entitled to recover any portion of his or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However, the defendant counters by saying that he did, indeed, suffer loss: the non-payment of certain snow removal, the subject of an action in the Provincial Court. There was no claim of set-off in this action that I am aware of. In any event, say the plaintiffs, the defendant has been paid for half of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Further, the defendant says that this was not strictly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 claim was also in breach of contract and breach of warranty, he says that I am not bound to strictly follow s. 3(1)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Counsel for the defendant provided me with a number of cases in which the Court exercised its discretion under Rule 57(9) to apportion costs so that each side was required to pay a percentage of the other's costs. Rule 57(9) states: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and incidental to a proceeding shall follow the event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that basis, argues the defendant, he should recover one-half of his costs from the plaintiffs or, alternatively, some portion of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my view, justice will be best served on the facts of this case by my awarding to the plaintiffs 50% of their costs and by not awarding any costs to the defendant. To do otherwise would be to effectively penalize the plaintiffs. Essentially, they have already been penalized for their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only recovering one-half of their costs. I am not convinced that the defendant has demonstrated that he has suffered a loss that should lead to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are entitled to their full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Costs will be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 w:history="1">
        <w:r>
          <w:rPr>
            <w:rFonts w:ascii="arial" w:eastAsia="arial" w:hAnsi="arial" w:cs="arial"/>
            <w:b/>
            <w:bCs/>
            <w:i/>
            <w:color w:val="0077CC"/>
            <w:kern w:val="32"/>
            <w:sz w:val="28"/>
            <w:szCs w:val="32"/>
            <w:u w:val="single"/>
            <w:shd w:val="clear" w:color="auto" w:fill="FFFFFF"/>
            <w:lang w:val="en-US" w:eastAsia="en-US" w:bidi="ar-SA"/>
          </w:rPr>
          <w:t>Martin v. Royal &amp; Sun Alliance Co. of Canada, [2014] I.L.R. para. I-5515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November 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S132789</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[2014] I.L.R. para. I-5515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[2013] B.C.J. No. 2468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2013 BCSC 2047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Brian Kirk Martin Petitioner v. Royal &amp; Sun Alliance Company of Canada and in French, Royal &amp; Sun Alliance Du Canada, Societe D'Assurances Respondent Respondent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 w:name="Keywords_3"/>
      <w:bookmarkEnd w:id="25"/>
      <w:r>
        <w:rPr>
          <w:rFonts w:ascii="arial" w:eastAsia="arial" w:hAnsi="arial" w:cs="arial"/>
          <w:b/>
          <w:color w:val="000000"/>
          <w:sz w:val="20"/>
          <w:lang w:val="en-US" w:eastAsia="en-US" w:bidi="ar-SA"/>
        </w:rPr>
        <w:t>Homeowner's insurance — Duty to defend — Petitioner was director and officer of several companies that business out of building that was destroyed by fire — Plaintiff owners of building commenced action against companies, petitioner in capacity as director/officer, and petitioner in personal capacity — Petitioner sought defence under his homeowner's insurance policy — Insurer denied on basis that claim was related to his business activities — Court found that pleadings against petitioner and companies were almost identical, but claim was broad enough to include allegations against petitioner in his personal capacity — Pleadings raised possibility of a claim falling within policy's coverage — Insurer's duty to defend was triggered under policy — Petitioner's application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 w:name="Case Summary_2"/>
            <w:bookmarkEnd w:id="26"/>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petitioner was a defendant in a tort action that arose from a fire at a commercial building. He was a director and officer of the company that owned the building and a director and officer of three other companies that carried on business in the building. The fire was alleged to have started in the office of one of those companies. The claim alleged that the petitioner (and others) was personally present when the fire started and that he was an occupant in the building in his own capacity; the claim also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wilful misconduct. The petitioner had a homeowner's insurance policy with the respondent insurer, and he sought a declaration that the insurer was obliged to defend him pursuant to third-party liability coverage. The insurer responded that the claim related to business activities that were excluded from coverage, as all of the allegations related to his capacity as an officer and director of the named companies.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 w:name="Holdings of Court_1"/>
            <w:bookmarkEnd w:id="27"/>
            <w:r>
              <w:rPr>
                <w:rFonts w:ascii="arial" w:eastAsia="arial" w:hAnsi="arial" w:cs="arial"/>
                <w:color w:val="000000"/>
                <w:sz w:val="20"/>
                <w:lang w:val="en-US" w:eastAsia="en-US" w:bidi="ar-SA"/>
              </w:rPr>
              <w:t>HELD: The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disagreed with the insurer. Although the particulars alleged against the plaintiff were almost identical to those alleged against the companies, they were broad enough to include conduct by the petitioner outside of his corporate duties and for which the companies might not be liable. The plaintiffs specifically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petitioner in his own capacity and separate from and in addition to the liability of the companies. For example, the petitioner might have used the business premises for personal use unrelated to the business. The issue on the application was not what the plaintiffs would ultimately prove; the issue was only whether the pleadings raised the possibility of a claim falling within the policy's coverage. The Court stated that they did, thus triggering the insurer's obligation to defend.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 w:name="Counsel_3"/>
      <w:bookmarkEnd w:id="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T.J. Maledy and J.D. Fisher for the petitioner; A.D. Schmit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 w:name="Judgment_3"/>
      <w:bookmarkEnd w:id="29"/>
      <w:r>
        <w:pict>
          <v:line id="_x0000_s1047" style="position:absolute;z-index:2517647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 w:name="N.H. SMITH J."/>
            <w:bookmarkEnd w:id="30"/>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Brian Kirk Martin is a defendant in a tort action arising from a fire at a commercial building in Prince George. He has a homeowner's insurance policy issued by the respondent Royal Sun Alliance Insurance ("Royal") and seeks a declaration that Royal is required by that policy to defend him in the tort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Tort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in the tort action are Central Mountain Air Ltd. and Northern Thunderbird Inc. They held a sublease on a portion of a hangar adjacent to the Prince George Airport and say the hangar was destroyed by a fire on December 19, 2009. They seek damages from a number of defendants for loss of property, including equipment, stores and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notice of civil claim identifies Mr. Martin and two brothers as directors and officers of the company that owned the building and of three other companies that also carried on business there. All of those companies are defendants in the action. The fire is alleged to have started in the office of one of them --Bluewater Business Solutions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the notice of civil claim, the plaintiffs allege that Mr. Martin and the other individual defendants were "personally present" in the Bluewater office when the fire started. In addition to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willful misconduct by the corporate defendants, the notice of civil claim alleges in a separate paragraph that Mr. Martin and other individuals "were occupants of the Hangar and the Bluewater office </w:t>
      </w:r>
      <w:r>
        <w:rPr>
          <w:rFonts w:ascii="arial" w:eastAsia="arial" w:hAnsi="arial" w:cs="arial"/>
          <w:color w:val="000000"/>
          <w:sz w:val="20"/>
          <w:u w:val="single"/>
          <w:lang w:val="en-US" w:eastAsia="en-US" w:bidi="ar-SA"/>
        </w:rPr>
        <w:t>in their own capacity</w:t>
      </w:r>
      <w:r>
        <w:rPr>
          <w:rFonts w:ascii="arial" w:eastAsia="arial" w:hAnsi="arial" w:cs="arial"/>
          <w:color w:val="000000"/>
          <w:sz w:val="20"/>
          <w:lang w:val="en-US" w:eastAsia="en-US" w:bidi="ar-SA"/>
        </w:rPr>
        <w:t xml:space="preserve"> and as such owed a duty of care to other occupants of the Hangar including the plaintiffs to act reasonably as occupants and to do nothing likely to cause a fire"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willful misconduct alleged against the petitioner and other personal defendants are:</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plead that the damages which they suffered as a result of the Fire were caused or contributed to by the breach of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recklessness and willful misconduct of Klotz, and the Martin Brothers, particulars of which include but are not limited to:</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used or misused the electrical system within the Hangar in a manner likely to cause overloads and shorting resulting in a fire;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introduced or admitted into their premises in the Hangar hazardous materials and products which they knew or ought to have known were capable of starting and propagating a fire;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engaged in activities in the Bluewater Office which they knew or ought to have known would cause a fire;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initiated a fire within the Bluewater Office by accident or intent;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failed to extinguish the Fire; and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permitted the Defendant Vernon Martin to occupy the Hangar when they knew or ought to have known that he was in likely to cause a fire by accident or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Those particulars are almost identical to those alleged, in a separate paragraph, against the corporate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Martin has denied liability in the tort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Martin owns a home in Spruce Grove, Alberta that was insured under a homeowner's policy issued by Royal. In addition to insuring that property, the policy included "Coverage E," which provided third party liability coverage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will pay all sums which you become legally liable to pay as compensatory damages because of unintentional </w:t>
      </w:r>
      <w:r>
        <w:rPr>
          <w:rFonts w:ascii="arial" w:eastAsia="arial" w:hAnsi="arial" w:cs="arial"/>
          <w:b/>
          <w:color w:val="000000"/>
          <w:sz w:val="20"/>
          <w:lang w:val="en-US" w:eastAsia="en-US" w:bidi="ar-SA"/>
        </w:rPr>
        <w:t>bodily</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injury</w:t>
      </w:r>
      <w:r>
        <w:rPr>
          <w:rFonts w:ascii="arial" w:eastAsia="arial" w:hAnsi="arial" w:cs="arial"/>
          <w:color w:val="000000"/>
          <w:sz w:val="20"/>
          <w:lang w:val="en-US" w:eastAsia="en-US" w:bidi="ar-SA"/>
        </w:rPr>
        <w:t xml:space="preserve"> or </w:t>
      </w:r>
      <w:r>
        <w:rPr>
          <w:rFonts w:ascii="arial" w:eastAsia="arial" w:hAnsi="arial" w:cs="arial"/>
          <w:b/>
          <w:color w:val="000000"/>
          <w:sz w:val="20"/>
          <w:lang w:val="en-US" w:eastAsia="en-US" w:bidi="ar-SA"/>
        </w:rPr>
        <w:t>property</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w:t>
      </w:r>
      <w:r>
        <w:rPr>
          <w:rFonts w:ascii="arial" w:eastAsia="arial" w:hAnsi="arial" w:cs="arial"/>
          <w:color w:val="000000"/>
          <w:sz w:val="20"/>
          <w:lang w:val="en-US" w:eastAsia="en-US" w:bidi="ar-SA"/>
        </w:rPr>
        <w:t xml:space="preserve"> arising out of:</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your personal actions anywhere in the world;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policy further states that "if a claim is made against you for which you are insured under Coverage E, we will defend you, even if the claim is groundless, false or fraudulent." That defence includes payment by the insurer of counsel and other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section on special limitations includes the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Business and Business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insure you against claims arising out of:</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your personal actions during the course of your trade, profession or occupation </w:t>
      </w:r>
      <w:r>
        <w:rPr>
          <w:rFonts w:ascii="arial" w:eastAsia="arial" w:hAnsi="arial" w:cs="arial"/>
          <w:color w:val="000000"/>
          <w:sz w:val="20"/>
          <w:u w:val="single"/>
          <w:lang w:val="en-US" w:eastAsia="en-US" w:bidi="ar-SA"/>
        </w:rPr>
        <w:t>which are not related directly to your trade profession or occupation.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Exclusions set out in the policy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 not insure claims arising from: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business</w:t>
      </w:r>
      <w:r>
        <w:rPr>
          <w:rFonts w:ascii="arial" w:eastAsia="arial" w:hAnsi="arial" w:cs="arial"/>
          <w:color w:val="000000"/>
          <w:sz w:val="20"/>
          <w:lang w:val="en-US" w:eastAsia="en-US" w:bidi="ar-SA"/>
        </w:rPr>
        <w:t xml:space="preserve"> pursuits or any </w:t>
      </w:r>
      <w:r>
        <w:rPr>
          <w:rFonts w:ascii="arial" w:eastAsia="arial" w:hAnsi="arial" w:cs="arial"/>
          <w:b/>
          <w:color w:val="000000"/>
          <w:sz w:val="20"/>
          <w:lang w:val="en-US" w:eastAsia="en-US" w:bidi="ar-SA"/>
        </w:rPr>
        <w:t>business</w:t>
      </w:r>
      <w:r>
        <w:rPr>
          <w:rFonts w:ascii="arial" w:eastAsia="arial" w:hAnsi="arial" w:cs="arial"/>
          <w:color w:val="000000"/>
          <w:sz w:val="20"/>
          <w:lang w:val="en-US" w:eastAsia="en-US" w:bidi="ar-SA"/>
        </w:rPr>
        <w:t xml:space="preserve"> use of the </w:t>
      </w:r>
      <w:r>
        <w:rPr>
          <w:rFonts w:ascii="arial" w:eastAsia="arial" w:hAnsi="arial" w:cs="arial"/>
          <w:b/>
          <w:color w:val="000000"/>
          <w:sz w:val="20"/>
          <w:lang w:val="en-US" w:eastAsia="en-US" w:bidi="ar-SA"/>
        </w:rPr>
        <w:t>premises</w:t>
      </w:r>
      <w:r>
        <w:rPr>
          <w:rFonts w:ascii="arial" w:eastAsia="arial" w:hAnsi="arial" w:cs="arial"/>
          <w:color w:val="000000"/>
          <w:sz w:val="20"/>
          <w:lang w:val="en-US" w:eastAsia="en-US" w:bidi="ar-SA"/>
        </w:rPr>
        <w:t xml:space="preserve"> except as provided under </w:t>
      </w:r>
      <w:r>
        <w:rPr>
          <w:rFonts w:ascii="arial" w:eastAsia="arial" w:hAnsi="arial" w:cs="arial"/>
          <w:b/>
          <w:color w:val="000000"/>
          <w:sz w:val="20"/>
          <w:lang w:val="en-US" w:eastAsia="en-US" w:bidi="ar-SA"/>
        </w:rPr>
        <w:t>"Business and Business Property"</w:t>
      </w:r>
      <w:r>
        <w:rPr>
          <w:rFonts w:ascii="arial" w:eastAsia="arial" w:hAnsi="arial" w:cs="arial"/>
          <w:color w:val="000000"/>
          <w:sz w:val="20"/>
          <w:lang w:val="en-US" w:eastAsia="en-US" w:bidi="ar-SA"/>
        </w:rPr>
        <w:t xml:space="preserve"> in </w:t>
      </w:r>
      <w:r>
        <w:rPr>
          <w:rFonts w:ascii="arial" w:eastAsia="arial" w:hAnsi="arial" w:cs="arial"/>
          <w:b/>
          <w:color w:val="000000"/>
          <w:sz w:val="20"/>
          <w:lang w:val="en-US" w:eastAsia="en-US" w:bidi="ar-SA"/>
        </w:rPr>
        <w:t>"Section II</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reference to "premises" relates to the home that is insured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An insurer's duty to defend its insured against a claim for damages is broader than its duty to provide indemnity. In </w:t>
      </w:r>
      <w:r>
        <w:rPr>
          <w:rFonts w:ascii="arial" w:eastAsia="arial" w:hAnsi="arial" w:cs="arial"/>
          <w:i/>
          <w:color w:val="000000"/>
          <w:sz w:val="20"/>
          <w:lang w:val="en-US" w:eastAsia="en-US" w:bidi="ar-SA"/>
        </w:rPr>
        <w:t>Progressive Homes Ltd. v. Lombard General Insurance Company of Canada</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the Supreme Court of Canada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An insurer is required to defend a claim where the facts alleged in the pleadings, if proven to be true, would require the insurer to indemnify the insured for the claim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at pp.810-11;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at para. 28;</w:t>
      </w:r>
      <w:r>
        <w:rPr>
          <w:rFonts w:ascii="arial" w:eastAsia="arial" w:hAnsi="arial" w:cs="arial"/>
          <w:i/>
          <w:color w:val="000000"/>
          <w:sz w:val="20"/>
          <w:lang w:val="en-US" w:eastAsia="en-US" w:bidi="ar-SA"/>
        </w:rPr>
        <w:t xml:space="preserve"> Jesuit Fathers of Upper Canada v. Guardian Insurance Co. of Canada</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2006 SCC 21</w:t>
        </w:r>
      </w:hyperlink>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[2006] 1 S.C.R. 744</w:t>
        </w:r>
      </w:hyperlink>
      <w:r>
        <w:rPr>
          <w:rFonts w:ascii="arial" w:eastAsia="arial" w:hAnsi="arial" w:cs="arial"/>
          <w:color w:val="000000"/>
          <w:sz w:val="20"/>
          <w:lang w:val="en-US" w:eastAsia="en-US" w:bidi="ar-SA"/>
        </w:rPr>
        <w:t xml:space="preserve">, at paras. 54-55). It is irrelevant whether the allegations in the pleadings can be proven in evidence. That is to say, the duty to defend is not dependent on the insured actually being liable and the insurer actually being required to indemnify. What is required is the mere possibility that a claim falls within the insurance policy. Where it is clear that the claim falls outside the policy, either because it does not come within the initial grant of coverage or is excluded by an exclusion clause, there will be no duty to defend (see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xml:space="preserve">, at p. 810;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at para.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In examining the pleadings to determine whether the claims fall within the scope of coverage, the parties to the insurance contract are not bound by the labels selected by the plaintiff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at paras. 79 and 81). The use or absence of a particular term will not determine whether the duty to defend arises. What is determinative is the true nature or the substance of the claim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79;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at p. 810).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Royal argues that it is not required to provide a defence to Mr. Martin because the claim relates to business activities, which are excluded from coverage under the policy. It says the petitioner is identified only as a director and officer of the defendant companies and all of the allegations in the tort action relate to or are derived from the operation of the corporate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Royal relies particularly on </w:t>
      </w:r>
      <w:r>
        <w:rPr>
          <w:rFonts w:ascii="arial" w:eastAsia="arial" w:hAnsi="arial" w:cs="arial"/>
          <w:i/>
          <w:color w:val="000000"/>
          <w:sz w:val="20"/>
          <w:lang w:val="en-US" w:eastAsia="en-US" w:bidi="ar-SA"/>
        </w:rPr>
        <w:t>Kaler v. Red River Valley Mutual Insurance Co.</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(1995), 126 D.L.R. (4th) 700</w:t>
        </w:r>
      </w:hyperlink>
      <w:r>
        <w:rPr>
          <w:rFonts w:ascii="arial" w:eastAsia="arial" w:hAnsi="arial" w:cs="arial"/>
          <w:color w:val="000000"/>
          <w:sz w:val="20"/>
          <w:lang w:val="en-US" w:eastAsia="en-US" w:bidi="ar-SA"/>
        </w:rPr>
        <w:t>. That case also involved a homeowner's policy that excluded claims arising from business. It was argued, at least in part, on the basis of an agreed statement of facts about the incident that gave rise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applicant was a taxi driver. A passenger left the taxi without paying his fare. The driver later found the passenger in a convenience store and fatally stabbed him during a struggle. He sought defence of a civil action brought by the passenger's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Manitoba Court of Appeal held that because the entire altercation arose from a disputed taxi fare, it clearly fell within the exclusion of claims "arising from business." The fact that the stabbing did not actually occur within the taxi did not break the business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Kaler</w:t>
      </w:r>
      <w:r>
        <w:rPr>
          <w:rFonts w:ascii="arial" w:eastAsia="arial" w:hAnsi="arial" w:cs="arial"/>
          <w:color w:val="000000"/>
          <w:sz w:val="20"/>
          <w:lang w:val="en-US" w:eastAsia="en-US" w:bidi="ar-SA"/>
        </w:rPr>
        <w:t xml:space="preserve"> was a case where all of the circumstances alleged to create liability could only arise from the business. That is not so clear or obvious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plaintiffs specifically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Martin in his own capacity, separate from and in addition to the alleged liability of the companies. They do not limit the claim against Mr. Martin to actions in the course of his duties as a director and officer of the companies. Although the particulars alleged against Mr. Martin are almost identical to the particulars alleged against the companies, they are also broad enough, in the absence of further particulars, to include conduct by Mr. Martin outside of his corporate duties and for which the corporate defendants may not be liable. For example, they would include Mr. Martin's use of the business premises for personal activities unrelated to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issue on this application is not what the plaintiffs may ultimately be able to prove. It is only whether the pleadings raise the possibility of a claim falling within the insurance coverage. I find that they do and the insurer's duty to defend is triggered.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petitioner is entitled to a declaration that the respondent must defend him in the tort action and to costs of this petition on the ordinary scale. The respondent must also indemnify the petitioner for defence expenses to date, including legal fees and disbursements, with leave to have the amount assessed by the registrar if the parties do not agree. The parties have liberty to apply, after the tort actions is determined, for a determination as to whether the respondent must indemnify the petitioner for any damages payable to the plaintiffs in the tort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8"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 w:history="1">
        <w:r>
          <w:rPr>
            <w:rFonts w:ascii="arial" w:eastAsia="arial" w:hAnsi="arial" w:cs="arial"/>
            <w:b/>
            <w:bCs/>
            <w:i/>
            <w:color w:val="0077CC"/>
            <w:kern w:val="32"/>
            <w:sz w:val="28"/>
            <w:szCs w:val="32"/>
            <w:u w:val="single"/>
            <w:shd w:val="clear" w:color="auto" w:fill="FFFFFF"/>
            <w:lang w:val="en-US" w:eastAsia="en-US" w:bidi="ar-SA"/>
          </w:rPr>
          <w:t>Masik v. Reis, [2000] B.C.J. No. 1799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31 and September 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B995279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1799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1326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A.C.W.S. (3d) 363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Masik, plaintiff, and Victor Reis and Francisco Martins Reis,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9"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 w:name="Keywords_4"/>
      <w:bookmarkEnd w:id="3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pedestrians and bicyclists — Street or highway crossing, intersection — Duty of pedestrians and bicyclists to take reasonable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 w:name="Case Summary_3"/>
            <w:bookmarkEnd w:id="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Masik against the defendant Reis for damages for injuries sustained in a motor vehicle accident. Masik was a pedestrian. He ran into the intersection with his head down to catch a bus. He entered against the direction of the pedestrian traffic control signals. Reis drove into the intersection to make a left-hand turn. The traffic light showed a flashing green arrow. As he made the turn he saw that Masik ran across the street. He hit the brakes and was able to stop his car just before he lightly hit Masik. Another driver saw Reis' vehicle stop just as he bumped Masik.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 w:name="Holdings of Court_2"/>
            <w:bookmarkEnd w:id="3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Masik was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was the sole cause of the accident. There was nothing more Reis could have done to avoid the accident. If he had not been able to stop Masik would have been more severely injured.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 w:name="Counsel_4"/>
      <w:bookmarkEnd w:id="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in person. G. Maier,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 w:name="Judgment_4"/>
      <w:bookmarkEnd w:id="35"/>
      <w:r>
        <w:pict>
          <v:line id="_x0000_s1051" style="position:absolute;z-index:2517657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 w:name="HARVEY J."/>
            <w:bookmarkEnd w:id="36"/>
            <w:r>
              <w:rPr>
                <w:rFonts w:ascii="arial" w:eastAsia="arial" w:hAnsi="arial" w:cs="arial"/>
                <w:b/>
                <w:color w:val="000000"/>
                <w:sz w:val="30"/>
                <w:lang w:val="en-US" w:eastAsia="en-US" w:bidi="ar-SA"/>
              </w:rPr>
              <w:t>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injuries suffered by him in a motor vehicle accident which occurred on December 24th, 1997 at approximately noon at the intersection of Clarke Drive and 12th Avenue, in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accident is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Statement of Claim herein is succinct consisting of two paragraphs, the first of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Joseph Masik while running across 12th Avenue in the marked crosswalk at Clarke Drive with the white crossing signal on which to walk, was struck off my feet by Victor Reis, the driver of red Chev. P.U. truck, Licence Plate number 2719 BN B.C. that was making a left turn onto 12th Avenue from Clarke Drive, Vancouver, British Columbia, December 24th, 1997, at 12:10 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a result of involvement in the accident the plaintiff says he suffered injuries described in the Statement of Claim as being:</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blurred vision</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side pain, abdomen - ultrasound tests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ankle and elbow numbness and shoulder pain</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ankle swells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calf pain in heel</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concussion</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abdominal internal injuries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intersection of 12th Avenue and Clarke Drive is a controlled intersection with traffic control devices regulating the traffic of motor vehicles and pedestrian control signals regulating the movement of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says he came to the south east corner of the intersection intending to cross it within the marked crosswalk in order to catch a bus at a bus stop just north of the intersection for the purpose of doing some shopping. He says he saw a bus coming as a result of which he started to run in a northerly direction entering the intersection within the marked crosswalk. He says the light was "white" referring to the direction provided by the pedestrian traffic control device. He recalls hearing someone say "lookout - lookout" following which he recalls being "hit on the left side and thrown against a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he opened his eyes he said he tried to get up and was only able to do so with difficulty. He recalls hearing a person later known to him as the defendant Victor Reis saying "he's faking" and "I knew I shouldn't drive today". As he walked away from where he had been struck he heard a person whom he subsequently learned to be a witness to the accident say "I'm a witness it was your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he does not have a distinct recollection of seeing the defendant's vehicle before the impact he believes the vehicle did not have a signal light showing and his headlights were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says he remained at the accident scene until the ambulance attended and he was spoken to by ambulance attendants. He did not proceed with the ambulance attendants in the ambulance to a hospital but rather proceeded to the bus stop where he boarded a bus and completed his shopping returning home later in the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evidence of the plaintiff in certain material respects is in conflict with that of the defendant Reis and an independent witness, Craig Lien, both of whom gave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Reis stated that he entered the intersection intending to make a left hand turn onto 12th Avenue and in this regard was following a number of vehicles turning ahead of him. He says when he entered the intersection the traffic control signal was emitting a flashing green arrow (the left hand turn aspect of the signal). After his vehicle was well within the intersection and commencing its turn Mr. Reis saw the plaintiff jogging out or running into the intersection quite quickly at which time he hit his brakes. He says he was able to bring his vehicle to a stop within the marked crosswalk area just before touching or hitting the pedestrian (the plaintiff) "very lightly". As he put it, it was very close to him not being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Following the accident he says he attended the plaintiff who at that time was sitting up and who said he was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Reis then moved his vehicle and with several other persons attempted to convince the plaintiff to wait until the ambulance arrived because he had expressed the view that he was going to leave and go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Lien was the driver of a vehicle which was stopped on 12th Avenue at the intersection in compliance with the red phase of the traffic control signal governing motor vehicles. He was in a position to see the accident which took place before him and to his immediate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Lien observed what he described as a line of cars southbound on Clark making left hand turns to proceed east on 12th Avenue. He saw the Reis vehicle in the process of making such a turn when out of the corner of his eye he observed a pedestrian running head down travelling in a northerly direction in the marked crosswalk. He observed the Reis vehicle decrease his speed to the point where it was almost at a stop as it came into the crosswalk and just "bumped" the pedestrian in the area of the left hip causing the pedestrian to fall over onto his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was Mr. Lien who called for the ambulance and after clearing his vehicle from the intersection returned to the accident scene. He recalls having difficulty convincing the plaintiff to remain until the ambulance arrived, the plaintiff asserting that he was all right and he wanted to go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Lien recalls that the Reis vehicle had actually started its turning movement into 12th Avenue when he first saw the pedestrian. At that time he recalls observing the pedestrian control signal for the opposite side of the intersection showing "Don't Walk". He assumed in this respect that the said signal was showing the same direction for pedestrian traffic on the other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course of cross-examination of the defendant Reis and Mr. Lien the plaintiff suggested they were in some way joined to attempt to defeat his claim. The plaintiff spent some time for example, in cross-examination of Mr. Lien related to him not having "signed his statement" until June, some six months after the accident. In response Mr. Lien stated that he had given a "telephone statement" when called for that purpose by a representative of the insurer of the defendants on January 16, 1998, some two to three weeks after the accident and it was not until June of that year that he was formally asked to sign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Reis and Mr. Lien gave their evidence in a straightforward manner. I find there is no basis for the accusations made by the plaintiff such as to lead me to believe their evidence is suspect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Upon consideration of the evidence I make the following findings: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Reis entered the intersection in compliance with the direction of the applicable traffic control signal and for the purpose of the making of a left hand turn;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entered the crosswalk against the direction of the traffic control signal for pedestrians;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entered the crosswalk while jogging or running with his head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only question remaining for consideration is whether, accepting that the plaintiff was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manner described above was there any action the defendant Reis could reasonably have taken in the circumstances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keeping with the relative distances travelled by the Reis vehicle in order to be in a position to enter into its turn and the distance travelled by the plaintiff there is nothing more which the defendant Reis could have done than what he did to avoid the accident. Indeed, if he had not been able to brake his vehicle as he did bringing it almost to a stop before making contact with the plaintiff the accident would have had more serious consequences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For these reasons, I find the plaintiff was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was the sole cause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suffered relatively minor injuries as a result of the accident and particularly some injury to his rib cage on the left side as well as a concussion which would be categorized as mild. In relation to other injuries alleged to have been suffered by the plaintiff in this accident, I accept the submission of counsel for the defendant that the plaintiff appears to be relating complaints of pain and discomfort to injuries suffered by him in other motor vehicle accidents and particularly two accidents prior to his involvement in the subject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place the value of the plaintiff's claim for non-pecuniary damages related to injuries suffered in this accident and their consequences in the amount of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 w:history="1">
        <w:r>
          <w:rPr>
            <w:rFonts w:ascii="arial" w:eastAsia="arial" w:hAnsi="arial" w:cs="arial"/>
            <w:b/>
            <w:bCs/>
            <w:i/>
            <w:color w:val="0077CC"/>
            <w:kern w:val="32"/>
            <w:sz w:val="28"/>
            <w:szCs w:val="32"/>
            <w:u w:val="single"/>
            <w:shd w:val="clear" w:color="auto" w:fill="FFFFFF"/>
            <w:lang w:val="en-US" w:eastAsia="en-US" w:bidi="ar-SA"/>
          </w:rPr>
          <w:t>Meade v. Armstrong (City), [2017] B.C.J. No. 2566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 Marchand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31-November 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S40909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2566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2317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3517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287 A.C.W.S. (3d) 368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70 M.P.L.R. (5th) 252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Stuart Meade, Plaintiff, and The City of Armstrong, Defendant, and John Does #6.1, #6.2, #6.3, #6.4, #7.1, #7.4, #8.5, #8.6, #8.7, #8.8, #8.9, #9.1, #9.2,#9.4, #10.2, #10.4, #10.5, #10.6, #10.7, #10.8, #11.1, #11.2, #11.4, #12.1, #12.2,#12.4, #13.1, #13.2, #13.3, #14.1, #14.2, #14.3, #14.5, #14.6, #14.7, #14.8, #14.9, Defendants, and Shelley Thibodeau,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7" w:name="Keywords_5"/>
      <w:bookmarkEnd w:id="37"/>
      <w:r>
        <w:rPr>
          <w:rFonts w:ascii="arial" w:eastAsia="arial" w:hAnsi="arial" w:cs="arial"/>
          <w:b/>
          <w:color w:val="000000"/>
          <w:sz w:val="20"/>
          <w:lang w:val="en-US" w:eastAsia="en-US" w:bidi="ar-SA"/>
        </w:rPr>
        <w:t xml:space="preserve">Municipal law — Powers of municipality — Regulation of property and activities — Nuisances — Unsightly property — Action for damages for trespass to chattels and conversion,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misfeasance in public office, and conspiracy dismissed — Plaintiff had stored numerous personal property on K's property — City declared various items on property, including plaintiff's personal property, a nuisance, removed items and disposed of them — City's determination that plaintiff's property was nuisance was reasonable — Action in disposing of plaintiff's property was authorized by City resolution and Community Charter — Plaintiff had not established that the City acted in deliberate disregard of its official duties.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8" w:name="Case Summary_4"/>
            <w:bookmarkEnd w:id="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trespass to chattels and conversion,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misfeasance in public office, and conspiracy. The plaintiff was in difficult financial circumstances and was living in a trailer parked on K's property. The plaintiff had also moved his personal property, including household items, building materials, vehicles, tools, beekeeping equipment and various other items onto the K property. Some items were stored within a large permanent shed but many other items were stored in the open. Neighbours subsequently complained to the City about the unsightly condition of the K property and passed a resolution declaring various items on the K property, including the plaintiff's personal property, to be a nuisance under the Community Charter and requiring removal of all items from the property. The plaintiff removed some items but was unable to remove all items within the time specified in the resolution. The City then had the items removed and disposed of them. The plaintiff argued that the City was acting in the interests of K and exceeded its authority in disposing of his personal property.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9" w:name="Holdings of Court_3"/>
            <w:bookmarkEnd w:id="3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City's determination that the plaintiff's property was a nuisance was reasonable. The K property had the appearance of a junk yard and the items within the large permanent shed were an outright mess. The action of City staff in disposing of the plaintiff's property was authorized by the resolution and s. 17 of the Community Charter. The City's authority to remove the items which City council determined to be a nuisance also included the power to dispose of the items. The resolution was very broadly worded and clearly described some specific items that City council considered to constitute a nuisance. It could not have been the intention of the enabling legislation or the resolution to allow the City to remove but not dispose of such items. The plaintiff had not established that the City acted in deliberate disregard of its official duties. The evidence relied on by the plaintiff raised no more than a suspicion of wrongdoing by the City and did not come close to constituting the type of clear cogent evidence necessary to establish bad faith on the part of a public official. The City's actions were not motivated by any desire to assist K or harm the plaintiff. The City was acting only in the discharge of public duties to seek compliance with the City bylaws, the Order to Comply and the resolution.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0" w:name="Legislation Cited_3"/>
      <w:bookmarkEnd w:id="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4"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Community Charter, </w:t>
      </w:r>
      <w:hyperlink r:id="rId106" w:history="1">
        <w:r>
          <w:rPr>
            <w:rFonts w:ascii="arial" w:eastAsia="arial" w:hAnsi="arial" w:cs="arial"/>
            <w:i/>
            <w:color w:val="0077CC"/>
            <w:sz w:val="20"/>
            <w:u w:val="single"/>
            <w:shd w:val="clear" w:color="auto" w:fill="FFFFFF"/>
            <w:lang w:val="en-US" w:eastAsia="en-US" w:bidi="ar-SA"/>
          </w:rPr>
          <w:t>S.B.C. 2003, c. 26, s. 17</w:t>
        </w:r>
      </w:hyperlink>
      <w:r>
        <w:rPr>
          <w:rFonts w:ascii="arial" w:eastAsia="arial" w:hAnsi="arial" w:cs="arial"/>
          <w:color w:val="000000"/>
          <w:sz w:val="20"/>
          <w:lang w:val="en-US" w:eastAsia="en-US" w:bidi="ar-SA"/>
        </w:rPr>
        <w:t>, s. 72, s. 74, s. 76, s. 77, s. 78, s. 79, s.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1996, c. 323, s. 285, s. 735, s. 738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1" w:name="Counsel_5"/>
      <w:bookmarkEnd w:id="4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Stuart Meade appeared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City of Armstrong: A.D. Price.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5"/>
      <w:bookmarkEnd w:id="42"/>
      <w:r>
        <w:pict>
          <v:line id="_x0000_s1056"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L. MARCHAND J."/>
            <w:bookmarkEnd w:id="43"/>
            <w:r>
              <w:rPr>
                <w:rFonts w:ascii="arial" w:eastAsia="arial" w:hAnsi="arial" w:cs="arial"/>
                <w:b/>
                <w:color w:val="000000"/>
                <w:sz w:val="30"/>
                <w:lang w:val="en-US" w:eastAsia="en-US" w:bidi="ar-SA"/>
              </w:rPr>
              <w:t>L. MARCHAND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Stuart Meade experienced a series of misfortunes between 2004 and 2006. These events led to the City of Armstrong (the "City") determining that some of his personal property constituted a nuisance and disposing of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Meade seeks damages from the City and its former Chief Bylaw Officer, Shelly Thibodeau (now Shelly Welch), for trespass to chattels and conversion,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misfeasance in public office, and conspiracy. The essence of Mr. Meade's claim is that the City was acting in the interests of the owner of the property where he was storing his personal property, Anna Kunze, and exceeded its authority in disposing of his personal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City and Ms. Thibodeau maintain that:</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City's actions were authorized by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an Order to Comply under its </w:t>
      </w:r>
      <w:r>
        <w:rPr>
          <w:rFonts w:ascii="arial" w:eastAsia="arial" w:hAnsi="arial" w:cs="arial"/>
          <w:i/>
          <w:color w:val="000000"/>
          <w:sz w:val="20"/>
          <w:lang w:val="en-US" w:eastAsia="en-US" w:bidi="ar-SA"/>
        </w:rPr>
        <w:t>Unsightly Premises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Zoning Bylaws</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acted properly to address unsightliness and nuisance issues and not in bad faith on behalf of Ms. Kunze;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acted in a reasonable manner, allowing Mr. Meade to recover many of the items he had stored on Ms. Kunze's property;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Meade's causes of action are barred by the expiry of one or more limitation periods under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Thibodeau is protected from personal liability by s. 738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and</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City and/or Ms. Thibodeau is/are liable, Mr. Meade's damages are nominal.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Meade is a commercial truck driver. In 2004, his truck was in an accident and written off, leaving him with substantial debt and limited means to earn an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his truck was written off, Mr. Meade worked part-time and began a program of retraining to become a welder. Mr. Meade's retraining did not lead to the type of well-paid work he was hoping to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2005, Mr. Meade and his former common law partner sold their former family home. Mr. Meade began living with his new partner in his travel trailer on the property of an old friend, Junior Kunze, and his wife, Anna, at 2425 Okanagan Street in the City. Mr. Meade says he had an agreement with Mr. Kunze to do odd jobs for Mr. Kunze in exchange for living in the travel trailer and storing his personal property on the Kunze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Meade diligently moved his personal property, including household items, building materials, vehicles, tools, beekeeping equipment and various other items onto the Kunze property. Some items were stored within a large permanent shed. The shed had open sides which were partially draped with tarps. Many other items were stored in the open. Unfortunately, soon after Mr. Meade moved his personal property onto the Kunze property, Mr. Kunze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City says neighbours subsequently complained to it about the "unsightly" condition of the Kunze property. The City inspected the property and, on December 5, 2005, Ms. Thibodeau issued an Order to Comply under the City's </w:t>
      </w:r>
      <w:r>
        <w:rPr>
          <w:rFonts w:ascii="arial" w:eastAsia="arial" w:hAnsi="arial" w:cs="arial"/>
          <w:i/>
          <w:color w:val="000000"/>
          <w:sz w:val="20"/>
          <w:lang w:val="en-US" w:eastAsia="en-US" w:bidi="ar-SA"/>
        </w:rPr>
        <w:t>Unsightly Premises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Zoning Bylaws</w:t>
      </w:r>
      <w:r>
        <w:rPr>
          <w:rFonts w:ascii="arial" w:eastAsia="arial" w:hAnsi="arial" w:cs="arial"/>
          <w:color w:val="000000"/>
          <w:sz w:val="20"/>
          <w:lang w:val="en-US" w:eastAsia="en-US" w:bidi="ar-SA"/>
        </w:rPr>
        <w:t>. The Order to Comply required that the Kunze property be cleaned up by December 20, 2005, failing which the City would clean up the property at the expense of the property owner, Ms. Kunze. The City was subsequently informed that Ms. Kunze and the Kunzes' son, Doug, no longer wished to have Mr. Meade or his personal property on the Kunze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January 9, 2006, City council passed a resolution (the "resolution") declaring various items on the Kunze property, including Mr. Meade's personal property, to be a nuisance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requiring removal of "all items" from the property by February 28,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Meade secured a specific time at a regularly scheduled City council meeting on February 27, 2006 for a reconsideration of the resolution. Mr. Meade was late for the hearing. City council subsequently declined to hear from him on the basis that others who intended to speak to the reconsideration had already left. The resolution remained in place and Mr. Meade was informed that the February 28, 2006 deadline still applied. City staff began their "clean up" of the property in earnest on March 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Meade never directly told the City that he was willing to move all of his items off the Kunze property and just needed more time. Mr. Meade was, however, able to salvage many items of value from the Kunze property both before and during the City's clean up. Other items, including some of sentimental value, were damaged by the City and/or taken by the City to the local landfill.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City billed Ms. Kunze for its clean up efforts and Ms. Kunze paid the City's invoice.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Meade filed a Writ of Summons against the City on February 27, 2007 alleging that the City removed and disposed of his "goods and materials" without lawful authority (the "First Action"). The First Action was dismissed for failing to comply with the six-month limitation period provided by s. 285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Mr. Meade then commenced this action by filing a Writ of Summons on December 27, 2007. Mr. Meade amended the Writ and filed a Statement of Claim on April 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Meade subsequently applied to add various City staff and one City contractor as defendants. The City cross-applied to dismiss the action on the basis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abuse of process. Mr. Meade was successful in his application and the City was successful in having several causes of action struck but, in written reasons indexed as </w:t>
      </w:r>
      <w:r>
        <w:rPr>
          <w:rFonts w:ascii="arial" w:eastAsia="arial" w:hAnsi="arial" w:cs="arial"/>
          <w:i/>
          <w:color w:val="000000"/>
          <w:sz w:val="20"/>
          <w:lang w:val="en-US" w:eastAsia="en-US" w:bidi="ar-SA"/>
        </w:rPr>
        <w:t>Meade v. Armstrong (City)</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2011 BCSC 1591</w:t>
        </w:r>
      </w:hyperlink>
      <w:r>
        <w:rPr>
          <w:rFonts w:ascii="arial" w:eastAsia="arial" w:hAnsi="arial" w:cs="arial"/>
          <w:color w:val="000000"/>
          <w:sz w:val="20"/>
          <w:lang w:val="en-US" w:eastAsia="en-US" w:bidi="ar-SA"/>
        </w:rPr>
        <w:t>, Dley J. allowed several causes of action to proceed. Dley J. did so on the basis that, in this action, Mr. Meade "does not dispute the City's authority to pass its by-law or issue an order that the property be cleaned up or trespass and seize his items." Dley J. noted that Mr. Meade instead was proceeding on the basis that the City "had no authority to sell his possessions or deem them to be trash and dispose of them accordingly":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a result of the order of Dley J., Mr. Meade filed an Amended Statement of Claim on March 23, 2012. Prior to trial, Mr. Meade discontinued his action against all individual defendants except for Ms. Thibodeau.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City's disposal of Mr. Meade's personal property authorized?</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Mr. Meade's action barred in its entirety by s. 736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w:t>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any of Mr. Meade's causes of action barred by s. 735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Is/are the City and/or Ms. Thibodeau liable to Mr. Meade for trespass to and conversion of Mr. Meade's chattels?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Is/are the City and/or Ms. Thibodeau liable to Mr. Meade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Is/are the City and/or Ms. Thibodeau liable to Mr. Meade for misfeasance in public office?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Is/are the City and/or Ms. Thibodeau liable to Mr. Meade in conspiracy?</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Ms. Thibodeau immune from personal liability by virtue of s. 738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City and/or Ms. Thibodeau is/are liable to Mr. Meade, what are Mr. Meade's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foundational issue is the lawfulness of the City's disposal of Mr. Meade's personal property. I will, therefore, begin my analysis by considering that issue. I will then analyze each cause of action on its merits. I will deal with the City's and/or Ms. Thibodeau's statutory defences and damages issues only if necessary.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Was the City's Disposal of Mr. Meade's Personal Property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Meade's Amended Statement of Claim alleges that the City and/or Ms. Thibodeau acted without lawful authority. This allegation must be read in light of, and narrowed by, the reasons of Dley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True to his characterization of his claim before Dley J., Mr. Meade makes no argument that the City lacked the jurisdiction to pass any of its bylaws or the resolution, or that Ms. Thibodeau lacked the jurisdiction to issue the Order to Comply. Further, there was no evidence that the City sold any of Mr. Meade's personal property. The narrow issue before me is, therefore, whether the City had the lawful authority to dispose of Mr. Meade's personal property under the resolution and/or Order to Comply.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will first examine the City's actions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the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Section 74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empowered the City to declare buildings, structures or erections of any kind, "a matter or thing that is in or about" a building, structure or erection of any kind, or other things the City council considered to be "so dilapidated or unclean as to be offensive to the community" to be a nuisance. Section 74 also empowered the City to impose a remedial action requirement in relation to any declared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Section 72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empowered the City to require the owner of any matter or thing declared to be a nuisance, or the owner or occupier of the land on which any matter or thing declared to be a nuisance was located, to remove or demolish the matter or thing or "otherwise deal with" it in accordance with the directions of City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Section 76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required the City to give at least 30 days' notice to anyone affected by a remedial action requirement. Section 77 established that notice of a remedial action requirement was to be given by personal service or registered mail to the person subject to the requirement, the owner of the land where the action was to be carried out and any other person who was an occupier of the land. Section 79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empowered the City to give less than 30 days' notice where City council considered there to be a "significant risk to health or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Section 78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enabled a person affected by a remedial action requirement to request a reconsideration by City council. Section 78 also compelled City council to "provide the person with an opportunity to make representations to the council" following which City council could "confirm, amend or cancel the remedial action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Mr. Meade does not challenge the validity of the resolution, it is not necessary for me to delve into potential issues under ss. 76-78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Suffice to say, however, that Mr. Meade became aware of the resolution and was given an opportunity to make representations to City council regarding the remedial action requirement. Unfortunately, Mr. Meade was late for the City council meeting on February 27, 2006 and, therefore, missed his opportunity to make representations in support of his request to have the resolution reconsidered.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any event, if a person subject to a remedial action requirement failed to take a required action, s. 17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empowered the City to "fulfill the requirement at the expense of the person" and "recover the costs incurred from that person as a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Finally, in the event that a remedial action requirement was not satisfied on the specified deadline, s. 80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also empowered the City to sell "the matter or thing in relation to which the requirement was imposed or any part or material of it." The City could then retain the proceeds of sale to pay its costs with any remainder being paid to the owner of the matter or thing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this case, on January 9, 2006, City council considered a report prepared by Ms. Thibodeau dated December 19, 2005 concerning two properties alleged to be nuisances within the City. One of them was the Kunze property. The report addressed the process for dealing with such properties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Ms. Thibodeau's report included a description of the condition of both properties and the efforts of City staff to deal with the properties. Ultimately, City council declared both properties to be nuisances and imposed remedial action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relation to the Kunze property, City council passed a resolution: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Council declare the storage sheds, the holiday trailer, the unlicensed vehicles, trailers and miscellaneous debris that is piled around the property located at 2425 Okanagan Street a nuisance, and that a notice pursuant to Section 77 of the Community Charter be imposed on the owner of the vehicles and trailers [and] the owners of the property..., requiring them to remove all items from the property no later than February 28th,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neither Ms. Kunze nor Mr. Meade satisfied the required action to "remove all items from the property no later than February 28th, 2006", Ms. Thibodeau directed City staff to attend at the property to effect the remedial action requirement. Specifically, Ms. Thibodeau directed the City's Public Works foreman to set aside items of value for eventual sale and to "throw out" any garbage, including items in the open-sided shed. Ms. Thibodeau described the open-sided shed as a "pole barn".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City Public Works staff began their clean up work on the property on March 6, 2006. They put some items of apparent value, such as a set of table and chairs, into the travel trailer and set other items of apparent value aside. The Public Works staff threw many items, including items within boxes that were stored in the open-sided shed, into a large disposal bin they had brought onto the Kunze property. The City ultimately disposed of the material in the disposal bin at the local landfill. In the meantime, the City hauled Mr. Meade's travel trailer to its Public Works yard and many of the items of apparent value set aside by the City began disappearing. Ms. Thibodeau assumed that Mr. Meade picked up the items that disappeared.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Meade learned of the City's actions and worked through the early hours of March 7, 2006 with his partner and friends to recover many items of value, including by going through the items in the disposal bin. Unfortunately, some items of value to Mr. Meade had been destroyed by being thrown into the disposal 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Though the timing was not clear, an Agreed Statement of Facts establishes that, at some point after December 5, 2005, Mr. Meade recovered from the property: a utility trailer with welder attached; a canoe; farm jacks; some beekeeping equipment; computers; one or two photo albums; a flat deck truck; a weed eater; a filing cabinet; a pickup truck; and some clothes. Mr. Meade also recovered his travel trailer, including the table and chairs inside, from the Public Works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Meade was hard-pressed to precisely describe items of value that he lost but these included: "some household items"; family photo albums and videos; an unspecified quantity of lumber; an unspecified quantity of steel pipes; beekeeping equipment, including a shed on blocks used to over-winter bees; a riding lawn mower; a second set of table and chairs; and eight concrete blocks. Mr. Meade adduced very little evidence of the condition of these items or their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Dealing first with the City's authority to deem Mr. Meade's property to be a nuisance, in the context of judicial reviews, courts in British Columbia apply a deferential standard of reasonableness to determinations made by local governments as to what constitutes a nuisance: </w:t>
      </w:r>
      <w:r>
        <w:rPr>
          <w:rFonts w:ascii="arial" w:eastAsia="arial" w:hAnsi="arial" w:cs="arial"/>
          <w:i/>
          <w:color w:val="000000"/>
          <w:sz w:val="20"/>
          <w:lang w:val="en-US" w:eastAsia="en-US" w:bidi="ar-SA"/>
        </w:rPr>
        <w:t>Vernon (City) v. Sengotta</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2009 BCSC 70</w:t>
        </w:r>
      </w:hyperlink>
      <w:r>
        <w:rPr>
          <w:rFonts w:ascii="arial" w:eastAsia="arial" w:hAnsi="arial" w:cs="arial"/>
          <w:color w:val="000000"/>
          <w:sz w:val="20"/>
          <w:lang w:val="en-US" w:eastAsia="en-US" w:bidi="ar-SA"/>
        </w:rPr>
        <w:t xml:space="preserve"> at paras. 50-54.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Though Mr. Meade does not directly challenge the resolution, based on the photographs I have seen, the City's determination was reasonable. With the greatest respect to Mr. Meade, the Kunze property had the appearance of a "junk" yard and the items within the large permanent shed were an outright mess. The tarps on the large permanent shed did not cover all sides of the shed so many of the items inside were visible from the outside. City council knows the community best and was well informed and well positioned to determine that the appearance of the Kunze property was not in keeping with community standards and constituted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will deal next with the City's authority to dispose of Mr. Meade's personal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Section 17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clearly empowered the City to undertake the work the City had directed Mr. Meade and/or Ms. Kunze to complete through the resolution but which they failed to do, namely to "remove all items from the property". The question is whether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empowered the City to not only remove but also to dispose of Mr. Meade's personal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Society of Fort Langley Residents for Sustainable Development v. Langley (Township)</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2014 BCCA 271</w:t>
        </w:r>
      </w:hyperlink>
      <w:r>
        <w:rPr>
          <w:rFonts w:ascii="arial" w:eastAsia="arial" w:hAnsi="arial" w:cs="arial"/>
          <w:color w:val="000000"/>
          <w:sz w:val="20"/>
          <w:lang w:val="en-US" w:eastAsia="en-US" w:bidi="ar-SA"/>
        </w:rPr>
        <w:t>, our Court of Appeal restored a Heritage Alteration Permit granted by the Township of Langley which had been set aside by the chambers judge. Germane to this case, at paras. 11-18, the Court had the following to say regarding the correct approach to interpreting municipal legislation: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...(I)t is always salutary to remind oneself of the basic principles of statutory interpretation applicable in construing this species of delegated legislative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Counsel, of course, cited the Supreme Court of Canada's decision in </w:t>
      </w:r>
      <w:r>
        <w:rPr>
          <w:rFonts w:ascii="arial" w:eastAsia="arial" w:hAnsi="arial" w:cs="arial"/>
          <w:i/>
          <w:color w:val="000000"/>
          <w:sz w:val="20"/>
          <w:lang w:val="en-US" w:eastAsia="en-US" w:bidi="ar-SA"/>
        </w:rPr>
        <w:t>Bell ExpressVu Limited Partnership v. Rex</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2002 SCC 42</w:t>
        </w:r>
      </w:hyperlink>
      <w:r>
        <w:rPr>
          <w:rFonts w:ascii="arial" w:eastAsia="arial" w:hAnsi="arial" w:cs="arial"/>
          <w:color w:val="000000"/>
          <w:sz w:val="20"/>
          <w:lang w:val="en-US" w:eastAsia="en-US" w:bidi="ar-SA"/>
        </w:rPr>
        <w:t xml:space="preserve">, and then noted Tysoe J.A.'s reformulation of the direction in the context of a municipal law case in </w:t>
      </w:r>
      <w:r>
        <w:rPr>
          <w:rFonts w:ascii="arial" w:eastAsia="arial" w:hAnsi="arial" w:cs="arial"/>
          <w:i/>
          <w:color w:val="000000"/>
          <w:sz w:val="20"/>
          <w:lang w:val="en-US" w:eastAsia="en-US" w:bidi="ar-SA"/>
        </w:rPr>
        <w:t>North Pender Island Local Trust Committee v. Conconi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2010 BCCA 494</w:t>
        </w:r>
      </w:hyperlink>
      <w:r>
        <w:rPr>
          <w:rFonts w:ascii="arial" w:eastAsia="arial" w:hAnsi="arial" w:cs="arial"/>
          <w:color w:val="000000"/>
          <w:sz w:val="20"/>
          <w:lang w:val="en-US" w:eastAsia="en-US" w:bidi="ar-SA"/>
        </w:rPr>
        <w:t xml:space="preserve"> at para. 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words of an [enactment] are to be read in their entire context, in their grammatical and ordinary sense harmoniously with the scheme of the [enactment], the object of the [enactment], and the intention of [the legislative body that passed the enactment].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Again, in the context of municipal empowering legislation and bylaws enacted pursuant thereto, this Court said in </w:t>
      </w:r>
      <w:r>
        <w:rPr>
          <w:rFonts w:ascii="arial" w:eastAsia="arial" w:hAnsi="arial" w:cs="arial"/>
          <w:i/>
          <w:color w:val="000000"/>
          <w:sz w:val="20"/>
          <w:lang w:val="en-US" w:eastAsia="en-US" w:bidi="ar-SA"/>
        </w:rPr>
        <w:t>Neilson v. Langley (Township)</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(1982), 134 D.L.R. (3d) 550</w:t>
        </w:r>
      </w:hyperlink>
      <w:r>
        <w:rPr>
          <w:rFonts w:ascii="arial" w:eastAsia="arial" w:hAnsi="arial" w:cs="arial"/>
          <w:color w:val="000000"/>
          <w:sz w:val="20"/>
          <w:lang w:val="en-US" w:eastAsia="en-US" w:bidi="ar-SA"/>
        </w:rPr>
        <w:t xml:space="preserve"> (at 554 per Hinkson J.A.):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in my opinion, it is necessary to interpret the provisions of the zoning by-law not on a restrictive nor on a liberal approach but rather with a view to giving effect to the intention of the Municipal Council as expressed in the by-law upon a reasonable basis that will accomplish that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w:t>
      </w:r>
      <w:r>
        <w:rPr>
          <w:rFonts w:ascii="arial" w:eastAsia="arial" w:hAnsi="arial" w:cs="arial"/>
          <w:i/>
          <w:color w:val="000000"/>
          <w:sz w:val="20"/>
          <w:lang w:val="en-US" w:eastAsia="en-US" w:bidi="ar-SA"/>
        </w:rPr>
        <w:t>United Taxi Drivers' Fellowship of Southern Alberta v. Calgary (City)</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2004 SCC 19</w:t>
        </w:r>
      </w:hyperlink>
      <w:r>
        <w:rPr>
          <w:rFonts w:ascii="arial" w:eastAsia="arial" w:hAnsi="arial" w:cs="arial"/>
          <w:color w:val="000000"/>
          <w:sz w:val="20"/>
          <w:lang w:val="en-US" w:eastAsia="en-US" w:bidi="ar-SA"/>
        </w:rPr>
        <w:t>, Mr. Justice Bastarache stated for the Court (at paras. 6 and 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 The evolution of the modern municipality has produced a shift in the proper approach to the interpretation of statutes empowering municipalities. ... The "benevolent" and "strict" construction dichotomy has been set aside, and a broad and purposive approach to the interpretation of municipal powers has been embraced...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 A broad and purposive approach to the interpretation of municipal legislation is also consistent with this Court's approach to statutory interpretation generally.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These common law rules must be married with the expressions of intent by the Legislative Assembly.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Generally, in s. 8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we are told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 Every enactment must be construed as being remedial, and must be given such fair, large and liberal construction and interpretation as best ensures the attainment of its objects.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Specifically, under s. 4(1)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we are directed so: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The powers conferred on municipalities and their councils under this Act or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must be interpreted broadly in accordance with the purposes of those Acts and in accordance with municipal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Frankly, the Court can take the hint - municipal legislation should be approached in the spirit of searching for the purpose broadly targeted by the enabling legislation and the elected council, and in the words of the Court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"with a view to giving effect to the intention of the Municipal Council as expressed in the bylaw upon a reasonable basis that will accomplish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this case, the purpose of the enabling provisions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of the resolution was the same. Both were directed at returning nuisance properties to an inoffensive condition, whether through the efforts of the owners of the real and personal property at issue or through the efforts of the City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To give effect to the intention of the enabling legislation and the resolution, I find that the City's authority to "remove" the items which City council determined to be a nuisance also included the power to dispose of the items. The resolution was very broadly worded and clearly described some specific items that City council considered to constitute a nuisance. The resolution specifically identified "the sheds", which, in context, must have been understood to include the items visibly stored within the sheds. The resolution also characterized some of the items on the Kunze property to be "debris". It could not have been the intention of the enabling legislation or the resolution to allow the City to remove but not dispose of such items. Otherwise, the City would have been limited to selling or indefinitely storing items of little or no value, including, if present, garbage.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City staff made a sincere effort to set aside items that may have had value. I accept that what remained appeared to City staff to be "junk". Mr. Meade may have been busy working part-time and retraining but he had plenty of notice to remove his personal property from the Kunze property. That he did not do so lent credence to the City's belief that the items in the sheds and on the property had little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After carefully considering all of the evidence, I have concluded that the actions of City staff in disposing of Mr. Meade's property was authorized by the resolution and s. 17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Having made this finding, it is not necessary for me to analyze whether the City's actions were also authorized by the Order to Comply.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Is/are the City and/or Ms. Thibodeau liable to Mr. Meade for trespass to and conversion of Mr. Meade's chattels?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tort of conversion is a wrongful act in dealing with goods inconsistent with the owner's rights, and includes the destruction or sale of such goods. The wrongful act must be intentional and not by way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tort of trespass to chattels is the intentional interference with another's possession of goods, and includes the intentional and unlawful seizure of such goods: </w:t>
      </w:r>
      <w:r>
        <w:rPr>
          <w:rFonts w:ascii="arial" w:eastAsia="arial" w:hAnsi="arial" w:cs="arial"/>
          <w:i/>
          <w:color w:val="000000"/>
          <w:sz w:val="20"/>
          <w:lang w:val="en-US" w:eastAsia="en-US" w:bidi="ar-SA"/>
        </w:rPr>
        <w:t>Jarvie v. Banwait</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2013 BCSC 337</w:t>
        </w:r>
      </w:hyperlink>
      <w:r>
        <w:rPr>
          <w:rFonts w:ascii="arial" w:eastAsia="arial" w:hAnsi="arial" w:cs="arial"/>
          <w:color w:val="000000"/>
          <w:sz w:val="20"/>
          <w:lang w:val="en-US" w:eastAsia="en-US" w:bidi="ar-SA"/>
        </w:rPr>
        <w:t xml:space="preserve"> at para. 45 and G.H.L.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2nd ed. (Toronto: Carswell, 2002) at 121-123. See also Philip H. Osborne,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5th ed. (Toronto: Irwin Law, 2015) at 321-323.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is a defence to both trespass to and conversion of chattels that the defendant's act was authorized by statute: Fridman at 132-133 regarding trespass to chattels and at 150 regarding conversion. See also Osborne at 330. For example, in the context of determining the scope of the limitation defence provided by s. 735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Gringmuth v. North Vancouver (District)</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2002 BCCA 61</w:t>
        </w:r>
      </w:hyperlink>
      <w:r>
        <w:rPr>
          <w:rFonts w:ascii="arial" w:eastAsia="arial" w:hAnsi="arial" w:cs="arial"/>
          <w:color w:val="000000"/>
          <w:sz w:val="20"/>
          <w:lang w:val="en-US" w:eastAsia="en-US" w:bidi="ar-SA"/>
        </w:rPr>
        <w:t xml:space="preserve"> at para. 21, our Court of Appeal described that an expropriation of land would amount to trespass and conversion if not authorized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Having found that the City's disposal of Mr. Meade's personal property was authorized by the resolution and s. 17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I must dismiss Mr. Meade's action against the City and Ms. Thibodeau in trespass and conversion.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Is/are the City and/or Ms. Thibodeau liable to Mr. Meade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Mr. Meade's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founded on the City's and/or Ms. Thibodeau's alleged failure to ensure that City staff acted in a lawful manner and did not damage his personal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burden is on Mr. Meade to establish that the City and/or Ms. Thibodeau owed him a duty of care, that one or both breached that duty and that damages resulted from the breach: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6-7 and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at para 23, </w:t>
      </w:r>
      <w:hyperlink r:id="rId117" w:history="1">
        <w:r>
          <w:rPr>
            <w:rFonts w:ascii="arial" w:eastAsia="arial" w:hAnsi="arial" w:cs="arial"/>
            <w:i/>
            <w:color w:val="0077CC"/>
            <w:sz w:val="20"/>
            <w:u w:val="single"/>
            <w:shd w:val="clear" w:color="auto" w:fill="FFFFFF"/>
            <w:lang w:val="en-US" w:eastAsia="en-US" w:bidi="ar-SA"/>
          </w:rPr>
          <w:t>156 D.L.R. (4th) 577</w:t>
        </w:r>
      </w:hyperlink>
      <w:r>
        <w:rPr>
          <w:rFonts w:ascii="arial" w:eastAsia="arial" w:hAnsi="arial" w:cs="arial"/>
          <w:color w:val="000000"/>
          <w:sz w:val="20"/>
          <w:lang w:val="en-US" w:eastAsia="en-US" w:bidi="ar-SA"/>
        </w:rPr>
        <w:t>. See also Osborne at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City makes submissions on each aspect of Mr. Meade's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but I find it unnecessary to deal with all of the City's submissions. Mr. Meade's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fails on the very simple basis that there is no duty of care not to do what a defendant is authorized to do: </w:t>
      </w:r>
      <w:r>
        <w:rPr>
          <w:rFonts w:ascii="arial" w:eastAsia="arial" w:hAnsi="arial" w:cs="arial"/>
          <w:i/>
          <w:color w:val="000000"/>
          <w:sz w:val="20"/>
          <w:lang w:val="en-US" w:eastAsia="en-US" w:bidi="ar-SA"/>
        </w:rPr>
        <w:t>Nicholls v. Richmond (Municipal Corporation)</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52 B.C.L.R. 302</w:t>
        </w:r>
      </w:hyperlink>
      <w:r>
        <w:rPr>
          <w:rFonts w:ascii="arial" w:eastAsia="arial" w:hAnsi="arial" w:cs="arial"/>
          <w:color w:val="000000"/>
          <w:sz w:val="20"/>
          <w:lang w:val="en-US" w:eastAsia="en-US" w:bidi="ar-SA"/>
        </w:rPr>
        <w:t xml:space="preserve"> at 315, </w:t>
      </w:r>
      <w:hyperlink r:id="rId118" w:history="1">
        <w:r>
          <w:rPr>
            <w:rFonts w:ascii="arial" w:eastAsia="arial" w:hAnsi="arial" w:cs="arial"/>
            <w:i/>
            <w:color w:val="0077CC"/>
            <w:sz w:val="20"/>
            <w:u w:val="single"/>
            <w:shd w:val="clear" w:color="auto" w:fill="FFFFFF"/>
            <w:lang w:val="en-US" w:eastAsia="en-US" w:bidi="ar-SA"/>
          </w:rPr>
          <w:t>[1984] 3 W.W.R. 719</w:t>
        </w:r>
      </w:hyperlink>
      <w:r>
        <w:rPr>
          <w:rFonts w:ascii="arial" w:eastAsia="arial" w:hAnsi="arial" w:cs="arial"/>
          <w:color w:val="000000"/>
          <w:sz w:val="20"/>
          <w:lang w:val="en-US" w:eastAsia="en-US" w:bidi="ar-SA"/>
        </w:rPr>
        <w:t xml:space="preserve">. I agree with the City's submission that it would be absurd to hold the City and/or Ms. Thibodeau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carrying out actions which were authorized by the resolution and s. 17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must dismiss Mr. Meade's action against the City and Ms. Thibodeau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Is/are the City and/or Ms. Thibodeau liable to Mr. Meade for misfeasance in public office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the leading case of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the Supreme Court of Canada explained the elements of the tort of misfeasance in public office, at paras. 22-23,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What then are the essential ingredients of the tort, at least insofar as it is necessary to determine the issues that arise on the pleadings in this case? In </w:t>
      </w:r>
      <w:r>
        <w:rPr>
          <w:rFonts w:ascii="arial" w:eastAsia="arial" w:hAnsi="arial" w:cs="arial"/>
          <w:i/>
          <w:color w:val="000000"/>
          <w:sz w:val="20"/>
          <w:lang w:val="en-US" w:eastAsia="en-US" w:bidi="ar-SA"/>
        </w:rPr>
        <w:t>Three Rivers</w:t>
      </w:r>
      <w:r>
        <w:rPr>
          <w:rFonts w:ascii="arial" w:eastAsia="arial" w:hAnsi="arial" w:cs="arial"/>
          <w:color w:val="000000"/>
          <w:sz w:val="20"/>
          <w:lang w:val="en-US" w:eastAsia="en-US" w:bidi="ar-SA"/>
        </w:rPr>
        <w:t xml:space="preserve">, the House of Lords held that the tort of misfeasance in a public office can arise in one of two ways, what I shall call Category A and Category B. Category A involves conduct that is specifically intended to injure a person or class of persons. Category B involves a public officer who acts with knowledge both that she or he has no power to do the act complained of and that the act is likely to injure the plaintiff. This understanding of the tort has been endorsed by a number of Canadian courts: see for example </w:t>
      </w:r>
      <w:r>
        <w:rPr>
          <w:rFonts w:ascii="arial" w:eastAsia="arial" w:hAnsi="arial" w:cs="arial"/>
          <w:i/>
          <w:color w:val="000000"/>
          <w:sz w:val="20"/>
          <w:lang w:val="en-US" w:eastAsia="en-US" w:bidi="ar-SA"/>
        </w:rPr>
        <w:t>Powder Mountain Resorts,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Alberta (Minister of Public Works, Supply and Services)</w:t>
      </w:r>
      <w:r>
        <w:rPr>
          <w:rFonts w:ascii="arial" w:eastAsia="arial" w:hAnsi="arial" w:cs="arial"/>
          <w:color w:val="000000"/>
          <w:sz w:val="20"/>
          <w:lang w:val="en-US" w:eastAsia="en-US" w:bidi="ar-SA"/>
        </w:rPr>
        <w:t xml:space="preserve"> (C.A.), </w:t>
      </w:r>
      <w:hyperlink r:id="rId120" w:history="1">
        <w:r>
          <w:rPr>
            <w:rFonts w:ascii="arial" w:eastAsia="arial" w:hAnsi="arial" w:cs="arial"/>
            <w:i/>
            <w:color w:val="0077CC"/>
            <w:sz w:val="20"/>
            <w:u w:val="single"/>
            <w:shd w:val="clear" w:color="auto" w:fill="FFFFFF"/>
            <w:lang w:val="en-US" w:eastAsia="en-US" w:bidi="ar-SA"/>
          </w:rPr>
          <w:t>[2002] A.J. No. 1474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Granite Power Corp. v. Ontario</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[2002] O.J. No. 2188</w:t>
        </w:r>
      </w:hyperlink>
      <w:r>
        <w:rPr>
          <w:rFonts w:ascii="arial" w:eastAsia="arial" w:hAnsi="arial" w:cs="arial"/>
          <w:color w:val="000000"/>
          <w:sz w:val="20"/>
          <w:lang w:val="en-US" w:eastAsia="en-US" w:bidi="ar-SA"/>
        </w:rPr>
        <w:t xml:space="preserve"> (QL) (S.C.J.). It is important, however, to recall that the two categories merely represent two different ways in which a public officer can commit the tort; in each instance, the plaintiff must prove each of the tort's constituent elements. It is thus necessary to consider the elements that are common to each form of the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In my view, there are two such elements. First, the public officer must have engaged in deliberate and unlawful conduct in his or her capacity as a public officer. Second, the public officer must have been aware both that his or her conduct was unlawful and that it was likely to harm the plaintiff. What distinguishes one form of misfeasance in a public office from the other is the manner in which the plaintiff proves each ingredient of the tort. In Category B, the plaintiff must prove the two ingredients of the tort independently of one another. In Category A, the fact that the public officer has acted for the express purpose of harming the plaintiff is sufficient to satisfy each ingredient of the tort, owing to the fact that a public officer does not have the authority to exercise his or her powers for an improper purpose, such as deliberately harming a member of the public. In each instance, the tort involves deliberate disregard of official duty coupled with knowledge that the misconduct is likely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Having found the City's and Ms. Thibodeau's actions to have been authorized by the resolution and s. 17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 "Category B" misfeasance in public office claim is not available to Mr. Meade. For Mr. Meade to establish his misfeasance in public office claim, he must prove that the City and/or Ms. Thibodeau specifically intended to injure him as required under "Category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Meade presented his case on the basis that the City acted for the improper purpose of assisting the Kunzes rather than in the public interest and that the City must have known that he would be harmed as a result. Mr. Meade adduced some evidence in support of his belief about the City's motivations.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Meade suspected from the outset that the Kunzes themselves were behind the "complaints" referred to by the City. When he asked for information about the complaints, the City cited privacy concerns and refused to disclose any information. Ms. Thibodeau's report to City council dated December 19, 2006 referred to "several" complaints but she testified that the City received only one verbal complaint and one written complaint from neighbours. The City has never disclosed or produced any documentation regarding the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 number of documents from the City's files detail communications between the City and the Kunzes.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December 5, 2005, the City's contract Bylaw Enforcement Officer, Leanne Robertson, sent an email to Ms. Thibodeau detailing some communications Ms. Robertson had had with Doug Kunze. Ms. Robertson was apparently informed that Doug Kunze was "getting his mother... to sign a letter indicating she would like the occupants removed from the property." Ms. Robertson was also apparently informed that the property had been "sold in principal to a developer", that the sale "should be completed in January" and that Doug Kunze wanted the name of the purchasers to remain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City's files included an undated letter from Ms. Kunze informing the City that Ms. Kunze did not want Mr. Meade or his new partner to remain on the Kunze property. Ms. Kunze gave her "permission" to the City to "have them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December 13, 2005, a letter was sent from a lawyer acting on behalf of Ms. Kunze to Ms. Robertson. The letter read, in part: "At this point in time it appears both we and the City share the same objectives. Specifically, we both seek the removal of Mr. Meade and (his partner) along with their property." The letter also asked for an extension of time to allow Ms. Kunze to remove some of her property which was subject to the Order to Comply.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the same day, Ms. Thibodeau responded to Ms. Kunze's lawyer that Ms. Thibodeau planned to submit reports to City council on January 9, 2006 asking council "to declare the situation on (the Kunze) property to be a nuisance pursuant to s. 74 of the Community Charter." Ms. Thibodeau also indicated she would ask City council for an extension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January 16, 2006, Ms. Robertson emailed Ms. Thibodeau indicating that, at his request, she would be meeting with Doug Kunze on the property on January 23, 2006 to "give him direction on what needs to be removed from the property." Ms. Robertson also reported Doug Kunze's belief that if the Kunzes "removed any of Mr. Meade's items off the property (the Kunzes) could be charged with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Even though the Order to Comply and the resolution applied equally to Ms. Kunze and Mr. Meade, the City's documents and the other evidence at trial demonstrate that the City did not treat them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City shared Mr. Meade's written communications to the City with Ms. Kunze's lawyer but did not share written communications sent by or on behalf of the Kunzes with Mr. Meade. Ms. Robertson agreed to meet with Doug Kunze on the property but the City did not respond to Mr. Meade's request for a meeting. In January 2006, the City demonstrated an openness to giving Ms. Kunze additional time to comply with the City's directions. On February 27, 2006, the Mayor agreed to allow Mr. Meade to reschedule his request for a reconsideration to the next regularly scheduled council meeting but, in response to a question from the City Administrator, the Mayor indicated that City council was not extending the existing deadline for clean up of the Kunze property. The City then proceeded with its cleanup before the next scheduled City council meeting, making Mr. Meade's request to reschedule the reconsideration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my respectful view, the evidence relied on by Mr. Meade raised no more than a suspicion of wrongdoing by the City and/or Ms. Thibodeau and does not come close to constituting the type of clear cogent evidence necessary to establish bad faith on the part of a public official: </w:t>
      </w:r>
      <w:r>
        <w:rPr>
          <w:rFonts w:ascii="arial" w:eastAsia="arial" w:hAnsi="arial" w:cs="arial"/>
          <w:i/>
          <w:color w:val="000000"/>
          <w:sz w:val="20"/>
          <w:lang w:val="en-US" w:eastAsia="en-US" w:bidi="ar-SA"/>
        </w:rPr>
        <w:t>Powder Mountain Resorts Ltd. v. British Columbia</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xml:space="preserve"> at para. 8 and </w:t>
      </w:r>
      <w:r>
        <w:rPr>
          <w:rFonts w:ascii="arial" w:eastAsia="arial" w:hAnsi="arial" w:cs="arial"/>
          <w:i/>
          <w:color w:val="000000"/>
          <w:sz w:val="20"/>
          <w:lang w:val="en-US" w:eastAsia="en-US" w:bidi="ar-SA"/>
        </w:rPr>
        <w:t>Vernon (City) v. Sengotta</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2009 BCSC 70</w:t>
        </w:r>
      </w:hyperlink>
      <w:r>
        <w:rPr>
          <w:rFonts w:ascii="arial" w:eastAsia="arial" w:hAnsi="arial" w:cs="arial"/>
          <w:color w:val="000000"/>
          <w:sz w:val="20"/>
          <w:lang w:val="en-US" w:eastAsia="en-US" w:bidi="ar-SA"/>
        </w:rPr>
        <w:t xml:space="preserve"> at para.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While I cannot understand why the City did not treat Mr. Meade in the same fashion the City treated the Kunzes, the difference does not establish that the City was acting in the private interests of the Kunzes and in disregard of the City's public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Prior to the events at issue, Ms. Thibodeau did not know Mr. Meade and there was no evidence to even remotely suggest that Ms. Thibodeau or the City had any reason to put Ms. Kunze's private interests ahead of their public duties or to want to harm Mr. Meade. The storage of Mr. Meade's personal property on the Kunze property constituted a nuisance. The City took steps against another offending property at the same time as it was taking steps against the Kunze property. Personal property of Ms. Kunze was also subject to the Order to Comply and the resolution. Mr. Meade had more than two months' notice to remove his personal property from the Kunze property. The City took care to set aside items of apparent value and Mr. Meade recovered some, if not all, of this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Given these undisputed facts, I accept Ms. Thibodeau's testimony that her actions and, more broadly, the City's actions were not motivated by any desire to assist Ms. Kunze or harm Mr. Meade. I accept Ms. Thibodeau's testimony that she and the City were acting only in the discharge of public duties to seek compliance with the City bylaws, the Order to Comply and the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Mr. Meade has not established that Ms. Thibodeau or the City acted in deliberate disregard of their official duties. In fact, I find that the motivations of Ms. Thibodeau and the City were to properly discharge their public duties and that their actions were authorized by the resolution and s. 17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I must, therefore, dismiss Mr. Meade's claim in misfeasance in public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Is/are the City and/or Ms. Thibodeau liable to Mr. Meade in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Cement LaFarge Ltd. v. British Columbia Lightweight Aggregate Ltd.</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xml:space="preserve"> at 471-472, </w:t>
      </w:r>
      <w:hyperlink r:id="rId123" w:history="1">
        <w:r>
          <w:rPr>
            <w:rFonts w:ascii="arial" w:eastAsia="arial" w:hAnsi="arial" w:cs="arial"/>
            <w:i/>
            <w:color w:val="0077CC"/>
            <w:sz w:val="20"/>
            <w:u w:val="single"/>
            <w:shd w:val="clear" w:color="auto" w:fill="FFFFFF"/>
            <w:lang w:val="en-US" w:eastAsia="en-US" w:bidi="ar-SA"/>
          </w:rPr>
          <w:t>145 D.L.R. (3d) 385</w:t>
        </w:r>
      </w:hyperlink>
      <w:r>
        <w:rPr>
          <w:rFonts w:ascii="arial" w:eastAsia="arial" w:hAnsi="arial" w:cs="arial"/>
          <w:color w:val="000000"/>
          <w:sz w:val="20"/>
          <w:lang w:val="en-US" w:eastAsia="en-US" w:bidi="ar-SA"/>
        </w:rPr>
        <w:t xml:space="preserve"> at 398-399, the Supreme Court of Canada defined the two branches of the tort of conspiracy,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law concerning the scope of the tort of conspiracy is far from clear, I am of the opinion that whereas the law of tort does not permit an action against an individual defendant who has caused injury to the plaintiff, the law of torts does recognize a claim against them in combination as the tort of conspiracy if:</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means used by the defendants are lawful or unlawful, the predominant purpose of the defendants' conduct is to cause injury to the plaintiff; or,</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conduct of the defendants is unlawful, the conduct is directed towards the plaintiff (alone or together with others), and the defendants should know in the circumstances that injury to the plaintiff is likely to and does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situation (2) it is not necessary that the pre-dominant purpose of the defendants' conduct be to cause injury to the plaintiff but, in the prevailing circumstances, it must be a constructive intent derived from the fact that the defendants should have known that injury to the plaintiff would ensue. In both situations, however, there must be actual 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for the tort of misfeasance in public office, compelling evidence is required to establish the tort of conspiracy: </w:t>
      </w:r>
      <w:r>
        <w:rPr>
          <w:rFonts w:ascii="arial" w:eastAsia="arial" w:hAnsi="arial" w:cs="arial"/>
          <w:i/>
          <w:color w:val="000000"/>
          <w:sz w:val="20"/>
          <w:lang w:val="en-US" w:eastAsia="en-US" w:bidi="ar-SA"/>
        </w:rPr>
        <w:t>Golden Capital Securities Limited v. Rempel</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2004 BCCA 565</w:t>
        </w:r>
      </w:hyperlink>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Leaving aside the question of whether Mr. Meade was required to name Anna and/or Doug Kunze as defendants, the mere fact that the Kunzes wanted, and the City required, that Mr. Meade's personal property be removed from the Kunze property does not establish that the City and/or Ms. Thibodeau were acting in concert with Anna and/or Doug Kunze.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did not hear from the Kunzes but the circumstances suggest that they wanted their property cleaned up in order to complete a sale of the property. The evidence was clear that the City and Ms. Thibodeau wanted the Kunze property to be cleaned up for a different purpose, namely to comply with the City's bylaws, the Order to Comply and the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Further, regarding the first branch of the tort of conspiracy, with the greatest respect to Mr. Meade, for the reasons already expressed, Mr. Meade has not come close to establishing that the predominant purpose of the City and/or Ms. Thibodeau was to injure Mr. Meade.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Finally, regarding the second branch of the tort of conspiracy, for the reasons already expressed, Mr. Meade has not established that the conduct of the City and/or Ms. Thibodeau was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these reasons, I must dismiss Mr. Meade's claim in conspiracy.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Statutory Defences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Having dismissed all of Mr. Meade's claims on their merits, it is not necessary for me to address the statutory defence and damages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circumstances of this claim are most unfortunate. Mr. Meade lost a number of personal treasures but not as a result of any actionable wrong on the part of the City or Ms. Thibodeau. For the reasons I have stated, I dismiss Mr. Meade's action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City and Ms. Thibodeau made no submission on the issue of costs. I grant the City and Ms. Thibodeau until February 28, 2018 to bring the issue of costs before me, failing which the parties will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thank counsel for the City and Ms. Thibodeau for the courtesy and respect he showed Mr. Meade throughout the trial and for his thoughtful, thorough and helpful submissions. I thank Mr. Meade for his respectful participation in the trial and I wish him the best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MARCHAND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Michener v. Doris, [2003] B.C.J. No. 2301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22 - 25 and 28, June 30, July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2 - 4, 7, 9 and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S006696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2301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1541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1089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I. Michener, plaintiffs, and Dr. Peter J. Doris, Dr. Kai Fai Lai, Dr. John Doe, Surrey Memorial Hospital, Surrey Memorial Hospital Foundation, Nurse Jane Doe No. 1, Nurse Jane Doe No. 2, Nurse Jane Doe No. 3, Nurse Jane Doe No. 4 and Nurse Jane Doe No. 5,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4" w:name="Keywords_6"/>
      <w:bookmarkEnd w:id="44"/>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Causation — Standard of care — Surgical operations by doctors — Failure to diagnose an illness — Post-operative care — Defences, approved practice.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5" w:name="Case Summary_5"/>
            <w:bookmarkEnd w:id="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Michener against Doris for damages for damages for medical malpractice. Michener was diagnosed with ulcerative colitis in 1988. In 1997, he decided to undergo a pelvic pouch procedure. The first stage of the surgery was performed in January 1998. Doris performed the second stage of the surgery in 1999. Michener was discharged from hospital a week later, but returned on January 22. His small intestine perforated a few days later, resulting in extensive peritonitis and abscesses in his bowel. On January 26, Doris performed an emergency laparotomy that revealed the perforation and he treated the peritonitis. Michener was discharged, but returned two weeks later to have intra-abdominal abscesses drained. Almost five months later, in July 1999, Michener again returned to hospital with symptoms of pouchitis, and in September the pouch was removed. Michener was extremely ill for moths after the surgery. He continued to suffer from a neurogenic bladder and from fatigue and pain at the time of trial, and required further surgery. Michener alleged that Doris's medical treatment before and after the surgery fell below the standard of care required of a general surgeon, and that his prescription of Domperidone caused his bowel to perforate. Doris asserted that the perforation of Michener's bowel resulted from a natural process that occurred in one to three per cent of patients undergoing this type of surgery.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6" w:name="Holdings of Court_4"/>
            <w:bookmarkEnd w:id="4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delay between the first and second surgeries might have been inappropriate, but it did not have any bearing on the perforation and it was Michener's choice to wait so long between surgeries. Doris conducted appropriate pre-operative investigations and, based on the available data, it was reasonable to conclude that there were no signs of blockage and to discharge Michener after the second surgery. Between Michener's readmission and the emergency laparotomy, Doris took reasonable steps to determine whether or not an obstruction was present and it was reasonable for him to conclude that there was no complete bowel obstruction. Doris reasonably exercised his clinical judgment in delaying the laparotomy until January 26. Doris's administration of Domperidone was in accordance with the prevailing medical practice. The evidence did not establish that any of Doris's acts or omissions caused or contributed to the perforation of Michener's bowel.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7" w:name="Counsel_6"/>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9"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Douglas W. Lahay and Keri Grenier, for the plaintiff. James M. Lepp and Alison Bruneau, for the defendants, Dr. Doris and Dr. Lai.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8" w:name="Judgment_6"/>
      <w:bookmarkEnd w:id="48"/>
      <w:r>
        <w:pict>
          <v:line id="_x0000_s1060" style="position:absolute;z-index:2517678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9" w:name="ALLAN J."/>
            <w:bookmarkEnd w:id="49"/>
            <w:r>
              <w:rPr>
                <w:rFonts w:ascii="arial" w:eastAsia="arial" w:hAnsi="arial" w:cs="arial"/>
                <w:b/>
                <w:color w:val="000000"/>
                <w:sz w:val="30"/>
                <w:lang w:val="en-US" w:eastAsia="en-US" w:bidi="ar-SA"/>
              </w:rPr>
              <w:t>ALLAN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4809"/>
        <w:gridCol w:w="732"/>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nature of the plaintiff's claim</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732"/>
        <w:gridCol w:w="3764"/>
        <w:gridCol w:w="261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16-20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1987"/>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medical experts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21-27</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706"/>
        <w:gridCol w:w="627"/>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onus of proof on the plaintiff</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313"/>
        <w:gridCol w:w="4078"/>
        <w:gridCol w:w="1046"/>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the defendants owe a duty</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29-30</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care to the plaintiff?</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313"/>
        <w:gridCol w:w="4078"/>
        <w:gridCol w:w="1046"/>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the defendants, or either</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31-32</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them, breach their duty of</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care to the plaintiff?</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Doris perform the 33-39 Surgery without possessing the appropriate training and experience; should the Surgery have been done in a specialized centre rather than in the Hospital?</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Doris wait an 40-50 unreasonable period of time after the first procedure before performing the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3555"/>
        <w:gridCol w:w="941"/>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Dr. Doris fail to</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51-63</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perform the appropriate</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tests before the Surgery</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ensure that the</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pouch and lower ileum were</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working properly?</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Doris fail to manage 64-81 the plaintiff adequately after the Surgey and before his discharge on January 21, 1999?</w:t>
      </w:r>
    </w:p>
    <w:p>
      <w:pPr>
        <w:numPr>
          <w:numId w:val="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Doris fail to manage 82-105 the plaintiff adequately after his readmission to the Hospital on January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8"/>
        <w:gridCol w:w="522"/>
        <w:gridCol w:w="3137"/>
        <w:gridCol w:w="1046"/>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the defendants fail</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106-147</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diagnose and treat a</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complete small bowel</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obstruction at the</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material time?</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3"/>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148-152 negligent in failing to diagnose the perforation and resulting peritonitis in a timely fashion and provide appropriate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3764"/>
        <w:gridCol w:w="125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Was the administration of</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153-170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Domperidone contraindicated?</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relating to the 154-156 standard of care for a doctor prescribing a drug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27"/>
        <w:gridCol w:w="3033"/>
        <w:gridCol w:w="1359"/>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evidence relating</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157-163</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Domperidone</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732"/>
        <w:gridCol w:w="3032"/>
        <w:gridCol w:w="1359"/>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Does the CPS reflect</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164-170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standard of care</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this case?</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3660"/>
        <w:gridCol w:w="146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Conclusion re standard of</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171-172</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care</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314"/>
        <w:gridCol w:w="4392"/>
        <w:gridCol w:w="836"/>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the plaintiff suffer harm as</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173</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result of any breach by the</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defendants?</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8"/>
        <w:gridCol w:w="627"/>
        <w:gridCol w:w="3764"/>
        <w:gridCol w:w="1359"/>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law relating to</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174-193</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causation in medical cases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3660"/>
        <w:gridCol w:w="146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plaintiff's theory of</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194-197</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causation</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3660"/>
        <w:gridCol w:w="146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defendants' theory of</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198-211</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causation</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8"/>
        <w:gridCol w:w="627"/>
        <w:gridCol w:w="3555"/>
        <w:gridCol w:w="1568"/>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 re causation</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212-215</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973"/>
        <w:gridCol w:w="3137"/>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216</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Appendix "A" - Document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The nature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1988, when he was 32 years old, Mr. Michener was diagnosed with ulcerative colitis, a distressing condition resulting from inflammation of the large intestine or colon. His condition deteriorated over the years. He hoped to avoid the inevitable removal of his large intestine and a permanent colostomy, the standard treatment for that condition. In 1997, he learned of a "pelvic pouch procedure" or restorative procto-colectomy whereby a short portion of the large intestine is joined to the anus and the rest of the large intestine, up to the point that it meets the small intestine, is removed. There are three segments of the small intestine leading from the stomach to the large intestine: the duodenum, the jejunum and the ileum. The distal end of the ileum (distal means furthest from the mouth and proximal means closest to the mouth), is fashioned into a pouch in the shape of an "S" or a "J" and reconnected to the stump of the large intestine, resulting in an intact alimentary canal that permits evacuation through the anus.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procedure is done in two stages. In the first stage, the large intestine is removed, a pelvic pouch is created and joined to the anus, and a temporary loop ileostomy is performed to divert the fecal contents of the small intestine to empty into an artificial reservoir (or "bag") outside the body. During an ileostomy, an opening is made from the interior of the ileum to the external abdominal wall. The resulting surgical join in the bowel is known as an anastomosis.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second stage, after the pouch and anastomosis have healed, the ileostomy is "taken down" or closed. Specifically, the opening in the portion of the small intestine that had been directed outside the abdominal wall into the bag is closed; the loop is returned to the abdominal cavity; the incision in the abdominal wall is closed; and the pouch is activated so that the contents of the small intestine pass through the anus.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this case, the first stage of the surgery was performed on January 20, 1998. Dr. Tse, a colorectal surgeon, created the pouch and the defendant, Dr. Doris, a general surgeon, performed the ileostomy.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alleged with respect to this surgical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January 15, 1999, almost a year later, Dr. Doris alone performed the second stage of the surgery, closing the loop ileostomy and permitting the bowel contents to pass down to the pelvic pouch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Thursday, January 21, 1999, Dr. Doris discharged Mr. Michener from the Surrey Memorial Hospital (the "Hospital"). The following day, the plaintiff was readmitted to hospital. Subsequently, his small intestine perforated at the site of the ileostomy closure, resulting in extensive peritonitis (inflammation of the abdominal wall) and abscesses in his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conceded that the perforation likely occurred on Sunday, January 24, 1999, when Dr. Doris was not on call. The defendant, Dr. Lai, was the general surgeon in charge of the plaintiff at the Hospital during the weekend of January 23-24.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January 26, 1999, Dr. Doris noted that Mr. Michener was not improving and that his white blood cell count was elevated. He told Mr. Michener that they were "running out of options" and that he would have to operate. That evening, he performed an emergency laparotomy that revealed a perforation of the ileum at the site of the ileostomy closure and extensive peritonitis. The peritonitis was treated with a peritoneal lavage and intravenous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Michener was discharged from the Hospital on February 8, 1999. He returned to the Hospital on February 19, 1999 to have several intra-abdominal abscesses drained percutaneously (through the skin) on that day and on February 26, 1999. He remained in hospital until March 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Michener attended the Hospital again on July 26, 1999 with symptoms of pouchitis (an inflammation of the pouch and the lining of the small intestine), and on September 9, 1999, he was admitted to the Hospital where Dr. Tse removed his pouch. A CT scan had revealed that the pouch was fibrotic, atrophied and functionally useless. Since that time, Mr. Michener has had a permanent ileostomy. It is conceded that the pouch was removed for reasons unrelated to the post-operative complications of the Surgery. Dr. Orrom testified that the pouch probably failed because of ongoing pouchitis and because it was constructed in an "S" shape, which results in more problems than a pouch created in a "J"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Since the laparotomy, Mr. Michener has suffered from a neurogenic bladder, which, the defendants admit, was probably caused by nerve damage resulting from his post-operative complications. A neurogenic bladder is dysfunctional due to a malfunction of the autonomic nerves that control the bladder. Mr. Michener requires further surgery to facilitate a better adhesion between the stoma (the end of his small intestine that protrudes through the abdominal wall and meets with the flange attached to the ileostomy bag) and the flange to prevent fluids from leaking and becoming trapped between his abdomen and the flange. It is obvious that his problems with his stoma result from the three abdominal incisions made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Michener was extremely ill for months after the Surgery and complains that he still suffers fatigue and pain that prevent him from working more than a few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Michener also suffers from several other conditions and illnesses that the defendants assert are not causally related to the events of January 1999, including urinary and sexual dysfunction, chronic fatigue, insomnia, and loss of self-esteem. Some of these were pre-existing problems, and others arose after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Michener alleges that the defendants' medical treatment of him before and after the Surgery fell below the standard of care required of a general surgeon and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particularly Dr. Doris' prescription of a drug known as Domperidone, caused his bowel to perforate. The plaintiff has resolved his claims against the remaining defendants: the Hospital and the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None of the expert witnesses, including the plaintiff's expert, Dr. Cleator, were asked to comment on Dr. Lai's treatment of Mr. Michener. The plaintiff's pleadings and written submissions do not particularize Dr. Lai's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may be inferred from the evidence that the particulars of Dr. Lai's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that he failed to ascertain the seriousness of Mr. Michener's medical condition over the weekend that he was on duty, and that he failed to monitor the plaintiff's condition and discontinue the Domperidone in the face of evidence of a small bowel obstruction. Mr. Lahay concedes that if Dr. Doris is not negligent, neither is Dr. 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deny that their conduct fell below the requisite standard of care. They assert that the perforation of the plaintiff's bowel resulted from a natural process that occurs in 1-3% of patients undergoing this type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Doris obtained his medical degree at Queen's University in 1968, where he also did his residency in general surgery. He became a fellow of the Royal College of Surgeons in 1972. Between 1971 and 1973, in Winnipeg, he undertook a Master of Science degree in gastrointestinal physiology and conducted research on the functioning of the small bowel. During his second year in Winnipeg, he was on staff at the Winnipeg General Hospital in the gastrointestinal surgical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1973, Dr. Doris lectured in surgery at the Royal Infirmary in the University of Sheffield in England. He also worked in that hospital, doing clinical work and research in the area of the small bowel. He then returned to Kingston, Ontario, where he started a general surgery practice and took a position with the Faculty of Medicine at Queen's University. In 1980, he became head of the division of general surgery there. He also taught gastrointestinal physiology; that is, the functioning of the gastrointestinal 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1987, Dr. Doris moved to British Columbia to practice general surgery at the Hospital. He became head of the department of surgery in 1993. Approximately three-quarters of his surgical practice relates to gastrointestinal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Lai received his medical training at the University of Taiwan between 1955 and 1962. From 1962 to 1968, he did post-graduate training in internal medicine, pathology and general surgery in the United States and at the Royal Columbian Hospital and St. Paul's Hospital in B.C. Between 1968 and 1972, he practiced medicine in Hong Kong and Ocean Falls, B.C. He became a member of the Royal College of Surgeons in Canada in 1972 and has practiced at the Hospital as a general surgeon since then. In 1989, he became chair of the division of general surgery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The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number of distinguished doctors gave expert evidence at trial on these issues: Dr. Iain Cleator for the plaintiff, and Drs. Peter Blair, William Orrom and Hugh Freeman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Iain Cleator was qualified to give opinion evidence in the field of gastrointestinal surgery. He obtained his medical degree from Edinburgh University in 1962 and completed two residencies in Scotland, in general surgery and gastrointestinal surgery. He is a Fellow of the Royal College of Surgeons of Edinburgh, London and Canada. He has been an assistant professor of medicine at the University of British Columbia ("UBC") since 1972 and a full professor since 1988. He headed the gastrointestinal clinic at St. Paul's Hospital in Vancouver from 1974 to 2002. He has authored numerous publications in the area of gastrointestinal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Cleator has never created an ileoanal pouch or closed an ileostomy following the creation of such a pouch. He has closed between 40 and 50 ileostomies without a pouch.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Blair was qualified as a general surgeon with expertise in issues relating to the creation and "take down", or closure, of ileostomies, including management of take down complications. He received his medical degree from Queen's University in 1975, trained in general surgery at the University of Toronto, and became a Fellow of the Royal College of Surgeons in 1980. He underwent further training in surgery in Scotland, and became a fellow of the Royal College of Surgeons of Edinburgh in 1982. Between 1982 and 1988, he practised as a surgeon in Guelph, Ontario. He then moved to B.C. and practised as a general surgeon in several Lower Mainland hospitals. In 1995, he became a Fellow of the American College of Surgeons. In 1998, he became a professor in the department of surgery at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Blair has created and taken down hundreds of ileostomies and treated complications arising from their take down. However, he has never created an ileoanal pouch or taken down an ileostomy associated with pouch creation.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Orrom was qualified as a general surgeon and colorectal surgeon with special expertise in the diseases and treatment of the gastrointestinal tract, including ileoanal pouches and ileostomies. He has practiced in that field in Victoria since July 1, 1990 and has created about 150 to 200 ileoanal pouches.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Freeman was qualified as a gastroenterologist qualified to speak to the diagnosis and treatment of gastrointestinal diseases. He obtained his medical degree from McGill University in 1972 and obtained his fellowship in internal medicine and gastroenterology from the Royal College of Physicians in 1976. He has been associated with UBC since 1979 and became head of the gastroenterology division of the department of medicine in 1981. Since 1986, he has been a full professor of gastrointestinal medicine. His clinical practice comprises 75%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The onus of proof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order to succeed in this action, the plaintiff must prove, on a balance of probabilities, that: (1) the defendants owed him a duty of care, (2) they breached that duty of care, and (3) the breach caused injury to him.</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owe a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Mr. Justice Rand set out the duty owed by a physician to his or her patient in Wilson v. Swanson, </w:t>
      </w:r>
      <w:hyperlink r:id="rId132"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5 D.L.R. (2d) 113</w:t>
        </w:r>
      </w:hyperlink>
      <w:r>
        <w:rPr>
          <w:rFonts w:ascii="arial" w:eastAsia="arial" w:hAnsi="arial" w:cs="arial"/>
          <w:color w:val="000000"/>
          <w:sz w:val="20"/>
          <w:lang w:val="en-US" w:eastAsia="en-US" w:bidi="ar-SA"/>
        </w:rPr>
        <w:t>, at 811-2: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surgeon by his ordinary engagement undertakes with the patient is that he possesses the skill, knowledge and judgment of the generality or average of the special group or class of technicians to which he belongs and will faithfully exercise them. In a given situation some may differ from others in that exercise, depending on the significance they attribute to the different factors in the light of their own experience. The dynamics of the human body of each individual are themselves individual and there are lines of doubt and uncertainty at which a clear course of action may be precluded.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here only the question of judgment; what of that? The test can be no more than this: Was the decision the result of the exercise of the surgical intelligence professed? Or was what was done such that, disregarding it may be the exceptional case or individual, in all the circumstances, at least the preponderant opinion of the group would have been against it? If a substantial opinion confirms it, there is no breach or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no question that Dr. Doris and Dr. Lai owed the plaintiff a duty of care to provide medical treatment consistent with that of reasonable physicians and surgeons with their degree of expertise in similar circumstances.</w:t>
      </w:r>
      <w:r>
        <w:rPr>
          <w:rFonts w:ascii="arial" w:eastAsia="arial" w:hAnsi="arial" w:cs="arial"/>
          <w:sz w:val="20"/>
          <w:lang w:val="en-US" w:eastAsia="en-US" w:bidi="ar-SA"/>
        </w:rPr>
        <w:cr/>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either of them, breach their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asserts that Dr. Doris' treatment fell below the requisite standard of care of a general surgeon in several respects: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performed the Surgery without possessing the appropriate training and experience; and he performed the Surgery in the Hospital, rather than in a specialized centre;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waited an unreasonable period of time after the first procedure before performing the Surgery;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failed to perform the appropriate tests before the Surgery to ensure that the pouch and lower ileum were working properly;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failed to manage the plaintiff adequately after the Surgery and before his discharge from the Hospital on January 21, 1999;</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failed to manage the plaintiff adequately after his readmission to the Hospital on January 22, 1999;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prescribed an anti-emetic, Domperidone, that is contraindicated for small bowel obstructions.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will deal with these issues in the same order as I have identified them.</w:t>
      </w:r>
      <w:r>
        <w:rPr>
          <w:rFonts w:ascii="arial" w:eastAsia="arial" w:hAnsi="arial" w:cs="arial"/>
          <w:sz w:val="20"/>
          <w:lang w:val="en-US" w:eastAsia="en-US" w:bidi="ar-SA"/>
        </w:rPr>
        <w:cr/>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Doris perform the Surgery without possessing the appropriate training and experience; should the Surgery have been done in a specialized centre rather than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Cleator believed that Mr. Michener's ileostomy should have been closed at a tertiary care centre. He testified that colorectal surgery is generally done by a few surgeons who specialize in that area and that it would have been prudent for Dr. Doris to send the plaintiff to a specialist for the Surgery. He said that there are centres in B.C. with teams of surgeons and internists who specialize in the creation of ileoanal pouches.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Neither Dr. Doris nor Dr. Lai has formal training in colorectal surgery. Dr. Tse was hired by the Hospital to fill a general surgery vacancy because of his background in colorectal surgery. Dr. Doris said that the Hospital decided that both Dr. Tse and Dr. Doris would retain familiarity with such procedures as creating pelvic pouches. Mr. Michener admitted that he could have chosen either Dr. Doris or Dr. Tse to do the Surgery, and that he chose Dr. Doris because he was head of the surgery department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Doris testified that he has created pouches in the past and could have created the plaintiff's pouch himself. Prior to January 1998, Dr. Doris had created between fifteen and twenty pouches in Kingston, and three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 to Dr. Doris, closing an ileostomy in a patient with a pelvic pouch is no different than closing one in the absence of a pouch. The take down is merely a reversal of the steps taken to create the ileostomy. Dr. Doris has created thousands of ileostomies, both temporary and permanent. He has also taken down a similarly large number of ileostomies, including those where a pelvic pouch is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Doris testified that colorectal surgery is a recognized sub-specialty in the United States, but not in Canada. Here, colorectal surgery is part of the overall training requirements of general surgeons and forms part of the examination material for the Royal College of Surgeons. One institution in Toronto is accredited in respect of colorectal surgery in order that residents from the United States can carry out part of their training in Toronto. Dr. Orrom, who is qualified as a colorectal surgeon, agreed with Dr. Doris' evidence on that point. He also agreed that any general surgeon can close an ileostomy in a hospital equipped for routine procedures. Although Dr. Orrom works at a tertiary hospital in Victoria, other surgeons outside of Victoria often close the ileostomies of his patients who reside out of 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Cleator agreed that he had a bit of a tertiary care bias, having spent virtually his entire career at St. Paul's Hospital. In fact, Dr. Doris described the Hospital as a tertiary centre, with more surgeries performed there than at St. Paul's. Dr. Cleator conceded that ileostomies are regularly closed in centres similar to the Hospital and that most post-operative bowel obstructions are seen in community emergency departments.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Dr. Doris was qualified to do the Surgery and that the Hospital was an appropriate centre in which to perform it.</w:t>
      </w:r>
      <w:r>
        <w:rPr>
          <w:rFonts w:ascii="arial" w:eastAsia="arial" w:hAnsi="arial" w:cs="arial"/>
          <w:sz w:val="20"/>
          <w:lang w:val="en-US" w:eastAsia="en-US" w:bidi="ar-SA"/>
        </w:rPr>
        <w:cr/>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Doris wait an unreasonable period of time after the first procedure before performing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Michener testified that when he decided to have the pelvic pouch created, he did not recall any discussion with his doctors as to when the second stage of the surgery would be performed. He assumed that it would be done in the summer of 1998. In April 1998, he raised the issue with Dr. Doris because he was considering a new job and wanted to delay the surgery. He said that Dr. Doris told him that waiting up to a year would not be a problem. Mr. Michener delayed the closure procedure a second time in the summer of 1998 because his partner, Ms. Finn, had been offered a position in Guelph, Ontario and he was considering a move there. However, she subsequently decided not to take that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conclude that it was Mr. Michener, rather than Dr. Doris, who chose to wait a year before undergoing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Cleator quoted from S. Schwartz et al., Principles of Surgery (New York: McGraw-Hill, 1999), a textbook on surgery that he described as the "bible of the surgeon":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2 or 3 months (following ileoanal pouch) the integrity of the pouch, anastomosis and sphincter mechanism is evaluated; if all is well, the ileostomy is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medical witnesses agreed that it is necessary to wait two or three months in order to allow sufficient healing from the first operation and confirmed that ileostomies are generally closed at that time. However, Drs. Blair and Orrom noted that ileostomies are usually closed then because the patient is eager to complete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Dr. Cleator's opinion, a stricture (a short or long narrowing of the small intestine) was "quite a possibility after a year of disuse". Dr. Orrom disagreed that strictures would develop during that period. He agreed that the bowel might get a little smaller but said that as soon as bowel contents went through it, it would dilate to its normal calibre.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Orrom testified that the timing of loop ileosotomy closure following "ileal pouch anal anastomosis (IPAA)" is not clearly set out in the surgical literature. He was not aware of any literature that suggested that delayed ileostomy closure substantially affects "the postoperative results of ileal pouch and anastomosis". In his opinion, there were many factors that could affect the timing of the closure procedure: post-operative complications, the general medical condition of the patient, operating room availability and, especially, patient preferences.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Lahay suggested two explanations as to why there is no such reference in the literature: (1) surgeons rarely delay the second stage that long, because it is simply inappropriate, and (2) even if a surgeon waited a year, he or she would carry out appropriate tests to identify and rectify any complications before undertaking the 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Dr. Blair's opinion, there was nothing inappropriate about the timing of the Surgery in this case. The pouch training conducted by Dr. Doris demonstrated that Mr. Michener's pouch was functional at the time of the Surgery. He could retain at least 250 mL of saline for ten minutes or more. Moreover, the Hypaque films taken by Dr. Sisler ten days later showed that the pouch was of normal size and configuration.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his examination for discovery in July 2002, Dr. Doris agreed there were increased risks associated with a delay beyond three to six months. At trial, he testified that, based on more recent studies, it was unclear whether such a risk exists. Dr. Orrom, who was referred to Dr. Doris' discovery evidence on that point, flatly disagreed that there were any increased risks from a delay of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Lepp points out that while Dr. Cleator considered a year's delay in closing the ileostomy to be inappropriate, he did not suggest that the delay had any bearing on the perforation at the site of the anastomosis.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conclude that Dr. Doris did not breach the appropriate standard of care by waiting a year before performing the Surgery.</w:t>
      </w:r>
      <w:r>
        <w:rPr>
          <w:rFonts w:ascii="arial" w:eastAsia="arial" w:hAnsi="arial" w:cs="arial"/>
          <w:sz w:val="20"/>
          <w:lang w:val="en-US" w:eastAsia="en-US" w:bidi="ar-SA"/>
        </w:rPr>
        <w:cr/>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Doris fail to perform the appropriate tests before the Surgery to ensure that the pouch and lower ileum were working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Starting in the summer of 1998, approximately six months after the initial surgery, Dr. Doris began a pouch training programme to determine the integrity of Mr. Michener's pouch. Those tests consisted of inserting saline solution into Mr. Michener's rectal canal and having him hold it there for several minutes before discharging it. Shortly before the Surgery, Mr. Michener told Dr. Doris that he was satisfied that he had the necessary capacity, continence and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Doris also performed a number of digital examinations of the plaintiff's anal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Dr. Cleator's opinion, Dr. Doris failed to perform the appropriate tests that would have detected any blockages or strictures in the plaintiff's small bowel resulting from the "inappropriate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Cleator testified that while the loop ileostomy closure procedure is simple, the "workup" or pre-closure investigation is not. He understood that the only pre-operative investigation carried out by Dr. Doris was a digital examination which, because it would not investigate Mr. Michener's small intestine past the length of Dr. Doris' finger, was inadequate to look for the type of problems that might be present, including an obstruction. In his opinion, that examination did not fit the requirements of good practice and additional testing should have been done to assess the integrity of the pouch, the anastomosis and the sphincter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Only on the day that he testified did Dr. Cleator learn of the pouch training carried out by Dr. Doris to determine the functional ability of the pouch. He agreed that the pouch training was a practical, albeit "old-fashioned", method of demonstrating that the patient can retain fluid and hold it and that the sphincter muscle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Cleator testified that Dr. Doris should also have employed an endoscope to look for residual colonic mucosa (which caused the original ulcerative colitis) left behind when the colon was removed. An endoscopy would also have identified the presence of pouchitis. He believed that pouchitis, which is not uncommon in patients who have suffered from ulcerative colitis, could create a malfunction of the pouch.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Cleator suggested that Dr. Doris should also have conducted fluoroscopy studies, ultrasound, and motility and pressure studies to determine whether the sphincter was functional and whether the pouch emptied.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cross-examination, it became evident that Dr. Cleator did not know what pre-operative tests were conducted at St. Paul's Hospital. When Mr. Lepp suggested that the only pre-closure procedure routinely used at St. Paul's is the pouchogram (an X-ray procedure with dye), Dr. Cleator replied that he assumed that more would be done but admitted that he did not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While he was in the Hospital, Mr. Michener received some pamphlets regarding ileostomies from an enterostomal nurse. They described a number of tests that may be done before an ileostomy was closed. One article on Ileoanal Reservoir Management refers to a pouchogram as a standard investigation before closure. Mr. Michener said that Dr. Doris did not discuss any of those tests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While Dr. Doris was not familiar with that material, the defendants did not disagree that it was in the Hospital and available for the information of patients. However, as Mr. Lepp points out, those materials of unknown authorship are not peer-reviewed and cannot be elevated to the level of the expert evidence introduced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Orrom, who performs this type of surgery, routinely utilizes a pouchogram before closure, although he testified that use of a pouchogram is a matter of personal preference among surgeons. He described recent research that demonstrates pouchograms are not reliable tests, because the number of false positives equals the number of false negatives. He testified that most of his colleagues do not perform a pouchogram or an endoscopy and that, in the majority of cases, a digital examination is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also faults Dr. Doris for being unaware that Mr. Michener was apparently suffering from pouchitis at the time of the Surgery. In the interval between the creation of the ileostomy and its closure, Mr. Michener had several episodes of pouchitis, for which Dr. Crossley, his family doctor, had prescribed Flagyl. On January 13, 1999, two days before the Surgery, Dr. Crossley noted, on a pre-operative assessment form, that Mr. Michener was still taking Flagyl. However, Dr. Orrom testified that pouchitis would not be a contraindication to surgery. In fact, closure of the ileostomy could improve the symptoms of pouchitis because processing the normal intestinal contents would improve the condition of the bowel. Neither did he consider the fact the plaintiff had a watery discharge before the Surgery to be a cause for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conclude that Dr. Doris was not negligent in failing to conduct additional pre-operative investigations.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Doris fail to manage the plaintiff adequately after the Surgery and before his discharge on January 21,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Blair testified that following an ileostomy closure, up to 20% of patients have complications, including wound infections, small bowel obstructions and leakage (or perforation) from the site of the closure of the ileostomy. The precise meaning of the term "small bowel obstruction" is elusive. It may refer to either a partial or a complete obstruction and to either a mechanical or a functional obstruction (an ileus). Dr. Orrom testified that a mechanical obstruction can be a stricture or an adhesion on the exterior surface of the bowel. The most common cause of post-operative bowel obstructions is fibrin that develops into a strand and tightly occludes the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Lahay suggests that because a small bowel obstruction is a common and potentially fatal complication of this type of surgery, Dr. Doris was negligent in failing to ascertain that the plaintiff was passing gas and stool. He submits that Mr. Michener's failure to pass stool should have indicated the real possibility of an obstruction and Dr. Doris ignored those obvious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common ground that material that is defecated may originate either from digested food or secretions from the intestinal tract. Even with a complete blockage, material secreted into the bowel below the blockage may still be passed rectally. In this case, Dr. Cleator suggested that the plaintiff's "bowel movements" could have been spurious diarrhoea produced by the lining distal to the small bowel obstruction in the pouch: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some cases of obstruction the hypersecretion can also occur below the level of the obstruction so that a sort of funny-coloured mucousy fluid can come out per rectum which is actually secreted by the bowel below the level of the obstruction. The characteristic of it is that there is no gas in that bowel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Michener testified that for the first few days after the Surgery, he felt fine, but then problems arose: he vomited daily, had episodic abdominal pain, and felt weak. He became concerned that he was not passing any gas and said he passed only a couple of discharge-type bowel movements in the six days he was in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When Mr. Michener was in the Hospital the previous year, he had been asked to keep a "Stool Chart" detailing the time, amount, consistency and volume of each movement, and any symptoms he experienced. He testified that after the Surgery, he was not asked to keep a stool chart. However, he did diarize his bowel movements between January 16 and 18, and then again both after his discharge from the Hospital and his readmission.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Lahay submits that, to the extent that Mr. Michener passed any material rectally, the documented occasions are few. Mr. Michener described that fecal material as a "discharge" rather than stool. I agree with the defendants that the Hospital's records between January 15 and 21 refute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Hospital records indicate that Mr. Michener vomited on January 15, 16, 17 and 20. He diarized the fact that he also vomited on January 18, although that is not charted in the Hospital records. He was given Maxeran for nausea. As morphine nauseated him, he was given Demerol and Tylenol #3 for pain. In the evening of January 20, Mr. Michener reported a lot of pain, describing it as 8 out of 10 on a pain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His abdomen was generally noted as being soft, and bowel sounds were generally present except on the afternoon of January 17, when the nurses noted that Mr. Michener's abdomen was flat and he had no bowel sounds. However, that night, his abdomen was again noted as soft and bowel sounds were audible. On January 19 and 20, he complained of "gas pains."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Michener's temperature was 38 [degrees] C on January 17 but had dropped to 37 [degrees] C by January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first charted reference to a bowel movement was on January 18. A second bowel movement that day was described as "greenish mucousy stool". The nurses noted three bowel movements on January 19, two bowel movements on January 20, and at least one on January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Michener diarized the fact that he discharged mucous or liquid rectally on January 16, 17 and 18. He did not apparently chart his symptoms again until January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were several references in the records to the fact that Mr. Michener had passed no flatus. Mr. Michener testified that he did not recall passing any gas before he was discharged from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Orrom testified that Mr. Michener's failure to pass gas would not be a concern because it is common for a patient with a pouch not to pass flatus. Gas arises from the metabolism of gas-forming organisms that live in the colon and, because Mr. Michener's colon had been removed, one would not expect him to pass flatus. In his case, the only source of gas would be swallowed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Doris testified that the reference to the "green mucousy stool" recorded on January 18, 1999 was significant. The green colour comes from the bile which would be proximal to, or higher than, the location of any obstruction in the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Lahay also submitted that it was inappropriate for Dr. Doris to send Mr. Michener home on January 21, 1999. Dr. Blair disagreed for the following reasons: Mr. Michener's low grade temperature was not of concern, his white blood cell count was normal, his nausea was effectively controlled by Maxeran, he tolerated full fluids, and he had passed stool per rectum. Although he had vomited shortly before his discharge, there were no other signs or symptoms to warrant his continued stay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Michener was discharged from the Hospital on Thursday, January 21 at 12:50 p.m. Earlier that day, he had told Dr. Doris that he had had a bowel movement, he had "control", he was eating and he wanted to go home. Dr. Doris examined him and determined that it was appropriate to discharge him. Dr. Doris testified that while the plaintiff had a "slower than average" post-operative course, post-operative nausea and vomiting occurs in 30-40% of patients who have undergone gastrointestinal surgery. Dr. Doris was satisfied there was no evidence of any bowel obstruction when he discharged Mr. Michener. The plaintiff testified that although he was concerned that he had not passed any flatus or actual stool, he did not discuss the matter with Dr. Doris, whom he described as authoritarian, brusque and uncommunicative.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Orrom agreed with Dr. Blair for similar reasons. In his view, it would have been inappropriate to keep Mr. Michener in hospital on the "off chance" that his nausea and vomiting might recur.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Lahay submits that the opinions of Drs. Orrom and Blair are based on an incorrect assumption that Mr. Michener was passing stool post-operatively and that his bowel was functioning normally. However, in my view, it was reasonable for Dr. Doris to conclude that Mr. Michener had passed stool and that there were no signs of blockage, and to discharge him. He had the documentary evidence of Mr. Michener's bowel movements and the plaintiff's own assertion that he had passed stool.</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Doris fail to manage the plaintiff adequately after his readmission to the Hospital on January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After he returned home on January 21, Mr. Michener passed a troubled night. He said he experienced a lot of pain and his temperature was rising. He diarized rectal discharges at 10:00 p.m., 11:10 p.m. and 12:35 a.m. The next morning, he vomited his breakfast, he was still unable to pass gas and he had acute abdominal pain. He attended Dr. Crossley who prescribed Demerol for his pain and Gravol, an anti-emetic, for his nausea, and sent him to the emergency department of the Hospital for X-rays and intravenous fluids. He advised the nurses that he had only had two bowel movements since the Surgery. The Demerol made his pain manageable but the Gravol did not help his nausea.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the Hospital, Dr. Coppola, a radiologist, took X-ray films of Mr. Michener's abdomen. She left for the day before writing her report. She subsequently prepared her report on Sunday, January 24,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Doris examined the plaintiff in the emergency department on January 22 and reviewed Dr. Coppola's X-rays. The presence of gas shown in the lower bowel indicated to him that there was not a complete bowel obstruction. On examination, Mr. Michener's abdomen was still soft, only slightly distended, and without guarding or rigidity, indicating no evidence of peritoneal irritation or peritonitis. Dr. Doris admitted Mr. Michener into the Hospital for observation. On the basis of the X-rays, his physical examination and Mr. Michener's history, Dr. Doris' diagnostic impression was that the plaintiff was suffering from a partial small bowel obstruction. Often, such an obstruction occurs post-operatively when the small bowel has stopped functioning (a generalized ileus) or a portion of it has stopped working (a localized ileus) and become dilated. Surgery is not an option for treatment of an ileus.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Cleator testified that the appropriate treatment for a small bowel obstruction would be to prepare the patient for surgery with a nasogastric tube to "relieve the amount of fluid load hammering against the blind exit", to administer intravenous fluids, and then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this case, Dr. Doris made a note that the plaintiff had "decreased output per rectum, increased abd. pain, low grade temp, abd soft, slight distention". He prescribed Domperidone every few hours. Mr. Michener testified that, after taking the Domperidone, he "immediately" began to experience severe abdominal pain, nausea and fever and complained of those symptoms to hospital staff. He said that at some point that weekend, he refused to take the Domperidone because the thought of swallowing the pills was "too much" but he later took the pills again. He told the nurses that he had passed a large amount of green/brown discharge rectally on January 22 at approximately 6:30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hospital records for January 23, 1999 indicate that Mr. Michener passed stool at 1:30 a.m., 4:00 a.m. and 6:30 a.m., and discharge at various times. The stool is variously described as "watery brown", "liquid yellowish", "loose" and "diarrhea". Mr. Michener did not recall passing stool. He said that he got up a number of times in the night and on some occasions, passed some discharge. He felt that if he had passed a significant amount of stool, he would have remembered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Early on January 23, Mr. Michener complained of severe abdominal pain and pressure. His abdomen was described as soft with bowel sounds present, but later in the day, the nurse noted that it was slightly firm with bowel sounds faint and, still later, that it was slightly distended with no bowel sounds present. At 10:50 a.m., Dr. Crossley came in to see Mr. Michener and prescribed Demerol for the pain. Dr. Crossley noted that Mr. Michener had told him he was more comfortable and passing stool. The clinical records indicate that Mr. Michener reported sharp abdominal pain or cramps throughout the day, especially just before bowel movements, and that he was medicated with larger doses of Demerol. No flatus was passed. His temperature was 38C.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6:00 a.m., on January 24, the plaintiff reported that his abdominal discomfort was much improved and that he was able to pass some gas. He reported frequent yellowish discharge. His abdomen remained slightly distended but soft with faint bowel sounds.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However, Mr. Michener's condition deteriorated that day. He described January 24 as "a day from hell" in which he suffered excruciating agony. He was wracked with pain, despite the Demerol. The defendants agree that Demerol, a powerful narcotic, would mask much of the plaintiff's pain and make him feel better. Nursing notes describe him as "weepy in bed. Pt rolling around c/o severe and pain, very tense."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Michener testified that the nurses advised him that the cause of his severe pain was his inability to pass intestinal gas through his bowel and instructed him to walk around the Hospital to help him pass gas. The clinical records confirm that Mr. Michener was "up and about", that he had increased discomfort due to "gas pains", and that he was "encouraged to increase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When Ms. Finn came to visit him, she was appalled by his condition. He was hanging on to the bed and the table, in terrible pain. She helped him to the bathroom, where he passed a bit of discharge. When he returned to bed, he vomited and passed discharge rectally. She asked the nurse to take his temperature and call a doctor. She questioned why he was not on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Lai was on call at the Hospital on the weekend of January 23-24, 1999; Dr. Doris was not. Dr. Lai had no specific memory of seeing Mr. Michener on Saturday but recalled examining him on Sunday. According to the hospital chart, some time after the nurses noticed the plaintiff's temperature had spiked to 39 [degrees] C at 1:05 p.m., Dr. Lai was called. He gave telephone orders to the nurses, at 2:40 p.m., to draw blood for blood cultures and start a course of broad-spectrum antibiotics. Shortly thereafter, he attended, reviewed the chart and examined Mr. Michener.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the basis of Mr. Michener's elevated temperature and other symptoms, Dr. Lai believed that the plaintiff was suffering from a post-operative infection, either from the wound or some intra-operative contaminated fluids. Dr. Lai did not consider that to be an unusual post-operative finding and said that surgery would not be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Lai examined Mr. Michener's abdomen and found no evidence of peritoneal irritation or peritonitis. He read that morning's nursing notes of 6:00 a.m., which documented the plaintiff's improvement. As a result, Dr. Lai concluded that although he could not rule out a small "focus" infection somewhere, there was no evidence of a significant or severe generalized infection or peritonitis. He found no evidence of a complete bowel obstruction. Mr. Michener's abdomen was not significantly distended, he was taking clear fluids without much evidence of vomiting, and he was able to pass flatus and bowel contents. However, on his examination for discovery, Dr. Lai had agreed that a small bowel obstruction was a very likely diagnosis on the basis of the plaintiff's condition when he was readmitted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Lai did not consider terminating the Domperidone. He was familiar with the caution in the medical literature that there is a risk of perforation if Domperidone is administered where a mechanical bowel obstruction is present. However, he testified that the small bowel is a very long tube and that the risk of perforation would depend on whether the obstruction was proximal or distal. Dr. Lai stated that he would not be concerned if it was a distal obstruction.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At 7:00 p.m., Mr. Michener reported that he was passing gas. He complained of severe abdominal pain, causing him to roll around in the bed. His bowel sounds were good. His temperature was elevated at 39 [degrees] C. At 10:00 p.m., he complained of increased abdominal discomfort due to "gas pains".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At trial, Mr. Michener testified that he experienced the most extreme pain at about 5:00 p.m. that day, and that he believed he only passed gas after his bowel had actually ruptured and burst.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Lahay submits that it is clear, on the evidence of Mr. Michener and Ms. Finn, that Mr. Michener's bowel ruptured on January 24 along the anastomatic line made during the Surgery. Although a Hypaque test taken the following day did not show evidence of peritonitis, Dr. Doris agreed that the perforation likely occurred on January 24. He adopted the following evidence that he had given on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[the perforation] occur?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I become aware of it? When I operated on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it occur?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it's conjectural. You could postulate that it occurred very early after the closure, but certainly his symptoms and sudden deterioration dramatically increased on Sunday.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your best estimate of when it occurred on Sunday?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on Sunday that's when there was evidence of peritonitis and there was certainly extravasation of some air to the focus on the Sunday, so something happened on the Sunday. But it may have been a sealed-off perforation prior to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Sunday was the 24th;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so. [emphasis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When cross-examined on that point, he stated that, in retrospect, the symptoms were consistent with peritonitis. The "extravasation" referred to an escape of body fluid, in this case, the contents of the small intestine, through a break in the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Michener said that his condition deteriorated rapidly on the following day, January 25, and he knew he was "in real trouble." Although the nurses told him that he needed to walk in order to pass gas, he could barely walk on his own. The nurses charted the fact that Mr. Michener's pain had increased, that his abdomen was distended and fairly firm and that his temperature remained elevated. His white blood cell count had risen from 8,900 on January 22 and 8,800 on January 23 to 18,000 on January 25 (the normal range is 4,000 -11,000, measured in cells per microlitre).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Doris examined him on January 25 and charted his condition as "obstructed", with diffuse tenderness and no peritoneal symptoms. He ordered a rectal drain. The clinical records note that a Foley catheter was inserted at 9:30 a.m., 4:00 p.m., and 7:00 p.m., and describe the returns as "green", "amber" and "green 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Doris also ordered a Hypaque enema, which Dr. Sisler performed on January 25. After examining those films, Dr. Doris noted: "no obstruction" and "?pouchitis". He discontinued the Domperidone on January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January 26, Mr. Michener's abdomen remained slightly firm and distended and no bowel sounds were heard. He complained of abdominal pain. His temperature was 38.4 C. He was given another rectal drain and analgesics. Dr. Crossley made a note of "probable peritonitis secondary to leak site". In light of the fact that the plaintiff's condition was not improving and his white blood cell count had risen to 29,000, Dr. Doris decided to perform an emergency laparotomy that evening. The laparotomy revealed a perforation of the ileum at the site of the ileostomy closure, and extensive peritonitis.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Assuming, as I do, that the plaintiff's bowel perforated on January 24, two issues relating to the requisite standard of care arise: (1) whether the defendants failed to diagnose and treat a small bowel obstruction, and (2) whether the defendants were negligent in failing to diagnose the perforation and resulting peritonitis and provide appropriate treatment in a timely fashion. The resolution of these questions must take into account the fact that, at the material time, the defendants did not have the present benefit of hindsight. In my view, the material time was from the time Mr. Michener was readmitted to the Hospital on January 22 until the point that the obstruction, perforation and peritonitis were discovered during the laparotomy on January 26.</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diagnose and treat a complete small bowel obstruction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At trial, Dr. Doris was adamant that, when he performed the laparotomy on January 26, he did not observe any bowel obstruction. The documentary evidence refutes that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Before operating, Dr. Doris' pre-operative diagnosis had been "bowel obstruction perforation" and his progress note following the operation indicated "diffuse peritonitis. Ileal perforation. Obstruction". At trial, Dr. Doris insisted that his progress note was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his operation report, Dr. Doris also recorded his post-operative diagnosis as "bowel obstruction ileal perforation". Under the heading "findings",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Diffuse peritonitis secondary to a perforation of the ileum probably at the site of recent ileostomy closure. The small intestine was grossly distended in keeping with the preoperative investigations suggesting a bowel obstruction.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Notwithstanding the clear and unequivocal wording of his post-operative report and its consistency with his progress note, Dr. Doris insisted that he did not intend to convey the fact there was an obstruction in his operation report.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that was certainly not my intent. The thought that I'm trying to get across there is that we thought that the small intestine was distended pre-operatively and were wondering about an obstruction. And we confirmed the distension intraoperatively. I did not mean to imply here that there was an obstruction. There was no obstruction.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am unable to accept that evidence. Dr. Doris presented as a careful and meticulous witness, insistent on semantic perfection during his cross-examination, both at his examination for discovery and at trial. For example, he gave the following evidence at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know that eventually Mr. Michener's bowel ruptured?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Ruptured is a mechanistic interpretation. There was a perforation of the bowel.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Doris demonstrated throughout his evidence how carefully he chose his words. Mr. Lahay accurately described him as a witness who debated the meaning of the word "hole":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pathology report shows a 1-centimetre hole in the part of the intestine that you resected?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pathology reports says a 1-centimetre transmural perforation 2 centimeters from one margin.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Which means a 1-centimetre hole?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hole -- yeah, the reason I hesitate a little bit is a hole sometimes to people means a circle. And the perforation may have a 1-centimetre distance in length but we don't know about the other axis. I mean, it could be more elliptical in shape rather than circular.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an opening of 1 centimetre?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it's maximum dimension is 1 centimetre.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opinion, it is virtually inconceivable that Dr. Doris would have erroneously recorded the existence of an obstruction that was not present. Dr. Doris' reports are objective, consistent and indisputable. He suspected an obstruction and perforation. The reports confirm that during the laparotomy, Dr. Doris observed the obstruction, the perforation, and diffuse peritonitis.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report of Dr. Lee, the anaesthetist, also indicates that there was "a small bowel obstruction and perforated bowel with peritonitis". Dr. Lee was not called as a witness. Dr. Doris testified that Dr. Lee was wrong and suggested that he may have been relying on the pre-operative diagnosis, which focused on the question of whether there was an obstruction.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Document Agreement</w:t>
      </w:r>
      <w:bookmarkStart w:id="50"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50"/>
      <w:r>
        <w:rPr>
          <w:rFonts w:ascii="arial" w:eastAsia="arial" w:hAnsi="arial" w:cs="arial"/>
          <w:color w:val="000000"/>
          <w:sz w:val="20"/>
          <w:lang w:val="en-US" w:eastAsia="en-US" w:bidi="ar-SA"/>
        </w:rPr>
        <w:t xml:space="preserve"> entered into between counsel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found in the Documents Briefs, including but not limited to the clinical records, are admitted into evidence on the basis that the documents are documents made and kept in the usual or ordinary course of the business from which they were originally obtained. The documents are admitted as prima facie proof that any fact personally observed and recorded occurred, or that the statements personally heard or observed an recorded were made.</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reserve the right to challenge the accuracy of any fact or statement recorded in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Hence, Dr. Lee's note is "prima facie proof" of the fact that he observed an obstruction. The defendants could have called him to challenge that observation but they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Surgical Pathology Reports further confirm that there was a "post ileostomy obstruction/perforation".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Lahay submits that Dr. Doris' assertion that there was not a bowel obstruction is a futile attempt to re-cast history in the most favourable light to escape liability because Domperidone is contraindicated in cases of mechanical bowel obstruction.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Despite the fact that, on January 26, Mr. Michener's bowel was found to be at least partially obstructed, the question is whether the defendants negligently failed to diagnose and treat what Dr. Cleator described as complete small bowel obstruction. Failure to diagnose a partial small bowel obstruction would not fall below the standard of care because, as Dr. Blair testified, a partial mechanical small bowel obstruction would likely resolve spontaneously with bed rest and fluids: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Excuse me, how do you expect the bowel obstruction to resolve?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it's one of the mysteries of surgery that most -- most bowel obstructions most small bowel obstructions caused by adhesions or scarring resolve without surgical intervention. About 90 percent do. And -- and to be honest, My Lady, I'm not sure we really know how that happens. If the bowel is kinked or twisted it just seems to unkink, but usually despite controlling a patient's symptoms and makes the patient comfortable and rehydrating with an IV, the bowel obstruction will resolve spontaneously, usually within a few days.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critical issue is whether the defendants failed to diagnose a complete small bowel obstruction. In this case, X-ray films were taken by Dr. Coppola, and Hypaque films taken by Dr. Sisler, in order to determine whether or not the plaintiff had a small bowel obstruction.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Coppola testified that she has read and interpreted between fifteen and twenty thousand X-ray films a year for the past sixteen years. She did not recall taking the X-ray films of the plaintiff on January 22, 1999. Her report, prepared on Sunday, January 24, 1999,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ABDOMEN:</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bowel gas pattern is abnormal with multiple dilated loops of small bowel with air-fluid levels seen throughout. There is really little or no gas in the colon seen. No free air is seen. The patient has had previous intra-abdominal surgery. No significant intra-abdominal calcifications are seen.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IMPRESSION: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bowel gas pattern is consistent with small bowel obstruction.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report did not indicate whether the small bowel obstruction was partial or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Coppola testified that, normally, dilated bowels are not seen. In Mr. Michener's case, the small bowel loops were dilated beyond normal calibre. Her evidence was that the dilation could be explained by blockage or paralysis of the bowel: because the fecal contents cannot empty, the bowel will dilate proximal to the blockage or paralysis, and deflate distal to the obstruction.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Reviewing the plain X-ray films, Dr. Coppola testified that they were consistent with some degree of obstruction, probably at the level of the small bowel, but she could not identify the degree or the exact location of the obstruction. However, on cross-examination, it became clear that at the time that Dr. Coppola wrote her report on January 24, 1999, she was unaware that the plaintiff's colon had been removed. Mr. Lepp suggested to her that the absence of gas in the film was a determinative factor in her conclusion that there was a bowel obstruction, and asked her if she would have issued the same report had she known that the plaintiff had no colon, given that the lack of a colon would explain the lack of gas. She replied that her opinion would have been influenced if she had known that the plaintiff had no colon, but that she still would have been concerned about a small bowel obstruction.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Coppola agreed with Mr. Lepp that she expected the surgeon who requisitioned the films to review them and to clinically correlate the information on the films with his or her own clinical assessment before diagnosing a complete or partial bowel obstruction, especially because the plain films were consistent with either condition. She further agreed that the surgeon's clinical assessment would likely include taking a history of the patient's passing stool per rectum, and palpating the patient's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Coppola also agreed with Mr. Lepp that a diagnosis of an incomplete small bowel obstruction would be consistent with her interpretation of the films and that the Hypaque enema films taken by Dr. Sisler on January 25, 1999 would have been more diagnostic than the plain films. The Hypaque films would more accurately indicate the level, degree and possibly the etiology of the obstruction.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Sisler is presently the head of diagnostic imaging at the Hospital. He received his medical degree in 1980, and qualified as a radiologist in 1987. On January 25, 1999, Dr. Sisler conducted the Hypaque enema and reviewed the plaintiff's ultrasound films.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At trial, Dr. Sisler described the Hypaque enema procedure. A plastic tube is placed in the rectum and a fluid Hypaque dye gravitates into the small intestine and pouch. As the contrast dye flows through the bowel, the radiologist views the procedure and takes a number of snapshots of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Cleator was critical of the insertion of the Hypaque dye anally, rather than orally, for the purpose of investigating a small bowel obstruction. In his opinion, inserting the dye anally might show the dye going up, but would not necessarily indicate if it would also empty downwards. Dr. Sisler testified that, in Mr. Michener's case, a Hypaque enema was superior to a "Hypaque swallow" because the concern related to an obstruction or a leakage in the bowel. The concentration of dye and the corresponding quality of the images is superior when the dye is introduced directly into the lower bowel. In his opinion, an oral Hypaque, which becomes progressively more diluted as it travels down the gastro-intestinal tract, would not be helpful in diagnosing an obstructed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Orrom agreed with Dr. Sisler that the Hypaque enema was a more appropriate procedure than a Hypaque swallow. I prefer the opinion of Dr. Sisler, a radiologist, and Dr. Orrom to that of Dr. Cleator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Sisler testified that he saw a moderately dilated bowel. He stated that the dilation could be seen normally in patients following a bowel resection, and explained that, over time, the small bowel begins to dilate as it takes on the load that the colon normally would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Sisler described the two narrowings shown on the Hypaque film: one, at the site of the ileostomy closure, was about 50% of its original size, and the lower one, where the bowel entered the rectal pouch, was about 75% of its original size. Neither narrowing, at the site of a surgical anastomosis, was unexpected. The dye progressed up the bowel to a point 20 to 30 centimetres above the higher narrowing. Contrary to Dr. Cleator's assumption, Dr. Sisler said there was no narrowing or stricture within the pouch (thus evidencing its functionality).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Because it was a post-operative case, Dr. Sisler testified that he would have been looking for an obstruction or a bowel leakage. The patient's clinical history of nausea and vomiting raised a particular concern about the presence of an obstruction.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Cleator considered a Hypaque enema to be accurate 80% of the time in patients with ileoanal pouches. However, where the ileoanal pouch was not fresh, and the leak was high (at the site of the ileostomy closure) he believed the miss rate would be greater than 20% and concluded that the Hypaque enema did not rule out a leak or a total obstruction. He suggested that a CT scan with contrast would have been preferable.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Sisler stated that a Hypaque enema is more specific to the bowel, and better displays the presence of contrast leaks, and the presence of any obstruction than an ultrasound film. He described the test as a good quality study that can diagnostically rule out an obstruction with a high degree of certainty but conceded that it is not absolutely definitive. He agreed with Mr. Lahay that only a laparotomy would have indicated definitively whether or not there was an obstruction or leak. However, there is no question that an unnecessary abdominal surgery would have created unwarranted risks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Cleator's conclusion that there was clear evidence of a complete small bowel obstruction is based on a number of incorrect assumptions. First, he assumed that between January 15 and 21, 1999, Mr. Michener had only had two bowel movements. The hospital records suggest that he had at least eight bowel movements between January 18 and 21. That fact, together with the green colour of one of the stools, indicates gastrointestinal continuity that negates the presence of a complete small bowel obstruction. Dr. Cleator conceded that if there were a complete mechanical or functional obstruction, nothing would pass through the area of the obstruction.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Second, Dr. Cleator assumed that the plaintiff began to experience severe abdominal pain immediately after receiving Domperidone on January 22. However, Dr. Crossley's progress notes and the nurse's notes for January 23 suggest the plaintiff was doing considerably better that morning. They described him as "more comfortable today", "passing stool" and "abdomen more soft now." His condition deteriorated that day but, on the morning of January 24, the plaintiff told the nurses that his "abdominal discomfort was much improved from the previous night" and that he was able to pass some flatus.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Third, Dr. Cleator incorrectly concluded that there had been a complete small bowel obstruction inside the ileoanal pouch, based on his review of the reports relating to the X-ray films, the Hypaque films, the ultrasound, and the pathology report following the laparotomy that showed a one centimetre hole at the site of the ileostomy. He did not review the films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Cleator considered the single most important evidence of a complete obstruction to be the X-ray report of Dr. Coppola. He interpreted that report as definitive evidence of a complete small bowel obstruction. He said that if he had spoken to Dr. Coppola, and she had convinced him that there was a complete blockage of the bowel, he would have "hung his hat" on her diagnosis. It appears that Dr. Cleator erroneously believed that such a conversation had taken place between Dr. Doris and Dr. Coppola on January 22, 1999: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if a radiologist says to me, there's a bowel obstruction there, it really wakes me up, because if I think it's a partial bowel obstruction versus a full-blown bowel obstruction and the radiologist says it's a full-blown obstruction, then my situation would be I go and talk to the radiologist, look at the x-rays, and if they were stuck to their opinion I would listen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Cleator did agree with Mr. Lepp that if the radiologist and the surgeon agreed that there was no complete small bowel obstruction, to rush into a third abdominal surgery would be "a very dangerous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Lahay suggests that Dr. Doris could have operated on January 22, although the plaintiff does not challenge Dr. Doris' decision not to do so, in view of the risks of surgery. He submits that Dr. Doris could also have ordered a Hypaque test before January 25 to investigate an obstruction or he could have done nothing and waited to see if the obstruction resolved. However, if he did nothing, he should have monitored the plaintiff more closely.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Drs. Orrom and Blair considered the defendants' treatment of the plaintiff between January 22 and January 26 to be appropriate. Dr. Orrom testified that Mr. Michener's initial presentation on January 22, 1999 was suggestive of an incomplete bowel obstruction, as the patient was still passing stool. Although his symptoms worsened, the Hypaque films demonstrated no obstruction.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Dr. Blair's opinion, the plain X-ray films suggested a partial small bowel obstruction, and Dr. Doris treated the plaintiff appropriately on his readmission with intravenous fluids and rehydration. A patient with an ileus or a bowel obstruction retains fluid in the stomach and bowel, which fluid is not available to the patient to circulate in the blood. The patient is unable to ingest sufficient fluid by mouth. A pro-kinetic agent such as Domperidone will facilitate gastric emptying and most of the fluid from the stomach will be absorbed in the duodenum, the proximal end of the small bowel. Dr. Blair also did not believe there was any inappropriate delay before performing the laparotomy.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Lahay also suggested that Dr. Doris had numerous options to control Mr. Michener's nausea and that Domperidone, which was contraindicated in the circumstances, was the worst choice. He could have administered a pro-emetic without anti-kinetic properties, such as Gravol, or inserted a nasogastric tube to decompress excess gas and fluid in the stomach and relieve the symptoms of vomiting.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Blair agreed that a nasogastric tube is commonly used for that purpose while waiting for a bowel obstruction to resolve. It relieves the symptoms of vomiting by decompressing the excess gas and fluid in the stomach. Dr. Orrom also testified that nasogastric tubes are often used early in the course of treatment of suspected bowel obstructions, and definitely used for complete obstructions.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Doris agreed that there were a number of management options for Mr. Michener's symptoms of nausea and vomiting. They included inserting a nasogastric tube to drain some fluid from the stomach, administering a single anti-emetic or one with pro-kinetic properties, such as Domperidone, or doing nothing. Dr. Doris did not consider the situation sufficiently critical to justify a nasogastric tube. He described nasogastric tubes as uncomfortable and said that their side effects include aspiration, pneumonia, nasopharyngal ulceration, and middle ear infections. He was reluctant to administer an anti-emetic such as Gravol or Stimatol, which can result in acute gastric dilatation, a potentially fatal condition. He chose Domperidone to enhance the plaintiff's gastric emptying. In his opinion, Domperidone has no effect at all below the stomach and was appropriate and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is no question that the plaintiff's bowel was obstructed on January 26, 1999 when Dr. Doris performed the laparotomy. However, I conclude that between January 22 and January 26, the defendants took reasonable steps to determine whether or not an obstruction was present: Dr. Doris examined the X-ray films, he clinically assessed the plaintiff, and he ordered and reviewed the Hypaque films which strongly suggested there was no obstruction or leak into the abdominal cavity. The clinical records indicated that Mr. Michener continued to pass stool on January 24 and it was reasonable for both defendants to conclude that there was no complete bowel obstruction. There was no evidence of a complete small bowel obstruction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conclude that in light of the radiographic and clinical evidence, it was reasonable for the defendants to conclude that the small bowel obstruction was partial and not complete. Therefore, they did not breach the standard of care by failing to diagnose and treat a complete small bowel obstruction at the material time.</w:t>
      </w:r>
      <w:r>
        <w:rPr>
          <w:rFonts w:ascii="arial" w:eastAsia="arial" w:hAnsi="arial" w:cs="arial"/>
          <w:sz w:val="20"/>
          <w:lang w:val="en-US" w:eastAsia="en-US" w:bidi="ar-SA"/>
        </w:rPr>
        <w:cr/>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negligent in failing to diagnose the perforation and resulting peritonitis in a timely fashion and provide appropriate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determining whether the defendants were negligent in failing to diagnose the perforation and peritonitis after the plaintiff's bowel ruptured on January 24, it is necessary to examine what, if any, evidence of a leak was available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Sisler testified that the Hypaque report noted "left sided posterior contrast collection which could be a contained leak adjacent to the lower end of the rectal pouch or diverticulation secondary to the Surgery." That leak was to the left of the small bowel between the pouch and the anus. Dr. Sisler said the leak was contained in the tissue around the cavity and not leaking freely into the abdominal cavity. If there had been a leakage at the site of the ileostomy closure (where the perforation occurred), one would have expected to see dye outside the confines of the tubular bowel and into the abdominal cavity.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Although the films did not show any leak into the abdominal cavity, Dr. Orrom testified that the Hypaque enema is not as reliable in determining leaks as it is in determining obstructions. A leak may have been present and not detected. He suggested that Dr. Doris might usefully have considered a CT scan but it was a matter of clinical judgment. In Dr. Orrom's opinion, Dr. Doris followed the patient appropriately and made an appropriate decision to operate on January 26, on the basis of his clinical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Although both Dr. Doris and Dr. Lai were alive to the danger that Mr. Michener may have developed peritonitis, they investigated and ruled out that possibility on the basis of their physical examinations of the patient and their review of the Hospital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my opinion, in the circumstances, Dr. Doris' decision not to operate until January 26, 1999 was a reasonable exercise of his clinical judgment, based on the radiographic evidence, his examination and assessment of his patient and his review of the patient's stool history.</w:t>
      </w:r>
      <w:r>
        <w:rPr>
          <w:rFonts w:ascii="arial" w:eastAsia="arial" w:hAnsi="arial" w:cs="arial"/>
          <w:sz w:val="20"/>
          <w:lang w:val="en-US" w:eastAsia="en-US" w:bidi="ar-SA"/>
        </w:rPr>
        <w:cr/>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administration of Domperidone contraindicated?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Lahay submits that the most egregious error committed by Dr. Doris in his treatment of Mr. Michener was his prescription of Domperidone. He submits that Dr. Doris knew that the plaintiff had a bowel obstruction and that there was a statistically significant chance that he had a leak at the site of the ileostomy.</w:t>
      </w:r>
      <w:r>
        <w:rPr>
          <w:rFonts w:ascii="arial" w:eastAsia="arial" w:hAnsi="arial" w:cs="arial"/>
          <w:sz w:val="20"/>
          <w:lang w:val="en-US" w:eastAsia="en-US" w:bidi="ar-SA"/>
        </w:rPr>
        <w:cr/>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relating to the standard of care for a doctor prescribing a drug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plaintiff cited Crossman v. Stewart </w:t>
      </w:r>
      <w:hyperlink r:id="rId133" w:history="1">
        <w:r>
          <w:rPr>
            <w:rFonts w:ascii="arial" w:eastAsia="arial" w:hAnsi="arial" w:cs="arial"/>
            <w:i/>
            <w:color w:val="0077CC"/>
            <w:sz w:val="20"/>
            <w:u w:val="single"/>
            <w:shd w:val="clear" w:color="auto" w:fill="FFFFFF"/>
            <w:lang w:val="en-US" w:eastAsia="en-US" w:bidi="ar-SA"/>
          </w:rPr>
          <w:t>(1977), 82 D.L.R. (3d) 677</w:t>
        </w:r>
      </w:hyperlink>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5 C.C.L.T. 45</w:t>
        </w:r>
      </w:hyperlink>
      <w:r>
        <w:rPr>
          <w:rFonts w:ascii="arial" w:eastAsia="arial" w:hAnsi="arial" w:cs="arial"/>
          <w:color w:val="000000"/>
          <w:sz w:val="20"/>
          <w:lang w:val="en-US" w:eastAsia="en-US" w:bidi="ar-SA"/>
        </w:rPr>
        <w:t xml:space="preserve"> (B.C.S.C.) as evidencing the applicable standard of care for a doctor prescribing a potentially dangerous drug. In that case, Mr. Justice Anderson held at 686: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required is not a standard of perfection. On the other hand, the standard of care, having regard to the inherent dangers involved in the use of the drug, must, of necessity, be very high. In other words, the standard of care is much higher in cases where the use of a drug may cause substantial permanent damage. A very high standard of care would not apply in cases where the use of a drug might cause only temporary or minor damage. The standard of care is a question of fact which will vary from case to case and, in my opinion, on the facts before me, a very high standard of care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There does not appear to be any jurisprudence considering that proposition in Crossman, supra. Rather, Crossman, supra, is usually cited for the proposition that a patient owes a duty of care to herself and therefore can be contributorily negligent with respect to any loss suffered by her. It may be argued that virtually all drugs can potentially cause "substantial permanent damage" if not prescribed in appropriate amounts or circumstances, or administered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conclude that the standard of care for a doctor administering a drug does not differ from the standard of care for a doctor providing medical services generally to his or her patient. That test is articulated in Wilson, supra.</w:t>
      </w:r>
      <w:r>
        <w:rPr>
          <w:rFonts w:ascii="arial" w:eastAsia="arial" w:hAnsi="arial" w:cs="arial"/>
          <w:sz w:val="20"/>
          <w:lang w:val="en-US" w:eastAsia="en-US" w:bidi="ar-SA"/>
        </w:rPr>
        <w:cr/>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relating to Domperidone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Domperidone is a pro-kinetic agent that stimulates the stomach to empty and the bowel to work more actively through the process of peristalsis (waves of contraction). The effect of Domperidone on a patient in Mr. Michener's circumstances is at the heart of the plaintiff's case. Dr. Cleator described the function of a pro-kinetic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the prokinetic does is it assists by forcing more out of the stomach and the gastric/duodenal junction?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it's that additional fluid that is going to put pressure downstream on tissue that it passes by?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Domperidone also has anti-emetic properties; it propels the fluid out of the stomach so that the patient does not feel like vomiting. It is common ground that there are other anti-emetic drugs without pro-kinetic properties that relieve symptoms of nausea, such as Gravol.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Cleator testified that Domperidone is contraindicated in the Compendium of Pharmaceutical and Specialties ("CPS") and in the literature. He stated that "all the standard textbooks say that you shouldn't use a pro-kinetic agent in the presence of bowel obstruction". Because the monograph provided by the manufacturer of Domperidone carries a specific warning not to prescribe for patients with an obstruction Dr. Cleator believes that any dose of Domperidone would be excessive for a patient in Mr. Michener's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 monograph prepared by the manufacturer of Motilium (Domperidone) provides the following contraindication: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not be used whenever stimulation of gastrointestinal motility might be dangerous; i.e. in the presence of gastrointestinal hemorrhage, mechanical obstruction or perforation.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Customarily, manufacturers send such monographs to the CPS, which publishes them verbatim. In this case, the wording of the contraindication in the monograph and the CPS is virtually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Lahay submits that the contraindication is evidence of a breach of the standard of care. He points out that the contraindication does not specify that there must be a complete obstruction. However, it does specify a mechanical obstruction, rather than a functional obstruction, or ileus.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Domperidone is described by the manufacturer as "an upper GI motility modifier". The upper gastrointestinal ("GI") tract consists of the esophagus, the stomach and the duodenum (the proximal small bowel). The lower GI tract includes the distal small bowel. In Mr. Michener's case, the site of the ruptured anastomosis was in the lower GI tract.</w:t>
      </w:r>
      <w:r>
        <w:rPr>
          <w:rFonts w:ascii="arial" w:eastAsia="arial" w:hAnsi="arial" w:cs="arial"/>
          <w:sz w:val="20"/>
          <w:lang w:val="en-US" w:eastAsia="en-US" w:bidi="ar-SA"/>
        </w:rPr>
        <w:cr/>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CPS reflect the standard of care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Cleator described the CPS as a very strong guideline, but conceded that it contains both anecdotal information and information based on sound medical research, and that it is not possible to determine the category to which any particular piece of information belongs. He also agreed that the warnings are, in part, "a manufacturer's legal defence mechanism." However, he considered the CPS to be a valuable source of experience from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support of the proposition that the CPS is not determinative of the standard of care in this case, the defendants cite Gadsby v. MacGillivray, </w:t>
      </w:r>
      <w:hyperlink r:id="rId134" w:history="1">
        <w:r>
          <w:rPr>
            <w:rFonts w:ascii="arial" w:eastAsia="arial" w:hAnsi="arial" w:cs="arial"/>
            <w:i/>
            <w:color w:val="0077CC"/>
            <w:sz w:val="20"/>
            <w:u w:val="single"/>
            <w:shd w:val="clear" w:color="auto" w:fill="FFFFFF"/>
            <w:lang w:val="en-US" w:eastAsia="en-US" w:bidi="ar-SA"/>
          </w:rPr>
          <w:t>[1997] B.C.J. No. 1564</w:t>
        </w:r>
      </w:hyperlink>
      <w:r>
        <w:rPr>
          <w:rFonts w:ascii="arial" w:eastAsia="arial" w:hAnsi="arial" w:cs="arial"/>
          <w:color w:val="000000"/>
          <w:sz w:val="20"/>
          <w:lang w:val="en-US" w:eastAsia="en-US" w:bidi="ar-SA"/>
        </w:rPr>
        <w:t xml:space="preserve"> (S.C.) and Trueman v. Ripley, </w:t>
      </w:r>
      <w:hyperlink r:id="rId135" w:history="1">
        <w:r>
          <w:rPr>
            <w:rFonts w:ascii="arial" w:eastAsia="arial" w:hAnsi="arial" w:cs="arial"/>
            <w:i/>
            <w:color w:val="0077CC"/>
            <w:sz w:val="20"/>
            <w:u w:val="single"/>
            <w:shd w:val="clear" w:color="auto" w:fill="FFFFFF"/>
            <w:lang w:val="en-US" w:eastAsia="en-US" w:bidi="ar-SA"/>
          </w:rPr>
          <w:t>[1998] B.C.J. No. 2060</w:t>
        </w:r>
      </w:hyperlink>
      <w:r>
        <w:rPr>
          <w:rFonts w:ascii="arial" w:eastAsia="arial" w:hAnsi="arial" w:cs="arial"/>
          <w:color w:val="000000"/>
          <w:sz w:val="20"/>
          <w:lang w:val="en-US" w:eastAsia="en-US" w:bidi="ar-SA"/>
        </w:rPr>
        <w:t xml:space="preserve"> (S.C.). In both cases, the Court preferred the evidence of the medical experts to the contraindications in the CPS and held that mere non-compliance with the CPS does not mean that a doctor has failed to meet the applicable standard of care in the administration of the drug. In both cases, the Court concluded that the standard of care had been met despite non-compliance with the CPS.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Gadsby, supra, Mr. Justice Clancy stated at [paragraph] 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submitted that he was required to prescribe on the basis of accepting the dangers of the use of benzodiazepines described in the [CPS]. That contention was not established by the evidence. The CPS simply lists anecdotally the experience of all physicians who report every side effect observed. It was more appropriate for Dr. MacGillivray to base his prescribing practice on current literature and I am satisfied that he availed himself of the opportunity to read the literature and attend seminars in such a way as to keep abreast of the current prescribing practices. On the basis of the knowledge available to him I am satisfied that he exercised clinical judgment appropriately in prescribing benzodiazepines initially and in continuing their prescription throughout the years. If there are those who would have prescribed differently or discontinued the use of medications that is simply a difference of opinion within the profession and not proof that Dr. MacGillivray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Trueman, supra, Madam Justice Martinson stated at [paragraph] 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Ripley has presented compelling evidence that he met the standard of care of an ordinary, competent practitioner of similar training and experience in similar circumstances. No evidence of a medical practitioner was presented by Mr. Trueman. I do not find this to be a case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obvious. It is true that short term use of Halcion was recommended. However, failure to comply with the Compendium does not prove that the standard has not been met: Gadsby v. MacGillivray [cites omitted]. I accept the evidence of Dr. Dwyer and Dr. O'Shaughnessy that the way Dr. Ripley prescribed Halcion was, in spite of the Compendium, in accordance with the prevailing prescribing practices and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this case, there is no peer-reviewed literature or scientific data to back up the manufacturer's warning. Mr. Lahay asserts that the defendants should have sought such information from the manufacturer; however, that suggestion ignores the fact that the onus of proving that Domperidone was contraindicated rests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Cleator suggested that the reason there is no relevant literature is because physicians heed the CPS contradiction and do not use Domperidone in the presence of a small bowel obstruction. However, Dr. Freeman found peer reviewed material that suggests Domperidone has been used beneficially on terminally ill cancer patients with small bowel obstructions where surgery is not feasible. While it is true that the patients died, sometimes within days of the administration of Domperidone, the defendants point out that nothing in that literature suggests that any of the patients taking the drug suffered a bowel perforation.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my opinion, to accept the CPS as connoting a standard of care would be dangerous in the absence of medical literature or data backing up the Domperidone contraindication. I do not find that Dr. Doris breached the applicable standard of care by administering Domperidone to Mr. Michener. In view of the fact that Domperidone affects the upper GI tract and not the lower GI tract, I accept the evidence of Drs. Freeman and Orrom that the manner in which Dr. Doris prescribed that drug was in accordance with prevailing medical practice and not inappropriate in the treatment of Mr. Michener.</w:t>
      </w:r>
      <w:r>
        <w:rPr>
          <w:rFonts w:ascii="arial" w:eastAsia="arial" w:hAnsi="arial" w:cs="arial"/>
          <w:sz w:val="20"/>
          <w:lang w:val="en-US" w:eastAsia="en-US" w:bidi="ar-SA"/>
        </w:rPr>
        <w:cr/>
      </w:r>
    </w:p>
    <w:p>
      <w:pPr>
        <w:numPr>
          <w:numId w:val="2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re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conclude that neither of the defendants breached the standard of care applicable to a general surgeon with their level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It is unnecessary to analyze the issue of causation. Nevertheless, I intend to do so, as much of the evidence at trial focused on that issue.</w:t>
      </w:r>
      <w:r>
        <w:rPr>
          <w:rFonts w:ascii="arial" w:eastAsia="arial" w:hAnsi="arial" w:cs="arial"/>
          <w:sz w:val="20"/>
          <w:lang w:val="en-US" w:eastAsia="en-US" w:bidi="ar-SA"/>
        </w:rPr>
        <w:cr/>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suffer harm as a result of any breach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Lepp submits that even if the defendants breached the standard of care by prescribing Domperidone, that drug would have little or no effect on the distal small bowel, even if there were a complete obstruction in that area. In other words, Domperidone could not have caused the perforation.</w:t>
      </w:r>
      <w:r>
        <w:rPr>
          <w:rFonts w:ascii="arial" w:eastAsia="arial" w:hAnsi="arial" w:cs="arial"/>
          <w:sz w:val="20"/>
          <w:lang w:val="en-US" w:eastAsia="en-US" w:bidi="ar-SA"/>
        </w:rPr>
        <w:cr/>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relating to causation in medical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Supreme Court of Canada defined causation in Snell v. Farrell, </w:t>
      </w:r>
      <w:hyperlink r:id="rId13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72 D.L.R. (4th) 289</w:t>
        </w:r>
      </w:hyperlink>
      <w:r>
        <w:rPr>
          <w:rFonts w:ascii="arial" w:eastAsia="arial" w:hAnsi="arial" w:cs="arial"/>
          <w:color w:val="000000"/>
          <w:sz w:val="20"/>
          <w:lang w:val="en-US" w:eastAsia="en-US" w:bidi="ar-SA"/>
        </w:rPr>
        <w:t xml:space="preserve"> at [paragraph]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is an expression of the relationship that must be found to exist between the tortious act of the wrongdoer and the injury to the victim in order to justify compensation of the latter out of the pocket of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To establish causation, the plaintiff need only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injury; proof that it was the sole cause is not required: Athey v. Leonati, </w:t>
      </w:r>
      <w:hyperlink r:id="rId13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[1996] S.C.J. No. 102</w:t>
        </w:r>
      </w:hyperlink>
      <w:r>
        <w:rPr>
          <w:rFonts w:ascii="arial" w:eastAsia="arial" w:hAnsi="arial" w:cs="arial"/>
          <w:color w:val="000000"/>
          <w:sz w:val="20"/>
          <w:lang w:val="en-US" w:eastAsia="en-US" w:bidi="ar-SA"/>
        </w:rPr>
        <w:t>. In that case, the Court stated, at [paragraphs] 16-17: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Snell v. Farrell, supra, this Court recently confirmed that the plaintiff must prove that the defendant's tortious conduct caused or contributed to the plaintiff's injury. The causation test is not to be applied too rigidly. Causation need not be determined by scientific precision; as Lord Salmon stated in Alphacell Ltd. v. Woodward,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To borrow an example from Professor Fleming (The Law of Torts (8th ed. 1992) at p. 193), a "fire ignited in a wastepaper basket is ... caused not only by the dropping of a lighted match, but also by the presence of combustible material and oxygen, a failure of the cleaner to empty the basket and so forth."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Snell, a surgeon removed a cataract from the eye of a patient who later lost sight in that eye as a result of optic nerve atrophy. The parties each called an expert witness. Neither witness was able to assert with certainty whether or not the operation caused the atrophy. The trial judge followed the decision of the House of Lords in McGhee v. National Coal Board, [1973] 1 W.L.R. 1. He concluded that the patient had prima facie proved the surgeon's actions had caused the injury and that the surgeon had not satisfied the onus of proof that had shifted to him: </w:t>
      </w:r>
      <w:hyperlink r:id="rId139" w:history="1">
        <w:r>
          <w:rPr>
            <w:rFonts w:ascii="arial" w:eastAsia="arial" w:hAnsi="arial" w:cs="arial"/>
            <w:i/>
            <w:color w:val="0077CC"/>
            <w:sz w:val="20"/>
            <w:u w:val="single"/>
            <w:shd w:val="clear" w:color="auto" w:fill="FFFFFF"/>
            <w:lang w:val="en-US" w:eastAsia="en-US" w:bidi="ar-SA"/>
          </w:rPr>
          <w:t>(1986), 77 N.B.R. (2d) 222</w:t>
        </w:r>
      </w:hyperlink>
      <w:r>
        <w:rPr>
          <w:rFonts w:ascii="arial" w:eastAsia="arial" w:hAnsi="arial" w:cs="arial"/>
          <w:color w:val="000000"/>
          <w:sz w:val="20"/>
          <w:lang w:val="en-US" w:eastAsia="en-US" w:bidi="ar-SA"/>
        </w:rPr>
        <w:t xml:space="preserve"> (Q.B.). The Court of Appeal dismissed the surgeon's appeal: </w:t>
      </w:r>
      <w:hyperlink r:id="rId140" w:history="1">
        <w:r>
          <w:rPr>
            <w:rFonts w:ascii="arial" w:eastAsia="arial" w:hAnsi="arial" w:cs="arial"/>
            <w:i/>
            <w:color w:val="0077CC"/>
            <w:sz w:val="20"/>
            <w:u w:val="single"/>
            <w:shd w:val="clear" w:color="auto" w:fill="FFFFFF"/>
            <w:lang w:val="en-US" w:eastAsia="en-US" w:bidi="ar-SA"/>
          </w:rPr>
          <w:t>(1988), 84 N.B.R. (2d) 401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Snell, the Supreme Court of Canada took the opportunity to issue an authoritative judgment with respect to causation in medical malpractice suits. The Court sought to put to rest the uncertainty as to whether traditional causation principles should be applied or whether recent developments in the law justified a finding of liability on the basis of a less onerous standard. The Court held, at [paragraph] 29 - 30, 32 - 34: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Dissatisfaction with the traditional approach to causation stems to a large extent from its too rigid application in many cases. Causation need not be determined with scientific precision.... In many malpractice cases, the facts lie particularly within the knowledge of the defendant. In these circumstances, very little affirmative evidence on the part of the plaintiff will justify the drawing of an inference of causation in the absence of evidence to the contrary.... It is not strictly accurate to speak of the burden shifting to the defendant when what is meant is that evidence adduced by the plaintiff may result in an inference being drawn adverse to the defendant.... The legal or ultimate burden remains with the plaintiff, but in the absence of evidence to the contrary adduced by the defendant, an inference of causation may be drawn although positive or scientific proof of causation has not been adduced. If some evidence to the contrary is adduced by the defendant, the trial judge should [weigh that evidence according to the proof]. It is therefore not essential that the medical experts provide a firm opinion supporting the plaintiff's theory of causation. Medical experts ordinarily determine causation in terms of certainties whereas a lesser standard is demanded by the law. It is the function of the trier of fact, not the medical witnesses, to make a legal determination of the question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 relies on Snell for the proposition that the Court should take a "pragmatic and robust approach" to the issue of causation, which need not be determined with scientific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defendants respond that Snell applies only "in the absence of evidence to the contrary adduced by the defendant". They submit that the Court should reach a conclusion on causation in the ordinary way, balancing the totality of the evidence in order to determine whether the plaintiff has proven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discounting the application of Snell to the case at bar, the defendants rely on the following passage from that judgment at [paragraph]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or ultimate burden remains with the plaintiff, but in the absence of evidence to the contrary adduced by the defendant, an inference of causation may be drawn although positive or scientific proof of causation has not been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this case, the defendants say that the inferential approach suggested in Snell is inapplicable because they have adduced expert evidence to the contrary on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A number of cases in British Columbia have considered the applicability of the "inferential analysis": Moore v. Castlegar &amp; District Hospital </w:t>
      </w:r>
      <w:hyperlink r:id="rId141" w:history="1">
        <w:r>
          <w:rPr>
            <w:rFonts w:ascii="arial" w:eastAsia="arial" w:hAnsi="arial" w:cs="arial"/>
            <w:i/>
            <w:color w:val="0077CC"/>
            <w:sz w:val="20"/>
            <w:u w:val="single"/>
            <w:shd w:val="clear" w:color="auto" w:fill="FFFFFF"/>
            <w:lang w:val="en-US" w:eastAsia="en-US" w:bidi="ar-SA"/>
          </w:rPr>
          <w:t>(1996), 25 B.C.L.R. (3d) 188</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[1996] B.C.J. No. 1209</w:t>
        </w:r>
      </w:hyperlink>
      <w:r>
        <w:rPr>
          <w:rFonts w:ascii="arial" w:eastAsia="arial" w:hAnsi="arial" w:cs="arial"/>
          <w:color w:val="000000"/>
          <w:sz w:val="20"/>
          <w:lang w:val="en-US" w:eastAsia="en-US" w:bidi="ar-SA"/>
        </w:rPr>
        <w:t xml:space="preserve"> (S.C.); appeal dismissed </w:t>
      </w:r>
      <w:hyperlink r:id="rId142" w:history="1">
        <w:r>
          <w:rPr>
            <w:rFonts w:ascii="arial" w:eastAsia="arial" w:hAnsi="arial" w:cs="arial"/>
            <w:i/>
            <w:color w:val="0077CC"/>
            <w:sz w:val="20"/>
            <w:u w:val="single"/>
            <w:shd w:val="clear" w:color="auto" w:fill="FFFFFF"/>
            <w:lang w:val="en-US" w:eastAsia="en-US" w:bidi="ar-SA"/>
          </w:rPr>
          <w:t>(1998), 49 B.C.L.R. (3d) 100</w:t>
        </w:r>
      </w:hyperlink>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[1998] B.C.J. No. 332</w:t>
        </w:r>
      </w:hyperlink>
      <w:r>
        <w:rPr>
          <w:rFonts w:ascii="arial" w:eastAsia="arial" w:hAnsi="arial" w:cs="arial"/>
          <w:color w:val="000000"/>
          <w:sz w:val="20"/>
          <w:lang w:val="en-US" w:eastAsia="en-US" w:bidi="ar-SA"/>
        </w:rPr>
        <w:t xml:space="preserve"> (C.A.); leave to appeal to the Supreme Court of Canada denied </w:t>
      </w:r>
      <w:hyperlink r:id="rId143" w:history="1">
        <w:r>
          <w:rPr>
            <w:rFonts w:ascii="arial" w:eastAsia="arial" w:hAnsi="arial" w:cs="arial"/>
            <w:i/>
            <w:color w:val="0077CC"/>
            <w:sz w:val="20"/>
            <w:u w:val="single"/>
            <w:shd w:val="clear" w:color="auto" w:fill="FFFFFF"/>
            <w:lang w:val="en-US" w:eastAsia="en-US" w:bidi="ar-SA"/>
          </w:rPr>
          <w:t>[1998] S.C.C.A. No. 171</w:t>
        </w:r>
      </w:hyperlink>
      <w:r>
        <w:rPr>
          <w:rFonts w:ascii="arial" w:eastAsia="arial" w:hAnsi="arial" w:cs="arial"/>
          <w:color w:val="000000"/>
          <w:sz w:val="20"/>
          <w:lang w:val="en-US" w:eastAsia="en-US" w:bidi="ar-SA"/>
        </w:rPr>
        <w:t xml:space="preserve">; and Bigcharles v. Dawson Creek and District Health Care Society, </w:t>
      </w:r>
      <w:hyperlink r:id="rId144" w:history="1">
        <w:r>
          <w:rPr>
            <w:rFonts w:ascii="arial" w:eastAsia="arial" w:hAnsi="arial" w:cs="arial"/>
            <w:i/>
            <w:color w:val="0077CC"/>
            <w:sz w:val="20"/>
            <w:u w:val="single"/>
            <w:shd w:val="clear" w:color="auto" w:fill="FFFFFF"/>
            <w:lang w:val="en-US" w:eastAsia="en-US" w:bidi="ar-SA"/>
          </w:rPr>
          <w:t>[1999] B.C.J. No. 1795</w:t>
        </w:r>
      </w:hyperlink>
      <w:r>
        <w:rPr>
          <w:rFonts w:ascii="arial" w:eastAsia="arial" w:hAnsi="arial" w:cs="arial"/>
          <w:color w:val="000000"/>
          <w:sz w:val="20"/>
          <w:lang w:val="en-US" w:eastAsia="en-US" w:bidi="ar-SA"/>
        </w:rPr>
        <w:t xml:space="preserve"> (S.C.); appeal dismissed: </w:t>
      </w:r>
      <w:hyperlink r:id="rId145" w:history="1">
        <w:r>
          <w:rPr>
            <w:rFonts w:ascii="arial" w:eastAsia="arial" w:hAnsi="arial" w:cs="arial"/>
            <w:i/>
            <w:color w:val="0077CC"/>
            <w:sz w:val="20"/>
            <w:u w:val="single"/>
            <w:shd w:val="clear" w:color="auto" w:fill="FFFFFF"/>
            <w:lang w:val="en-US" w:eastAsia="en-US" w:bidi="ar-SA"/>
          </w:rPr>
          <w:t>2001 BCCA 350</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[2001] B.C.J. No. 1003</w:t>
        </w:r>
      </w:hyperlink>
      <w:r>
        <w:rPr>
          <w:rFonts w:ascii="arial" w:eastAsia="arial" w:hAnsi="arial" w:cs="arial"/>
          <w:color w:val="000000"/>
          <w:sz w:val="20"/>
          <w:lang w:val="en-US" w:eastAsia="en-US" w:bidi="ar-SA"/>
        </w:rPr>
        <w:t xml:space="preserve">; leave to appeal to the Supreme Court of Canada denied </w:t>
      </w:r>
      <w:hyperlink r:id="rId146" w:history="1">
        <w:r>
          <w:rPr>
            <w:rFonts w:ascii="arial" w:eastAsia="arial" w:hAnsi="arial" w:cs="arial"/>
            <w:i/>
            <w:color w:val="0077CC"/>
            <w:sz w:val="20"/>
            <w:u w:val="single"/>
            <w:shd w:val="clear" w:color="auto" w:fill="FFFFFF"/>
            <w:lang w:val="en-US" w:eastAsia="en-US" w:bidi="ar-SA"/>
          </w:rPr>
          <w:t>[2001] S.C.C.A. No. 390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Moore, supra, the plaintiff was injured in a single vehicle accident and taken to the hospital, where the defendant doctor concluded that no spinal injury had been sustained. The plaintiff was transferred to a ward to sleep off his intoxication, and woke up the next morning paralyzed. It was conceded that the defendant had breached his duty to the plaintiff by failing to perform a proper physical examination; the critical issue was causation. The defence alleged that the paralysis occurred at the time of the accident; the plaintiff alleged that it had occurred sometime after the doctor's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Madam Justice Gill, the trial judge, considered the issue of causation and stated at [paragraph]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turn now to the issue of causation. All parties have led evidence on this issue and it would be inappropriate to "resort to an inferential analysis" as was argued on the plaintiff's behalf. The burden is on the plaintiff to prove, on a balance of probabilities, that the negligent conduct of one or more of the medical defendants caused his injury and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dismissing the plaintiff's appeal, Mr. Justice Hollinrake, for the Court, stated at [paragraph]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I think in a case such as this where there is affirmative medical evidence leading to a medical conclusion it is not open to the court to apply "the common sense reasoning urged in Snell v. Farrell." I take it this is what the trial judge was referring to when she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parties have led evidence on this issue [causation] and it would be inappropriate to resort to an inferential analysis as was argued on the plaintiff's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share that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In Bigcharles, supra, a similar issue arose as to whether the plaintiff's spinal injury was complete at the time of the accident or whether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physicians and nurses at the hospital had contributed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trial judge, Mr. Justice Fraser, commented on both Snell and Moore at [paragraph]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defence contends that the robust and pragmatic approach mandated by Snell v. Farrell only comes into play if there is no evidence to the contrary. It cites Moore v. Castlegar &amp; District Hospital, a decision of our Court of Appeal in a case very similar to this one. Mr. Moore had been in the hospital for some hours before it was discovered that he had a spinal cord injury. A number of doctors, including Dr. Fairholm and Dr. Schweigel, gave opinion evidence that the injury was complete before his admission. This evidence was based on the fact that the plaintiff had sustained an unstable burst fracture of a kind usually associated with a complete spinal cord injury. The Court held that this constituted affirmative medical evidence leading to a medical conclusion and that, therefore, it was not open to the trial judge to apply Snell v. Farrell.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Fraser J. considered the meaning of the term "evidence to the contrary" at [paragraph]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do Snell v. Farrell and Moore mean by "evidence to the contrary"? It is not just any evidence. Even in the criminal context, opinion evidence which is only general in nature - not based on the particular facts - does not constitute evidence to the contrary. It must be more than a speculative possibility. It must be evidence which has reasonable credibility as being specific to the case and factual or based on fact. I conclude that the expression must mean evidence which raises a weighty concern that the plaintiff's theory is unsound. It need not be worthy of acceptance. (If it were worthy of acceptance, the verdict would be based on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Fraser J. concluded that the plaintiff had not proven on a balance of probabilities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doctor had contributed to his spinal cord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On appeal, the plaintiff argued that the robust and pragmatic approach set out in Snell shifted the burden of evidence onto the defendant and that, in the absence of such evidence, an inference of causation should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dismissing the appeal, Mr. Justice Hollinrake, for the majority (Madam Justice Southin dissenting), commented on the application of Snell''s robust and pragmatic approach at [paragraphs] 69-70: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reasons in Snell at para. 33, Sopinka J. referred to the case where "some evidence to the contrary is adduced by the defendant" and the judge then being entitled to take a "robust and pragmatic approach to the...facts."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see the case before us as one where "some evidence", as Sopinka J. used those words, was adduced by the respondents. The fact is that the respondents adduced substantial evidence on the issue of causation, relying upon three medical specialists. Contradicting their conclusions is the evidence of the appellant's medical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Hollinrake J.A. described the trial judge's conclusion with respect to the evidence at [paragraph]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judge then concluded that he "found the theories of the plaintiff and the defence equally credible, with neither reaching the level of probability."...Considering all the medical evidence and the judge's conclusion that Snell "does not come into play," I think what the judge was saying was that having found as he did, weighing the medical evidence before him, he was not prepared to draw an inference on the issue of causation. There was a good deal of medical evidence before him and his reasons demonstrate that he weighed it all and concluded that neither party had proved his case on the balance of probabilities. In my opinion, on the basis of the weighing by the judge of a substantial body of evidence it cannot be said that he erred in refusing to draw an inference favourable to the appellant on the causation issue. I do not view the principle in Snell as being one to permit a trial judge to leap to a conclusion by way of an inference without a full consideration of the evidence during the weighing process. If that process leads to a conclusion that neither party has made out its case on a balance of probabilities where, as here, there is a substantial body of evidence led by the defendants on the issue of causation, it is in my opinion open to the trial judge to decline to draw an inference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In Dobie v. Dlin, </w:t>
      </w:r>
      <w:hyperlink r:id="rId147" w:history="1">
        <w:r>
          <w:rPr>
            <w:rFonts w:ascii="arial" w:eastAsia="arial" w:hAnsi="arial" w:cs="arial"/>
            <w:i/>
            <w:color w:val="0077CC"/>
            <w:sz w:val="20"/>
            <w:u w:val="single"/>
            <w:shd w:val="clear" w:color="auto" w:fill="FFFFFF"/>
            <w:lang w:val="en-US" w:eastAsia="en-US" w:bidi="ar-SA"/>
          </w:rPr>
          <w:t>2002 BCSC 356</w:t>
        </w:r>
      </w:hyperlink>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[2002] B.C.J. No. 507</w:t>
        </w:r>
      </w:hyperlink>
      <w:r>
        <w:rPr>
          <w:rFonts w:ascii="arial" w:eastAsia="arial" w:hAnsi="arial" w:cs="arial"/>
          <w:color w:val="000000"/>
          <w:sz w:val="20"/>
          <w:lang w:val="en-US" w:eastAsia="en-US" w:bidi="ar-SA"/>
        </w:rPr>
        <w:t xml:space="preserve"> at [paragraph] 208, this Court also declined to apply Snell's "robust and pragmatic approach to the facts" where the parties adduced expert evidence on the issue of causation.</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theory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essence of Dr. Cleator's theory of causation is that Mr. Michener had an undiagnosed, complete obstruction of his small bowel within the pouch, and like a Paris sewer, the Domperidone forced faeces against this obstruction, causing the bowel to rupture at its weakest point, the anastomosis at the ileostomy closure 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always look at the contents of the bowel, is rather like the sewers of Paris, where you've got the outside lined with solid material and little bit in the middle with fluid running down. And if you imagine this big wall coming down the constriction, sort of pumping all those things downwards, that gives you an idea of how the whole thing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Doris strenuously rejected that colourful analogy: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very complex and beautiful physiology of the motility of the gastrointestinal tract would take some umbrage at being referred to as a Paris sewer.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Cleator did concede that, unlike a Paris sewer, the small intestine secretes and absorbs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Lahay submits that the Domperidone may not have been the only cause of the perforation but, by improving the peristalsis (the wavelike movement that moves the contents of the alimentary canal downwards) to the point of the bowel obstruction, Domperidone at least contributed to the rupture.</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theory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Drs. Orrom and Blair suggested an alternative explanation for the plaintiff's perforated bowel. Even if an anastomosis is perfectly constructed, in 1 - 3% of the cases it can leak slightly for unexplained reasons. The anastomosis is surrounded by loops of small bowel that can adhere or stick to the suture line to aid in the healing process or, in the case of a leak, seal the leak off. In a separate process, in an effort to contain the abscess that forms over the leak, the body will wall off the infection with adjacent organs. Over time, the size of the leak may increase and the adjacent bowel may separate from the anastomosis. As a result, the intestinal contents spill freely through the perforation, resulting in peritonitis. Dr. Blair suggested that, in this case, the small bowel likely became stuck on the site of the leak, causing a kink and an ileus in the small bowel as the infection interfered with the normal functioning of the bowel. When the perforation grew larger, the two pieces of bowel separated. The inflammatory process would result in a deposit of fibrinous exudate, a hard patchy white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Cleator agreed in his cross-examination that there can be a disruption or a breakdown at the incision line for no apparent reason, in 1 - 3% of the cases. Through no fault of the surgeon, the sutures can pull through bits of tissue and a small leak may develop, an abscess may form, and a piece of bowel adjacent to the abscess may adhere to it, resulting in a contained leak which, as the healing process continues, may lose its containment. In this case, however, Dr. Cleator did not believe that such an explanation was likely, because of the timing and size of the perforation: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it had been a small - if it had been a small leak forming an abscess walled off, then why would the hole suddenly become bigger? It wouldn't need to become bigger. It would stay a fairly small hole, I would have thought. It wouldn't have become a bigger hole over the course of the two - it would - it would have formed to have been a small hole. I mean, I've seen this reasonably often. There would be a small hole, there would be an abscess from the abscess, and then perforates, but when you go in you see clear evidence of that, because what happens is you see first of all a fairly small hole in the bowel, then you see an area maybe the size of a golf ball where there's white plastic peritonitis and then the pus is split into pinkish reddish bowel. So you see the different three stages, the first stage being the small hole, the second stage being the golf-ball-like area of the white - absolutely white tissue plastic peritonitis, which has been there for several days maturing, and then the secondary event, which was the spilling into the generalized peritonitis. Whereas with a one-time perforation you wouldn't see this whitish walled-off - the piece of bowel that sticks would have been white. There was no comment of any white that had been plasticated down. There was no comment of that in any of the [operating] notes. So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then the timing, again, you would have thought with a process like that the timing would have been - would have been somewhat different, because I mean here you've got - here you've got this situation where you say there's nothing much happening and that's possible, but there would have been some tenderness there, you know, under the wound. It would have been tender there, it would have been sore. But the main pain seemed to come later on with a sudden - like a burst on the Monday. I don't - it didn't strike me that - I mean anything is possible, but it didn't strike me as probable that that would be the state of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Dr. Cleator suggested that if there had been a leak that was walled off and contained, there is no explanation as to why "the dam burst." In his opinion, it was irrefutable that the Domperidone precipitated the perforation.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Drs. Doris, Orrom and Blair testified that, in fact, the charting was consistent with and supportive of the defendants' theory of causation: that the anastomosis at the site of the ileostomy closure leaked, and a piece of adjacent bowel adhered to the anastomosis, sealing off the leak. Most importantly, the post-operative report refers to the removal of "fibrinous exudate" and the surgical pathology report refers to "thick serosal inflammatory exudate". Dr. Doris described how he had peeled this fibrinous exudate, which he likened to a lemon peel, from the adjacent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Orrom also explained that a leak, occluded by the adjacent loops of bowel and the fibrinous exudate, might not appear on the Hypaque films. If the perforation had increased in size, then it could have burst open. He agreed that peritonitis could have developed several days after the initial perforation had occurred and sealed itself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Lahay does not dispute Dr. Blair's theory, namely that there was a leak, self-contained, that kinked and blocked the bowel. However, he submits that the administration of Domperidone then caused the bowel to perforate. He suggests that the bowel obstruction may have cleared when the bowel ruptured on January 24, two days after Domperidone was first prescribed, and a day before the Hypaque films were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reply to Mr. Lepp's suggestion that Domperidone has no direct impact on the distal small bowel, Dr. Cleator agreed that the drug stimulates gastric emptying in "the upper end" but said that no one, including the manufacturer, is sure of the effect of the drug on the distal small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Dr. Blair's opinion, a leak occurred after closure of the ileostomy and Domperidone played no role in causing the perforation. He is unaware of any scientific studies supporting the warnings in the pharmaceutical manufacturer's information. He testified that a pro-kinetic facilitates gastric emptying by moving fluid from the stomach to the duodenum where it will be absorbed. He said that most of the fluid will be absorbed in the upper small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Drs. Orrom and Freeman expressed the opinion that because it is an upper gastrointestinal motility modifier, Domperidone would have little or no effect on the distal small bowel. It would only impact upon gastric emptying; that is, it would have an effect on the stomach and duodenum and, to a lesser extent, on the esophagus.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his report, Dr. Orrom expressed the opinion that Domperidone was used appropriately to lessen the plaintiff's nausea, because of its anti-emetic effects and its stimulation of gastric motility. Its motility effect appears to be limited to the upper GI tract. It has little or no effect on the lower GI tract.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[Domperidone] has minimal to no effect on the gut below the duodenum, it would be unlikely to have played a role in the anastomotic leak in this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Dr. Orrom's opinion, neither Maxeran nor Domperidone have ever been implicated in the etiology of postoperative anastomotic leakage and, in this case, neither drug had any effect on the outcome of the procedure. In cross-examination, Mr. Lahay suggested that Dr. Orrom's opinion was based on his assumption that there was no obstruction present. Dr. Orrom replied that "even if there was an obstruction, I don't believe [Domperidone] would have caused it to rupture." It was his opinion that "Domeridone could never cause that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At trial, Dr. Orrom was asked to estimate the amount of fluid in the GI tract that would be impacted by the administration of Domperidone: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give a rough estimate, Doctor, of the percent of total fluid volume we find in the GI tract that is going to be impacted by the gastric emptying properties of Domperidone?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gosh. Even in, say, a normal setting it's probably fairly low. In someone who hasn't got an obstructed gut it might be 10 percent. But if you have a gut that's already filled with fluid from -- and then, say, you're adding to that fluid, because it's obstructed it's going to be very full of fluid if it's obstructed. You're looking at an even smaller number. It might be 5% or less.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Accordingly, even if there was a complete obstruction in the distal small bowel, it is unlikely that Domperidone could have any impact on bursting pressures. Mr. Lahay submits that, having never used that drug, Dr. Orrom was not, in fact knowledgeable about the properties of Domperidone. His evidence relating to the drug was based on (1) a number of articles he had looked up on the Internet that indicated that the effect of the drug was limited to the stomach and duodenum, rather than the distal end of the GI tract, and (2) his finding that there were no reported cases of perforation or leakage resulting from ingestion of Domperidone. I note though, that Dr. Orrom commonly uses Maxeran, which is also described as "a modifier of upper gastrointestinal tract motility" and has a virtually identical contraindication to Domperidone.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Freeman testified as to the propriety of Dr. Doris ordering Maxeran and Domperidone and the issue of whether those drugs had any bearing on the perforation and/or leak. In his opinion, it was appropriate for Dr. Doris to order both Maxeran and Domperidone in the doses and for the periods prescribed. In his opinion, neither medication could have had any bearing on the perforation and/or leak. He also testified that both drugs promote improved transit through the esophagus, stomach and upper small intestine. They are used for the treatment of gastroesophageal reflux and impaired gastric emptying, and to promote movement of intestinal contents from the stomach into the duodenum. They are useful to ameliorate post-operative nausea and vomiting.</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re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plaintiff's theory of causation is based on Dr. Cleator's expert opinion, which, in turn, rests on a number of erroneous assumptions, the most serious of which is that there was clear evidence of a complete small bowel obstruction. That assumption is negated by the Hypaque films and the evidence that Mr. Michener discharged stool on a number of occasions post-operatively and before the perforation. The defendants' expert witnesses were adamant that Domperidone could not have caused the perforation at the anastomosis even if there was an obstruction, because it would have little or no effect on the distal end of the small bowel below the ileostomy site. Further, any perforation due to increased pressure would be expected to occur in an area where the bowel was dilated, not at the site of the anastomosis where the tissue would be stronger. Dr. Cleator agreed, in cross-examination, that after several days of healing, the anastomosis site would likely be stronger than the surrounding dilated tissue of the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contraindication in the CPS and the manufacturer's monograph against the use of Domperidone, upon which the plaintiff's theory rests, is not supported by any peer-reviewed medical literature and, in any event, has no application to the facts of this case, where any obstruction was in the distal end of the small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defendants' theory of causation, while a relatively rare occurrence, is supported by the evidence of three medical experts and consistent with the results of the Hypaque and plain X-ray films.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Although neither party can prove with certainty the cause of the perforation of the plaintiff's small bowel, I conclude that Snell, supra, and its "inference of causation" analysis is inapplicable in this case. The evidence of the defence witnesses easily passes the threshold test of being reasonably credible evidence to the contrary and, at the very least, creates a "weighty concern that the Plaintiff's theory is unsound": Bigcharles,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Michener has suffered from his painful disabling medical condition for many years. In hindsight, his condition was made worse by the Surgery and its disastrous sequel. However, I conclude that the plaintiff has not proven, on a balance of probabilities, that Dr. Doris or Dr. Lai breached the applicable standard of care. Further, I do not find that the plaintiff has proven that either of the defendants' acts or omissions caused or contributed to the perforation of Mr. Michener's bowel. I consider the defendants' theory of causation to be at least as credible as that of the plaintiff. Accordingly, the plaintiff's case must be dismissed. It is unnecessary in the circumstances to assess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DOCUMENT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agreed between the parties to Supreme Court of British Columbia Action No. S006696 Vancouver Registry, that the use of documents at trial shall be as follows: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photocopy of any document will be presumed to be a true copy of the original and is admissible without proof of the original document.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found in the Document Briefs, including but not limited to the clinical records, are admitted into evidence on the basis that the documents are documents made and kept in the usual or ordinary course of the business from which they were originally obtained. The documents are admitted as prima facia proof that any fact personally observed and recorded occurred, or that the statements personally heard or observed and recorded were made.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reserve the right to challenge the accuracy of any fact or statement recorded in the documents.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are not admitted for the purpose of proving any opinion stated therein.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opinion to be relied upon must be served and proven in the ordinary way pursuant to Rule 40A of the Rules of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Agreed to this 28th day of April,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D.W. Lahay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D.W. Lahay, Solicitor for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J.M. Lepp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J.M. Lepp, Solicitor for the Defendants, Dr. Doris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Lai</w:t>
      </w:r>
    </w:p>
    <w:p>
      <w:pPr>
        <w:spacing w:after="240"/>
        <w:rPr>
          <w:rFonts w:ascii="arial" w:eastAsia="arial" w:hAnsi="arial" w:cs="arial"/>
          <w:sz w:val="20"/>
          <w:lang w:val="en-US" w:eastAsia="en-US" w:bidi="ar-SA"/>
        </w:rPr>
      </w:pPr>
      <w:r>
        <w:pict>
          <v:line id="_x0000_s1061" style="position:absolute;z-index:25181900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51"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51"/>
      <w:r>
        <w:rPr>
          <w:rFonts w:ascii="arial" w:eastAsia="arial" w:hAnsi="arial" w:cs="arial"/>
          <w:sz w:val="20"/>
          <w:lang w:val="en-US" w:eastAsia="en-US" w:bidi="ar-SA"/>
        </w:rPr>
        <w:tab/>
      </w:r>
      <w:r>
        <w:rPr>
          <w:rFonts w:ascii="arial" w:eastAsia="arial" w:hAnsi="arial" w:cs="arial"/>
          <w:color w:val="6D6E71"/>
          <w:sz w:val="18"/>
          <w:lang w:val="en-US" w:eastAsia="en-US" w:bidi="ar-SA"/>
        </w:rPr>
        <w:t>Prior to trial, counsel reached an agreement with respect to the terms of a Document Agreement governing the use of the documents admitted into evidence and limiting the purposes for which those documents could be used. A copy of that Document Agreement is attached as Appendix "A" to these reasons. In my respectful opinion, where counsel are engaged in litigation where documents play an essential role in the outcome, they should consider reaching an written agreement in terms such as this one, modified to the circumstances of the case, and filing it at trial.</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Mocharski v. Young Men's Christian Assn. of Greater Vancouver, [2004] B.C.J. No. 1898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4 - 6,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S031632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1898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1206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133 A.C.W.S. (3d) 900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Louie Mocharski, plaintiff, and Young Men's Christian Association of Greater Vancouver, Alain Burelle and Chantale Fournier,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3"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2" w:name="Keywords_7"/>
      <w:bookmarkEnd w:id="52"/>
      <w:r>
        <w:rPr>
          <w:rFonts w:ascii="arial" w:eastAsia="arial" w:hAnsi="arial" w:cs="arial"/>
          <w:b/>
          <w:color w:val="000000"/>
          <w:sz w:val="20"/>
          <w:lang w:val="en-US" w:eastAsia="en-US" w:bidi="ar-SA"/>
        </w:rPr>
        <w:t xml:space="preserve">Civil procedure — Trials — Summary trials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Standard of care — Dangerous things and situations — Sports.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3" w:name="Case Summary_6"/>
            <w:bookmarkEnd w:id="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Mocharski for damages resulting from an injury suffered during a softball game organized by the defendants. Mocharski broke his ankle running into third base. He sued Burelle, the individual who installed the base, Fournier, the person who purchased the base and YMCA, the church society that organized the game. The parties' affidavit evidence conflicted on the events surrounding the incident and the proper installation procedure for the base.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4" w:name="Holdings of Court_5"/>
            <w:bookmarkEnd w:id="5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parties' evidence was insufficient for a finding of contributory harm, it was sufficient to decide the issue of liability. Mocharski's injury was not the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of any of the defendants. The conduct of each of the defendants was reasonable under the circumstances. Fournier and Burelle owed Mocharski a duty to take reasonable care to ensure that the bases were properly installed. This did not amount to a duty of skill, because the players were amateurs playing in a recreational league. Even if the actions of Fournier or Burelle fell below the standard of care, Mocharski failed to establish that such acts or omissions, including the failure to inquire into proper installation methods, were causally related to his injury. It was not reasonable to require YMCA to have taken further steps beyond providing the teams in its league with the rules of playing in the league.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5" w:name="Legislation Cited_4"/>
      <w:bookmarkEnd w:id="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4"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6" w:name="Counsel_7"/>
      <w:bookmarkEnd w:id="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 Hartling-McLean and E. Craig Watson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Young Men's Christian Association Of Greater Vancouver: Michael R. Tinker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Alain Burelle and Chantale Fournier: Christine L. Barnard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7" w:name="Judgment_7"/>
      <w:bookmarkEnd w:id="57"/>
      <w:r>
        <w:pict>
          <v:line id="_x0000_s1066" style="position:absolute;z-index:2518200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8" w:name="ROSS J."/>
            <w:bookmarkEnd w:id="58"/>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Louie Mocharski, seeks damages for personal injuries he suffered on June 11, 2002 while playing in a softball game in a recreational league. The injury occurred as Mr. Mocharski was running from second to third base. His right foot lodged under third base, resulting in a broken ankle. Mr. Mocharski alleges that the injury occurred because the base was installed incorrectly. The defendants are Chantale Fournier, who purchased the bases; Alain Burelle, who set up the bases on the evening in question; and the Young Men's Christian Association of Greater Vancouver ("YMCA"), who administered the 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matter proceeded as a summary trial pursuant to Rule 18A initiated by the defendants who were seeking dismissal of the plaintiff's claims. The plaintiff sought judgment on all issues, including damages. All parties took the position that the matter was appropriate for summary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hearing of the 18A application occupied three days. The matter is set for trial in January, 2005. I have concluded that I am able to find the facts necessary to determine the issue of the liability of the defendants and that it would be in the interests of justice to do so. I am not able to find the facts necessary to determine the issues of contributory fault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For the reasons that follow, I have concluded that the unfortunate injury that Mr. Mocharski suffered was not the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of any of the defendants. The plaintiff's action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EVIDENTIARY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were numerous evidentiary objections taken by the parties in the course of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brought the application. At first, they did not introduce expert evidence with respect to the installation of bases as part of the materials in support of the application. The plaintiff filed the affidavit of Mike Mitzel in which Mr. Mitzel provides expert opinion with respect to the installation of bases based upon his years of experience in the sport. The defendants object on the basis that the nature of the dispute is such that expert evidence is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have concluded that the opinion is admissible. The opinion addresses relevant matters. One issue in this case is whether the bases were set up correctly. Another issue, assuming they were not, is whether there were reasonable steps that any or all of the defendants should have taken to find out the proper method and adopt it. The installation of softball bases is an area in which the trier of fact would be assisted by the evidence of someone with appropriate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the delivery of Mr. Mitzel's affidavit, the defence filed in response the affidavit of Mr. Mitchell. The plaintiff objects to the admissibility of this affidavit on the basis that it is not proper reply, but rather constitutes an attempt by the defendants to split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have concluded that the affidavit is in the nature of reply and that it is in the interest of justice that it be admitted. The situation is somewhat anomalous in that this is an application by the defendants for judgment. Thus, the defence files its materials first. However, the onus of proof does not shift. As in an ordinary trial, the party asserting the affirmative of an issue must prove it on the balance of probabilities, see Miura v. Miura </w:t>
      </w:r>
      <w:hyperlink r:id="rId155" w:history="1">
        <w:r>
          <w:rPr>
            <w:rFonts w:ascii="arial" w:eastAsia="arial" w:hAnsi="arial" w:cs="arial"/>
            <w:i/>
            <w:color w:val="0077CC"/>
            <w:sz w:val="20"/>
            <w:u w:val="single"/>
            <w:shd w:val="clear" w:color="auto" w:fill="FFFFFF"/>
            <w:lang w:val="en-US" w:eastAsia="en-US" w:bidi="ar-SA"/>
          </w:rPr>
          <w:t>(1992), 66 B.C.L.R. (2d) 345</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40 R.F.L. (3d) 43</w:t>
        </w:r>
      </w:hyperlink>
      <w:r>
        <w:rPr>
          <w:rFonts w:ascii="arial" w:eastAsia="arial" w:hAnsi="arial" w:cs="arial"/>
          <w:color w:val="000000"/>
          <w:sz w:val="20"/>
          <w:lang w:val="en-US" w:eastAsia="en-US" w:bidi="ar-SA"/>
        </w:rPr>
        <w:t xml:space="preserve"> (B.C.C.A.). Thus, despite the fact that the defendants have applied for judgment, the onus of proof with respect to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remains upon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Here, the plaintiff introduced expert evidence as part of his case. In my view, it would not be in the interests of justice to deny the defence the opportunity to respond to that opinion. It would also not be reasonable to expect that the defence would be able to anticipate all of the plaintiff's evidence failing which it would lose the opportunity to produce evidence in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has numerous objections to portions of the evidence of Diardichuk, Sauer, Hurst, Mah, Wilczynski, Burelle, Fournier, Reid, Frank, Ladic and Mah on the basis that the portions are inadmissible opinion. The present rule with respect to the admissibility of the opinion evidence of lay witnesses is summarized in John Sopinka, Sidney N. Lederman &amp; Alan W. Bryant, The Law of Evidence in Canada, (2d) ed. (Toronto: Butterworths, 1999) at para. 12.11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Courts now have greater freedom to receive lay witnesses' opinions if: (1) the witness has personal knowledge; (2) the witness is in a better position than the trier of fact to form the opinion; (3) the witness has the necessary experiential capacity to make the conclusion; and (4) the opinion is a compendious mode of speaking and the witness could not as accurately, adequately and with reasonable facility describe the facts she or he is testifying about. But as such evidence approached the central issues that the courts must decide, one can still expect an insistence that the witnesses stick to the primary facts and refrain from giving their inferences. It is always a matter of degree. As the testimony shades towards a legal conclusion, resistance to admissibility develops.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the learned authors note, the issue is a matter of degree. While there is a degree of concern with respect to the manner in which some of this evidence was expressed, I have concluded that, with the exception of the last sentence in paragraph 8 of the affidavit of Lance Reid, which is excluded, the evidence is admissible. The weight to be given is of course quite a separate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objects to portions of the affidavits of Burelle, Fournier, Reid, Frank and Ladic on the basis that the portions are inadmissible hearsay. With the exception of the sentence commencing "I am told ..." in paragraph 9 of the Burelle affidavit, which is excluded, I have found that the balance of the evidence objected to does not constitute inadmissible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Splitting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Finally, the plaintiff objects to the admission of the affidavit of Kuznak and affidavit #2 of Fournier on the basis that they are not proper reply and are an improper attempt by the defendants to split their case. For the reasons expressed earlier in these reasons with respect to the Mitchell affidavit, I have concluded that it is in the interest of justice that these affidavits be admitted. In the circumstances, the affidavits did not constitute an improper attempt to split the defence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injury occurred during a regularly scheduled game that was part of the 2002 YMCA Adult Co-Ed Softball League. The league is a recreation slow pitch league organized by the defendant YMCA.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game was between two teams called the Grayline Diamonds and the Mumbas. The defendants, Chantale Fournier and Alain Burelle, were members of the Grayline team. Mr. Mocharski was a member of the Mumbas. Grayline was the home team and as such was required under League Rules to supply and set up the bases used in the game. Ms. Fournier, the Grayline captain, purchased the bases and Mr. Burelle set them up on the night of the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William Ladic was the Adult Softball Coordinator of the League from 1998 to 2002. It was his responsibility to supervise the basic operations of the League, including registration, revision, updating rules, and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YMCA league rules that were in effect in June, 2002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Canadian Amateur Softball rules from the softball Canada Official Guide and Rule Book will apply with the inclusions of the following;</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Aggressive, intentional sliding is not allowed. When a player slides to avoid a tag, he/she is automatically out. If he/she slips as a way of slowing down or merely trips on a base or a wet spot on the ground then she/he is not automatically out. Runners are permitted to dive back to a base in a situation where they over ran second or third.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 - Bases are to be secured to the ground with straps and pegs/spikes ... All your equipment should comply to the rules in the current Softball Canada Rule Book.</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Bases must be secure. When a team sets up the field, they must secure all the bases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Canadian Amateur Softball Association Rules contain the following provision concerning bases: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bases, other than home plate, shall be 38.1 cm (15 in.) square and shall be made of canvas or other suitable material and not more than 12.7 cm (5 in.) in thickness. The bases should be securely fastened in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Rules were given to all team representatives or captains prior to the 2002 season. Mr. Ladic met with the team captains prior to the 2002 season. He told the captains that it was their responsibility to ensure that their players were following the rules. He told the captains that the home team for each game was to supply the bases.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Ladic was not aware of any specifications in the Rules, from manufacturers of bases, or from any of the governing bodies for softball concerning how much a base should move after it is secured and upon contact. He did not provide the teams with any additional instructions with respect to bases beyond what was in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were approximately 200 teams in the league in 2002. The YMCA did not have sufficient work force to monitor the games and did not do so. Mr. Ladic did attend some games to conduct spot checks to ensure compliance with YMCA's no alcohol policy. He did not check the equipment in the course of such spot checks.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Fournier was the Grayline team captain. She reviewed the rules provided by the YMCA with her team members at the start of the season. She purchased the equipment for the team, including the bases. She purchased the bases at a sporting goods store on Burrard Street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base in question was square with two adjustable canvas straps forming a cross along the bottom. The bases were equipped with a metal peg with a triangular head on the top. The peg was hammered into the ground and the strap passed through the head of the peg securing the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bases did not come with any written instructions. When she purchased the bases, the store manager told Ms. Fournier that the bases are installed by pushing the peg into the ground and then slipping the strap underneath the base through the head of the peg. The store manager did not tell her that the peg should be situated in a particular place in relation to the base or the baseline.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Fournier did not discuss the instructions she had received from the store manager with Mr. Burelle prior to his installation of the bases.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Burelle had some 18 years' previous experience playing baseball in Montréal. He did not depose with respect to his experience in setting up bases. He set up the bases on the evening in question. He deposed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base was pinned into the ground with one pin. It was not rigid and there was some give to the base. There is a strap at the bottom of the base with a loose pin. The strap is aligned in the direction of the base runner and is slid through the head of the pin. The pin is put into the ground and it allows a small amount of give when a person slides into the base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relied upon the evidence of Mike Mitzel with respect to the proper way to set up a base. Mr. Mitzel deposed that he has been playing and coaching softball and hardball for 30 years and has served as a volunteer in hardball and softball organizations. He gave the following evidence with respect to the proper installation of the type of base used: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proper installation at third base is as follows: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metal peg is attached to one of the straps which runs along the underside of the base;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peg is then pushed into the ground of the point where the second-third base line intersects with the foul line running from home base through third base along the outfield;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strap to which the peg is fixed would, after the base is installed, run in a line along the second-third base 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base is properly installed, the peg will be placed at the point furthest away from second base. This is done for two reasons: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that the third base remains within bounds of the softball field formed by the foul lines;</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the safety of any base runner running from second to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peg is placed at the point furthest away from second base, the chances of a base runner who has his foot caught under the base hitting the peg are minimized and should a base runner have his or her foot go under the base, the entire base will flip along the axis provided by the spike.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base is installed as set out above, it will not remain immobile if a person's foot gets caught underneath it during a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relied upon the evidence of Alan Mitchell, who is field manager for the Vancouver Grey Socs, a competitive fastball team. Mr. Mitchell deposed that he has participated in the sport of softball for over 30 years as a player and coach. He is a certified coach in the National Coaching Certification Program and is qualified as a Level II coach. He deposed that the proper method of setting up the base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type of base is properly installed at third base by pushing or hammering the peg into the ground. The strap is attached through the head of the peg and secured. When in place, the base will be placed along the third base foul line so that the entire base is in fair territory. The peg will be situated in the centre of the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Mitchell made reference to a publication of Softball Canada, the governing body for the sport of softball in Canada and British Columbia, entitled Softball Field Maintenance From The Ground Up, dated 1984-85. That publication contained the following instructions with respect to installation of bases: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and Two-Peg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two most popular types of bases are the one and two-peg made of canvas and vinyl. Canvas and vinyl bases are durable, easy to maintain, easy to install and relatively inexpensive.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peg can either be forced into the ground or placed in the ground and then anchored in concrete. Straps from the base are placed through the hook that remains slightly above ground to secure the base to the correct position. The peg should be installed in the centre of the base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Injuries Relating to Bases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debatable whether injuries relating to bases are a result of the base failing to move or the base moving too easily upon contact. Most experts feel the former is the cause along with the reasoning that more injuries would be prevented if baserunners knew how to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Mitchell made the following comments with respect to Mr. Mitzel's method of installing third base: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 Mitzel's method of installation is more likely to cause injury to a base runner.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peg is located as Mr. Mitzel indicates, then the head of the peg will be exposed. A base runner who is rounding third base runs the risk of landing on or tripping over the head of the peg itself. If the peg is in the centre of the base, then the base runner is protected from the base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having the base at the back position of the base could result in too much movement of the base. The base could be pushed, or flipped, entirely into foul territory during the play of the game. Also, that location of the peg in relation to the base will provide too little stability for the base, and the base could slip from underneath a base runner causing the runner to slip and fall and potentially injuring himself or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considerable diversity in the evidence with respect to the mechanics of the accident in which Mr. Mocharski was injured. Darryl Diardichuk was a member of Mr. Mocharski's team and was acting as the third base coach at the time of the accident. He deposed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batter struck the ball, but I do not recall whether or not the ball left the in field.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ball was truck, the Plaintiff ran very quickly from second base towards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appeared to me that the Plaintiff was running very quickly and attempted to stop quickly at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foot went under third base, and I heard a crack. The Plaintiff tumbled over third base in the direction he was running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Sandra Sauer was another player of the Mumbas team. She was at the first base sideline at the time of the accident. She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ball was struck, the Plaintiff ran very quickly from second base towards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see if the Plaintiff slid or not, but he appeared to trip over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appeared to me that the Plaintiff was running very quickly and attempted to stop quickly at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see the mechanics of the Plaintiff's fall, but noted that after reaching third base, his body went over top of the base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Denise Hurst was also on Mr. Mocharski's team. She deposes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one of the later innings of the Game, when the Mumbas were up to bat, the Plaintiff was on second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that point, I was running the bases behind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ball was struck, the Plaintiff ran very quickly from second base towards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know if the Plaintiff did so intentionally, but he performed a standing slide into third base. I would describe the action as "surfing" into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to me that the Plaintiff was running very quickly and attempted to stop quickly at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foot appeared to go under third base, and his momentum carried his body over third base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Dennis Mah was another of Mr. Mocharski's teammates. He was on the sidelines at the time of the accident. 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know if the Plaintiff was sliding into third base or not, but I noted that he went down very quickly upon reaching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appeared to me that the Plaintiff was running quickly and suddenly went down at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see the mechanics of the Plaintiff's fall, but noted that after reaching third base, his body went over top of the base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Andrew Wilczynski played on the Mumbas. On the evening in question, he was on the sideline. 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ball was struck, the Plaintiff ran very quickly from second base towards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was running very quickly directly at third base and appeared to attempt to stop quickly at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foot went under third base and he went down quickly (the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clearly in pain. From the sidelines, it appeared that third base did not move much upon contact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Burelle who played for the Grayline team, was in centre field at the time of the accident. 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incident occurred during the 6th or 7th inning and our team was leading by a number of runs. I believe the score was approximately 16 to 3 in favour of my team. The Mumbas were at bat and the plaintiff was on second base. There was a runner at first base. The batter hit the ball and it was caught in the infield and then thrown to the third baseman.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running fast towards third base and was approximately three feet away when he appeared to slide towards third base. He was sliding "feet first" towards third base with his body leaning towards second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Fournier, who is Mr. Burelle's spouse and also plays on the Grayline team,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Incident occurred during the 6th or 7th inning and our team was leading by a large margin. The Mumbas were at bat. The plaintiff was on second base and his wife was at first. The batter hit the ball and it was weak. It was caught in the infield and then thrown to the third baseman. The third baseman caught the ball and it was an automatic out according to the rules. There was no need to tag the player. The plaintiff was running hard towards third base and was approximately three feet away when he appeared to slide. He slid late and went down on his leg. He started screaming in apparent pain and his wife came to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Lance Reid was the third base player for the Grayline team. 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was running from second to third base, I was approximately five feet off the base, I was not over top of it, but I was getting ready to catch the ball to make the play at third base. As I turned towards the Plaintiff I saw him slide directly into the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slide was not out of the ordinary. It was a regular baseball slide where a player tucks on leg under and slides in until his or her foot hits the bag.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this Incident, the bottom of the plaintiff's foot met the bag in a parallel fashion. Because of the size of the plaintiff, and the momentum of his slide, when his foot hit the bag his body kept moving and his ankle rolled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Deana Frank was playing shortstop for the Grayline team. She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were playing in the early evening. It was clear and it was still light out. I was playing the position of short stop between second and third base. By the sixth inning, our team was leading by a number of runs. An individual went up to bat and hit a ground ball directly towards me. Immediately after I caught the ball, the plaintiff ran quite fast in front of me. It was my intention to throw the ball to third base to force the out. As I turned around to throw the ball, I saw the plaintiff aggressively slide into third base and his foot make contact with the base. I did not hear a popping sound but I recall the plaintiff rolling around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Erwin Mah was another member of the Grayline team. 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the Mumbas last at bat and the Grayline Diamonds were winning by a large margin. The plaintiff was on second base when the ball was hit into play to either the shortstop or to second base. The ball was fielded by either the shortstop or the second base person and the ball was thrown to third base. The third base person caught the ball. The plaintiff was running very hard into third base. The ball arrived at third base prior to the plaintiff reaching third base. It was an automatic out so there was no tag involved in the play. The plaintiff went in feet first to third base and his foot and body slid over the top of the bag and I understand his ankle broke.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Christine Mocharski, the plaintiff's spouse, was on the Mumbas team. She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the pitch which led to my husband's broken ankle occurred, I was on first base, my husband was on second base and no one was on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recall the exact score at the time, but I do recall that the Grayline Diamonds were winning.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recollection is that the ball was hit to the outfield.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batter, a male Mamba's player, ran to first.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against the rules to have two runners on one base, I had to run to second and Louie had to run to third base at least.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play softball, I always watch the base runner ahead of me. I do this because sometimes that person has to run back to the base they just left, which forces me to run back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was running to second, I was watching Louie run towards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Louise was running fast and straight towards third base. He did not slow down as he approached third base but instead looked like he was going to run to home base. I do not remember the ball being anywhere near Louie.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Louie planted his right foot on third base in order to turn towards home plate I saw his foot get stuck under third base on the side that faces towards second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Louie did not slide into third base. I have never seen my husband slide during a softball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Finally, Mr. Mocharski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sustaining the injury to my ankle, I was on second base. Christine was on first base behind me. There was no one on third base.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remember who the batter was, but I remember that the batter was a 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ball was hit to the centre outfield. The batter ran towards first base and my wife ran towards second. I could not stay on second base. I had to run to third base or home plate, because softball rules only allow one play on a base at a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intended to round third base and run to home. I would not have decided to run to home base if the ball was in the infield or if I thought it was in the infield.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make it to home base and comply with the League rules, I had to touch third base first: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running straight towards third base.</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base coach is responsible for determining whether the ball is being thrown to third base and if so, warn me. The third base coach did not tell me to stay on third base. The third base coach did not gesture at me to stay on third base. I took this to mean that it was safe to keep running to home.</w:t>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ball was not near me as I was running towards third base. The third baseman was not at third base or otherwise interfering with my run.</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slow down as I approached third base.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was intending to touch third base, turn left and run to home, as I approached the base my body was leaning to the left slightly in preparation for the turn. I was planning on planting my right foot on third base, on the side that faces towards second base.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I planted my right foot and I was rounding third base, my right foot went underneath the base and became stuck under third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Prior to Mr. Mocharski's accident, the players had not had trouble with the base. For example, Mr. Mah deposed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run over the bag at third base at least four or five times that night and it was fine. During those four or five times, I had a situation where I had to stop at third base and I also had a situation where I ran home from third base. ... During the entire game, I did not understand that anybody had any problem with third base or that anybody had any trouble running over third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Each party has urged me to make findings of fact with respect to the manner in which the accident occurred and in particular with respect to the question of whether Mr. Mocharski was sliding in contravention of League Rules when the accident occurred. Given the diversity in the accounts, it is clear that there are issues of credibility and reliability to be resolved. These issues cannot be resolved summarily.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Therefore, as noted earlier in these reason, I am not able to find the facts necessary to determine the issue of contributory fault. I concluded that I was not able to find the facts relevant to the damage claim in light of a similar diversity in the evidence which I could not resolve or reconcile in a summary proceeding. I am, however, able to find the facts necessary to resolve the fundamental issue of the liability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Chantale Fournier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made the following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Ms. Fournier: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team captain and the person who purchased the bases, the Defendant Fournier owed a duty to her team-mates and the members of the other teams she played against to ensure that those bases were properly installed - either by herself, or by someone else who was knowledgeable about bas installation.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reasonably foreseeable that carelessness on the part of Fournier in failing to ensure proper installation would result in the injury of someone playing softball with those bases.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meet the standard of care she owed to the other League players, the Defendant Fournier ought to have: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Ascertained, through the Defendant YMCA or otherwise, how to install the bases for use in League games. Brief instructions are not sufficient in this regard.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Communicated those installation instructions to whoever actually installed the bases.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Ensured that whomever installed the bases for use in League games knew how to install the bases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It is clear that participants in sports owe their fellow players a duty of care, see Unruh (Guardian ad litem of) v. Webber </w:t>
      </w:r>
      <w:hyperlink r:id="rId156" w:history="1">
        <w:r>
          <w:rPr>
            <w:rFonts w:ascii="arial" w:eastAsia="arial" w:hAnsi="arial" w:cs="arial"/>
            <w:i/>
            <w:color w:val="0077CC"/>
            <w:sz w:val="20"/>
            <w:u w:val="single"/>
            <w:shd w:val="clear" w:color="auto" w:fill="FFFFFF"/>
            <w:lang w:val="en-US" w:eastAsia="en-US" w:bidi="ar-SA"/>
          </w:rPr>
          <w:t>(1994), 112 D.L.R. (4th) 83</w:t>
        </w:r>
      </w:hyperlink>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[1994] 5 W.W.R. 270</w:t>
        </w:r>
      </w:hyperlink>
      <w:r>
        <w:rPr>
          <w:rFonts w:ascii="arial" w:eastAsia="arial" w:hAnsi="arial" w:cs="arial"/>
          <w:color w:val="000000"/>
          <w:sz w:val="20"/>
          <w:lang w:val="en-US" w:eastAsia="en-US" w:bidi="ar-SA"/>
        </w:rPr>
        <w:t xml:space="preserve"> (C.A.), Zapf v. Muckalt </w:t>
      </w:r>
      <w:hyperlink r:id="rId157" w:history="1">
        <w:r>
          <w:rPr>
            <w:rFonts w:ascii="arial" w:eastAsia="arial" w:hAnsi="arial" w:cs="arial"/>
            <w:i/>
            <w:color w:val="0077CC"/>
            <w:sz w:val="20"/>
            <w:u w:val="single"/>
            <w:shd w:val="clear" w:color="auto" w:fill="FFFFFF"/>
            <w:lang w:val="en-US" w:eastAsia="en-US" w:bidi="ar-SA"/>
          </w:rPr>
          <w:t>(1996), 142 D.L.R. (4th) 438</w:t>
        </w:r>
      </w:hyperlink>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[1997] 1 W.W.R. 617</w:t>
        </w:r>
      </w:hyperlink>
      <w:r>
        <w:rPr>
          <w:rFonts w:ascii="arial" w:eastAsia="arial" w:hAnsi="arial" w:cs="arial"/>
          <w:color w:val="000000"/>
          <w:sz w:val="20"/>
          <w:lang w:val="en-US" w:eastAsia="en-US" w:bidi="ar-SA"/>
        </w:rPr>
        <w:t xml:space="preserve"> (C.A.) and Wilson v. Haddock </w:t>
      </w:r>
      <w:hyperlink r:id="rId158" w:history="1">
        <w:r>
          <w:rPr>
            <w:rFonts w:ascii="arial" w:eastAsia="arial" w:hAnsi="arial" w:cs="arial"/>
            <w:i/>
            <w:color w:val="0077CC"/>
            <w:sz w:val="20"/>
            <w:u w:val="single"/>
            <w:shd w:val="clear" w:color="auto" w:fill="FFFFFF"/>
            <w:lang w:val="en-US" w:eastAsia="en-US" w:bidi="ar-SA"/>
          </w:rPr>
          <w:t>(1999), 129 B.C.A.C. 313</w:t>
        </w:r>
      </w:hyperlink>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1999 BCCA 552</w:t>
        </w:r>
      </w:hyperlink>
      <w:r>
        <w:rPr>
          <w:rFonts w:ascii="arial" w:eastAsia="arial" w:hAnsi="arial" w:cs="arial"/>
          <w:color w:val="000000"/>
          <w:sz w:val="20"/>
          <w:lang w:val="en-US" w:eastAsia="en-US" w:bidi="ar-SA"/>
        </w:rPr>
        <w:t>. The standard of care is one of reasonableness. The standard is breached where the defendants engage in unreasonable or careless acts outside the risks normally assumed by playing the sport, see Unruh,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Turning then to the plaintiff's contentions with respect to Ms. Fournier, in my view the plaintiff sets the standard too high in submitting that Ms. Fournier owed a duty to "ensure" that the bases were properly installed. Her duty was to take reasonable care to this end. This is particularly so given that these players are amateurs playing in a recreational league. Ms. Fournier owed Mr. Mocharski a duty of care, not a duty of skill, see Wooldridge v. Sumner (1962), 2 All E.R. 978 (C.A.) at 988-90, [1963] 2 Q.B. 43 per Diplock L.J. cited with approval in Unruh,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Turning then to the specific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find that the plaintiff has not succeeded in establishing that Ms. Fournier's conduct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Fournier did purchase bases that did not come with written instructions; however, there is no evidence that bases were available for purchase that did come with written instructions. There is no evidence that such instructions, if implemented, would have made a difference in the method used to set up the bases. Moreover, the plaintiff concedes that the bases that Ms. Fournier purchased were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Fournier made no inquiries of the YMCA about how to install the bases. However, there is no evidence that had she done so, she would have been told anything that would have made a difference to the method used to set up the bases.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Fournier did receive instructions with respect to the installation from the store manager. She did not convey these to Mr. Burelle. Assuming without deciding, that it was her duty to do so, there is no connection between this failure and the injury suffered by Mr. Mocharski. The evidence is Mr. Burelle set up the bases in a manner that was not inconsistent with the instructions given by the store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Fournier made no other inquiries about how to install the bases. However, there is no evidence to suggest that any inquiry she might reasonably have made would have yielded in information that would have made a difference with respect to the installation of the bases. The Rules and publications in evidence in these proceedings are not, in my view, inconsistent with the set up undertaken by Mr. Burelle.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Causation is an essential element in the cause of action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find that the plaintiff has failed to establish that Ms. Fournier's acts or omissions, even if these fell below the standard of care, were causally related to the injury suffered. There is simply no evidence to support a conclusion that her acts or omissions made a difference. Accordingly, the claim against Ms. Fournier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Alain Burelle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alleges that Mr. Burelle owed a duty to install the bases correctly. The plaintiff submits further that the base was not installed correctly, that either the method described by Mr. Mitzel should have been employed or the base should have been installed so that there was no "give". Finally, the plaintiff submits that it was Mr. Burelle's duty to have asked Ms. Fournier or a representative of the YMCA how to install the bases.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Once again, in the circumstances of amateurs playing in a recreational league, I find that Mr. Burelle owed his fellow players a duty of care and not a duty of skill. He did not owe a duty to install the bases correctly, but to use reasonable care in the set up of the bases.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Burelle did not ask Ms. Fournier about her instructions from the store manager. However, his set up was not inconsistent with the instructions she received. Therefore, the result of such an inquiry would not have made a difference. Mr. Burelle likewise did not ask a representative of the YMCA how to install the bases. However, there is no evidence that the result of such an inquiry would have made a difference. Further, had he consulted the Rules and publications in evidence there is no basis to conclude that the result would have been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Mitzel has described a different method of set up that he uses and gives the opinion that his method would prevent injuries such as that suffered by Mr. Mocharski. However, there is no evidence to suggest that this method is the standard method in common use. Indeed, the Canada Softball publication suggests otherwise. There is no evidence to support the conclusion that Mr. Burelle ought reasonably to have known about Mr. Mitzel's method or that his method was the "correct method". There is no evidence of an inquiry that it would be reasonable to expect Mr. Burelle to have made that would have produced information with respect to Mr. Mitzel's method for setting up the bases.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same holds true with respect to the alternative method of set up proposed by the plaintiff, namely, that Mr. Burelle should have set up the bases with less "give". It appears to me from an inspection of the base that, given the configuration of straps and the metal pin, there will inevitably be some movement or "give". Thus, the question is a matter of degree. There is no evidence of common use or a standard with respect to the amount of "give" that is appropriate. There is no evidence of such a standard in any of the Rules or publications in evidence. There is no evidence of any inquiry that Mr. Burelle could reasonably have been expected to have made that would have provided information with respect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result, I find that the plaintiff has not established that Mr. Burelle installed the bases incorrectly. Mr. Burelle did not make inquiries with respect to the correct method of installation of the bases. However, the plaintiff has not established that the result of any inquiry it would have been reasonable for Mr. Burelle to make would have made a difference. In other words, the plaintiff has failed to establish the necessary element of causation. Accordingly, the claim against Mr. Burelle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YMCA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plaintiff's claim against the YMCA is founded upon an alleged breach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"Act")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Common to both claims, on the assumption that the YMCA was an occupier of premises, is a duty to take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 submits that it was incumbent upon the YMCA to do one or more of the following steps in order to satisfy its duty of care under the Act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submitted that the YMCA could have allowed for an alternative to bases, such as a chalk line in the dirt. I accept that such a step would have eliminated the risk of the injury that occurred in this case. However, I do not find that this would be a reasonable step in the circumstances. This league was a softball league and, as is clear from the publications of Softball Canada, bases are an essential element of the game as are bats and balls.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submitted that the YMCA could have provided bases to the teams or provided recommendations as to which bases would be appropriate for use in the games. No issue is taken, however, with respect to the appropriateness of these bases. Therefore, even if it would be reasonable to impose such a requirement on the YMCA, the element of causation is not established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Moreover, in my view, it is not reasonable to impose such a requirement upon the YMCA. The role of the YMCA was to coordinate the league which entailed administrative matters such as scheduling, registration, and formulation and revision of the rules. To require the YMCA to provide equipment would be to make a fundamental change to the nature of its role. That, in my view, goes beyond what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YMCA did refer teams to the Softball Canada Official Rules that contain the specifications with respect to equipment. It would not be reasonable, given the limited role of the YMCA, to require anything further with respect to recommendations for equipment. The result might be otherwise if the issue was a type of equipment that the YMCA knew or ought to have known was unsuitable for use in a recreational league. That is not the case here. These bases were acknowledged to be suitable for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has submitted that the YMCA should have monitored base installation. There were some two hundred teams in the League, each playing several games during the season. The evidence is that the YMCA did not have the personnel to monitor each game. I find that it would not be reasonable in the circumstances for it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was submitted that the YMCA should have provided instruction to the teams about how to install the bases correctly. The YMCA did provide the teams with copies of the Rules. The Rules referred the teams to the Softball Canada publication. The only other official publication to which I was referred was the publication of Softball Canada referred to in Mr. Mitchell's affidavit. However, the instructions relating to the installation of bases contained in that publication are not inconsistent with what Mr. Burelle did. Accordingly, it cannot be said that referring the teams to that publication would have made a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does not appear from the evidence to be any publication that gives guidance with respect to the amount of movement that is appropriate in the base once it is pegged down. Likewise, there appears to be no recognised standard or common practise with respect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all the circumstances, I conclude that it is not reasonable to require the YMCA to do more than it did with respect to the set up of the bases.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Finally, the plaintiff submits that because of a prior incident that occurred in 1999, the YMCA was aware of the risk and yet it chose to do nothing with respect to base safety. There was a previous incident in 1999 that resulted in a player suffering a broken ankle. However, the 1999 accident occurred because of a player slipping on the grass while running between bases, falling and then having his foot caught under the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Moreover, it is not correct that the YMCA did nothing in response to this incident. The issue of whether bases should be secured was considered and the decision made to require bases to be secured. Finally, although not made in response to the 1999 accident, the rule with respect to sliding is related to base safety. The purpose of the rule is the safety of the players.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summary, I find the conduct of the YMCA was reasonable in the circumstances. Accordingly, it was neither negligent nor, even if an occupier under the Act, was it in breach of its responsibilities under the Act. It is, therefore,unnecessary to consider whether the YMCA was an occupier. The claims against the YMCA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Monych v. Beacon Community Services Society, [2009] B.C.J. No. 844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5-16,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07 2496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844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562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177 A.C.W.S. (3d) 400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Martin Monych, Plaintiff, and Beacon Community Services Society and Rickey Gordon Fonger,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8"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9" w:name="Keywords_8"/>
      <w:bookmarkEnd w:id="5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Action for damages for injuries sustained in accident in plaintiff's bathroom allowed — Plaintiff alleged that health care worker was negligent in transferring him from his wheelchair to the toilet — Defendants argued that the plaintiff was contributorily negligent --Worker was negligent and did not meet the standard of care — If worker had been positioned correctly he would have been able to prevent the fall — Society conceded it was vicariously liable — Defendants did not establish that the plaintiff was contributorily negligent.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0" w:name="Case Summary_7"/>
            <w:bookmarkEnd w:id="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sustained by plaintiff in an accident in his bathroom. The plaintiff alleged that the health care worker was negligent in the manner in which he assisted in transferring the plaintiff from his wheelchair to the toilet and that the result was a fall in which the plaintiff broke his legs. The plaintiff alleged that the Society was vicariously liable. The defendants argued that the plaintiff was contributorily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1" w:name="Holdings of Court_6"/>
            <w:bookmarkEnd w:id="6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health care worker was negligent and did not meet the standard of care. The court found that if the worker had been positioned correctly in a touch guard position, he would have been able to prevent the fall or to assist the plaintiff to the ground slowly and gently. The Society conceded that it was vicariously liable. The defendants did not establish that the plaintiff was contributorily negligent. The plaintiff was awarded general damages, the cost of future care and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2" w:name="Counsel_8"/>
      <w:bookmarkEnd w:id="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9"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G.D.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E.J. Wagner, M.R. Hunt.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3" w:name="Judgment_8"/>
      <w:bookmarkEnd w:id="63"/>
      <w:r>
        <w:pict>
          <v:line id="_x0000_s1070" style="position:absolute;z-index:2517698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4" w:name="L.B. GEROW J."/>
            <w:bookmarkEnd w:id="64"/>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Martin Monych, claims damages for injuries he sustained in an accident in his bathroom that occurred on November 4, 2006. At the time of the accident, Mr. Monych was under the care of his community health worker ("CHW"), the defendant, Rickey Fonger. Mr. Fonger is employed by the defendant Beacon Community Services Society ("Beacon").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Monych alleges that Mr. Fonger was negligent in the manner in which he assisted in Mr. Monych's transfer from his wheelchair to his toilet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resulted in Mr. Monych falling and breaking both of his legs. Mr. Monych claims against Beacon on the basis that it is vicariously liable as Mr. Fonger's employer, and that it was negligent in failing to train, monitor, assess and assign Mr. Fonger in his duties. Both liability and quantum are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Monych was born in September 1966 and is currently 42 years old. Mr. Monych was rendered a quadriplegic in a single car motor vehicle accident in 1992. Following rehabilitation, he was released from G.F. Strong Rehabilitation Centre in Vancouver in 1993. Despite various ailments, including diabetes, Mr. Monych led a relatively active life until November 2006. He regularly left his home in his manual wheelchair and in his car for exercise, hobbies, entertainment and to visit friends and family. Prior to the November 2006 accident, Mr. Monych could use a manual wheelchair, drive a car, dress himself, bend at the waist and pick up objects, repair his vehicles and regularly engage in sexual activity with his girlfriend. Since the November 2006 accident Mr. Monych has been unable to do most of these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1992 motor vehicle accident was a result of Mr. Monych going into diabetic shock while driving, and was when Mr. Monych first learned he was a diabetic. After the accident, Mr. Monych was at G.F. Strong until 1993. Mr. Monych received $150,000 in Part 7 benefits from the Insurance Corporation of British Columbia ("ICBC") as a result of the 1992 accident. Between the time Mr. Monych was released from G.F. Strong in 1993 and the November 2006 accident, the funds were used primarily to pay for occupational therapy and equipment maintenance and replacement. The fund has been administered by ICBC since 1993. As of October 31, 2006, only about $91,000 of the $150,000 had been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Between 1993 and 2006, Mr. Monych lived independently in a one bedroom apartment in Victoria. Prior to the accident, Mr. Monych was receiving daily home care from various home care workers provided by Beacon in the morning to assist him with getting out of bed, dressing, toileting and showering.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Monych had a number of regular CHWs from Beacon who attended his home in the morning. Mr. Monych was not one of Mr. Fonger's regular clients. There is a dispute as to whether Mr. Fonger had ever attended Mr. Monych in the morning prior to the date of the accident. Mr. Fonger says he attended Mr. Monych in the morning on a number of occasions during which he assisted in his transfer from wheelchair to toilet, whereas Mr. Monych's evidence is that Mr. Fonger only attended him in the afternoon. It is evident that Beacon keeps records of which clients its employees visit from the employee records which were produced. However, no records were produced to support Mr. Fonger's assertion that he had attended Mr. Monych in the morning on a number of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the accident, Mr. Monych spent almost a year in hospital before he was able to return home. Since returning home, he is confined to his bed and his electric wheelchair, and his home care needs have increased. As a result of increased care costs, his Part 7 fund has been depleted.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issue is whether Mr. Fonger met the appropriate standard of care in providing home care services on November 4, 2006, or was negligent in the manner in which he carried out the assisted transfer from the wheelchair to the toilet with Mr. Monych.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For the following reasons, I find that Mr. Fonger was negligent in carrying out his duties when he assisted Mr. Monych with a wheelchair to toilet transfer by failing to stand in a proper position in relation to Mr. Monych during the transfer. I have concluded that Mr. Fonger's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resulted in Mr. Monych falling to the floor and breaking his legs. Beacon has admitted that it is vicariously liable for Mr. Fonger's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November 4, 2006, Mr. Fonger attended at Mr. Monych's residence to provide home care services. As part of the services, Mr. Fonger was to assist Mr. Monych in transferring from his wheelchair to the toilet.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are two different versions of what occurred on the day of the fall and in the bathroom where the fall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Fonger's evidence is that he arrived at Mr. Monych's home at approximately 8:00 a.m. on the morning of November 4, 2006. Mr. Fonger testified that he noticed nothing unusual about Mr. Monych, and in particular did not notice that Mr. Monych was sweating profusely or suffering from a urinary tract infection. Mr. Fonger's evidence is that he checked to see if the bathroom was safe and that there were no liquid or rugs on the floor. He denies that Mr. Monych told him he was suffering from a urinary tract infection or asked him to use a transfer belt to assist in the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Fonger's evidence at trial is that Mr. Monych positioned the wheelchair and that he took up a position in front of Mr. Monych, with his right leg between Mr. Monych's legs touching the foot bar of the wheelchair, and his left leg slightly back in an athletic pose. Mr. Fonger's evidence is that, although he was not touching Mr. Monych, he was standing in front of Mr. Monych ready to assist Mr. Monych in his transfer. When Mr. Monych was transferring he started to pitch forward. Mr. Fonger's evidence is that he stepped in and put his arms underneath Mr. Monych's arms and lowered him gently to the floor onto his buttock. Mr. Fonger testified that when he put his arms under Mr. Monych's arms he also stepped back to keep his balance and flexed his knees and that Mr. Monych's legs went between his on to the ground as he lowered Mr. Monych onto his buttock. Mr. Fonger's evidence is that Mr. Monych landed gently on the floor in a seated position with his legs straight out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Fonger's version of what occurred and how he was standing was different at trial from his evidence at his examination for discovery. In his examination for discovery, Mr. Fonger's evidence was that he took Mr. Monych's feet off the wheelchair and placed them in front of the toilet prior to the transfer as a result of a request by Mr. Monych. At his examination for discovery, Mr. Fonger's evidence was that he did not follow his normal transferring practice of putting his leg between the client's legs, but rather put his legs on both sides of Mr. Monych's legs because both Mr. Monych's feet were on the floor in front of the toilet: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528 And he's sitting on his bum with his back against - near the toilet?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 His legs are in between - His legs are in between mine. Right? And this is what I mean about proper transferring. Normally when I transfer somebody, I'll put one leg in between centre of theirs and I'll put the other leg on the other side, and then like this and help them transfer. With Martin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529 A When you say "like this", you're indicating that your arms are under their shoulders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And one leg in between theirs, as a rule, and the other one the other side. But with Martin, his feet are together at the toilet. So when he started to slip forward, I had one leg on one side of his, one leg on the other side of his. His go down in between me when I'm letting him to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Fonger's evidence at the examination for discovery was that he was not in the proper position when he stepped in to assist Mr. Monych as he saw him start to fall. This differs from his evidence at trial, where he testified that he was in the appropriate position. Mr. Fonger's evidence at the examination for discovery was that he didn't have time to get into proper position:</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558 So you're saying that when you jumped in at the time Martin was coming forward off the toilet, you weren't quite in proper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didn't have time to get myself in proper position. I had time to grab him, to help his descent, you know, or try and, you know help him to the toilet. But when I - you know, when I couldn't do that, no, I wasn't going to put myself at risk. Or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mean, you know, had I not stepped in, he would have - he would have just kept going. He would have hurt himself worse.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Monych's version of what occurred is very different from Mr. Fonger's version. His evidence is that Mr. Fonger was not one of his regular care givers and that Mr. Fonger had never attended him in the morning or assisted him with his transfer from wheelchair to toilet before the day of the accident. On the day of the accident he woke up sweating profusely as a result of a urinary tract infection. According to Mr. Monych, Mr. Fonger asked Mr. Monych why he was sweating so much and he told Mr. Fonger he had a urinary tract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they went into the bathroom, Mr. Monych suggested that Mr. Fonger use the transfer belt to help him with the transfer because he was feeling weak from his urinary tract infection. His regular caregivers provided more physical assistance when he had a urinary tract infection. Tom Sands, one of Mr. Monych's regular care aides, testified that he used a towel assist to help Mr. Monych transfer on the days he was suffering from a urinary tract infection. Mr. Sands' evidence was that it was obvious when Mr. Monych had a urinary tract infection because he sweated profusely when he had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according to Mr. Monych, Mr. Fonger did not want to use the transfer belt. Mr. Monych positioned his wheelchair and locked the wheels. Mr. Fonger did not stand in front of the chair, but rather stood away from the wheelchair to the right of the chair and near the door of the bathroom despite Mr. Monych's request that he stand closer.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Sands testified that he never stood to the right of the wheelchair because it would be too dangerous. Mr. Monych had a tendency to fall forward and the chair would kick out and he would fall out of the chair. According to Mr. Sands if you were standing to the right you would not be able to assist Mr. Monych if he started to fall by pushing him back into the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Monych attempted to perform the transfer, and started to fall. When he started to fall, Mr. Fonger came over and put his hands on Mr. Monych's shoulders. Mr. Monych put his hands around Mr. Fonger's waist but Mr. Fonger said he could not hold him and backed away. Mr. Monych asked Mr. Fonger to stop backing up so that he could let go. However, Mr. Fonger continued to back up which resulted in Mr. Monych having a hard fall onto his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found Mr. Monych a credible witness. Mr. Monych's version of how the fall occurred and how he landed is consistent with the injuries he sustained in the accident. The experts for both the plaintiff and the defendants have opined that the impacted nature of Mr. Monych's femoral fracture could only have resulted from a blow to the knee. In Mr. Fonger's version of events, Mr. Monych's knees did not touch the ground, rather he was gently lowered on to his buttock. Mr. Fonger did not recall his legs striking Mr. Monych's legs during the events in the bathroom. Mr. Monych's version of events, i.e. that he landed on his knees not his buttock, is consistent with the types of injuries he sustained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well, Mr. Fonger's evidence that he jumped in or stepped in when he saw Mr. Monych start to fall is consistent with Mr. Monych's description of where Mr. Fonger was standing when he was attempting to transfer. If Mr. Fonger's evidence at trial regarding where he was standing when the transfer started is accepted, his leg was against the bottom foot bar of the wheelchair. Such a position would not allow Mr. Fonger to step in to be in closer to the wheelchair than he was. I find that Mr. Fonger's evidence at the examination for discovery that he was an "arm's length" away from Mr. Monych at the commencement of the transfer is more believable than his evidence at trial that his leg was between Mr. Monych's legs and touching the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Fonger testified that even before Mr. Monych started to fall, he knew he was going to fall. Mr. Fonger's evidence in that regard is also inconsistent with his description at trial of where he was standing. If he knew Mr. Monych was going to fall forward and was standing in front of him in an athletic pose, he would have been able to push Mr. Monych back into the wheelchair. Mr. Sands testified that on a number of occasions when Mr. Monych started to tip forward he had simply pushed Mr. Monych back into the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During the trial, Mr. Fonger resiled from his evidence at the examination for discovery that Mr. Monych had told him to put his feet on the floor in front of the toilet. Yet Mr. Fonger confirmed that Mr. Monych told him to put his feet on the floor in front of the toilet three different times during the examination for discovery. This is odd given Mr. Fonger's evidence that he is familiar with Mr. Monych's transfer technique. Mr. Fonger testified that he realized when he looked at the wheelchair later and saw the bar that he would not have moved Mr. Monych's feet and placed them in front of the toilet. Overall, I did not find Mr. Fonger's evidence regarding where he was standing and his description of the fall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circumstances, I accept Mr. Monych's version of how the transfer took place and the position of the two men in the room at the time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defendants argue that even if I accept Mr. Monych's version of the transfer, Mr. Monych has not satisfied the burden of proving Mr. Fonger's conduct fell below the standard of care that is appropriate for a personal care aide. They argue that home care should be a subset of medical care, and rely on </w:t>
      </w:r>
      <w:r>
        <w:rPr>
          <w:rFonts w:ascii="arial" w:eastAsia="arial" w:hAnsi="arial" w:cs="arial"/>
          <w:i/>
          <w:color w:val="000000"/>
          <w:sz w:val="20"/>
          <w:lang w:val="en-US" w:eastAsia="en-US" w:bidi="ar-SA"/>
        </w:rPr>
        <w:t>Carlsen v. Southerland</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2006 BCCA 214</w:t>
        </w:r>
      </w:hyperlink>
      <w:r>
        <w:rPr>
          <w:rFonts w:ascii="arial" w:eastAsia="arial" w:hAnsi="arial" w:cs="arial"/>
          <w:color w:val="000000"/>
          <w:sz w:val="20"/>
          <w:lang w:val="en-US" w:eastAsia="en-US" w:bidi="ar-SA"/>
        </w:rPr>
        <w:t>, for the proposition that the law does not imply a warranty that a desired result will be achieved, but only that a person providing medical or home care will use reasonable care and skill. The defendants assert that Mr. Fonger was reasonably careful and skilful in carrying out his duties with regard to Mr. Monych.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However, Mr. Fonger's own evidence is that the proper way to perform a transfer is to put one of your legs between the legs of the person being transferred and to remain close to the individual during the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Darryl Caves is an occupational therapist who has a specialty in lifts and transfers of persons with tetraplegia and quadriplegia. Mr. Caves testified regarding the proper approach to be taken in assisted lifts of persons with tetraplegia or quadriplegia. His evidence is that there is an array of acceptable toilet transfers depending on the layout of the bathroom, the equipment that is used and the ability of the client. Although a transfer may take several forms, there is a consistent process and if a transfer requires assistance, a risk assessment is carried out in order to decrease or prevent risk of injury to the caregiver and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Cave opined that given the configuration of Mr. Monych's bathroom, a caregiver would best be positioned in front to assist with a sliding transfer or a touch guard assist at the shoulders and/or knees if Mr. Monych was consistent in performing the transfer. After reviewing Mr. Monych's condition as of November 2006, Mr. Cave stated that in his opinion a suitable transfer for Mr. Monych during the time period would have taken one of four forms depending on Mr. Monych's physical status, mental orientation and the relative size and physical well being of the caregiver on the day: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touch guard assisted transfer;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1-person sliding transfer;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2-person lift transfer;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mechanical lift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Cave was of the opinion that Mr. Monych was not safe to do independent transfers as of November 2006. That is consistent with the care plan in place at the time which required assisted transfers and noted that Mr. Monych was "at risk for falls."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Mr. Cave's opinion a touch guard transfer for Mr. Monych would be best carried out with the caregiver positioned in front of Mr. Monych simultaneously touching his knees and shoulder. That would allow the worker to be close enough to be able to sense and react quickly to losses of balance in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argue that Mr. Fonger should not be judged by a standard of perfection. However, the type of touch guard transfer described by Mr. Cave is the type of transfer that Mr. Sands and Mr. Fonger, the two Beacon caregivers who testified, acknowledged was the proper manner in which to do an assisted transfer. Both Mr. Sands and Mr. Fonger testified that was the appropriate way to carry out an assisted transfer with Mr. Monych.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stated earlier, I do not accept Mr. Fonger's evidence that he took the touch guard position he described during the assisted transfer on November 4, 2006. Rather, I accept Mr. Monych's evidence that Mr. Fonger stood an arm's length away from him and to his right side. Half way through the transfer Mr. Monych began to fall, and Mr. Fonger stepped in to try to assist, but then backed away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circumstances, I find that Mr. Fonger did not meet the standard of care required of a caregiver in performing an assisted transfer. Having considered the evidence, I have concluded that if Mr. Fonger had been positioned correctly in a touch guard position, he would have been able to prevent the fall or to assist Mr. Monych to the ground slowly and 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Beacon has conceded that it is vicariously liable for Mr. Fonger. Given that concession, I need not consider the other grounds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pleaded against Beacon.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order to establish causation, Mr. Monych must prove on a balance of probabilities that but for the accident, he would not have suffered the injury. The Supreme Court of Canada recently considered causation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and reconfirmed that the basic test for determining causation remains the "but for" test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plaintiff bears the burden of proving that but for the negligent act or omission of the defendant the injury would not have occurred. At para. 23, McLachlin C.J.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is not required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 tortfeasor must take his or her victim as the tortfeasor finds the victim, and is liable even if there are other causal factors, for which the defendant is not responsible, that result in the victim's losses being more severe than they would be for the average person. At the same time, the tortfeasor need not put the victim in a better position than they would have been in, and need not compensate the victim for the effects of a pre-existing condition that the victim would have experienced in any event: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Monych asserts that he sustained two broken legs in the accident. Although the defendants argued that Mr. Monych could have broken his legs prior to the accident due to his severe osteoporosis and not realized it, Dr. Filbey, the defendants' expert, opines that Mr. Monych suffered a fracture to his right femur and left tibia/fibula as a result of the fall on November 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Filbey's opinion is consistent with the evidence that Mr. Monych was taken to hospital the day after the accident when the CHW noticed that his legs were swollen and black and blue. As well, Dr. Filbey's opinion is consistent with the opinions of the plaintiff's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Chimich, a biomechanical engineer, who has expertise in the biomechanical analysis of injury producing incidents, opined that Mr. Monych's fractures were consistent with falling onto his knees in the manner described by Mr. Monych. Dr. Clinton-Baker, his family doctor, opined that Mr. Monych suffered fractures to both his legs in the accident of November 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reviewing the evidence, I am satisfied that as a result of the fall Mr. Monych suffered fractures to both his legs. The evidence is that the fractures have not healed and the prognosis is that it is unlikely they will. No surgical intervention is anticipated or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also take the position that the long hospital stay was not a result of the fractures, but a result of skin ulcers and the ongoing urinary tract infection from which Mr. Monych was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evidence is that Mr. Monych had a urinary tract infection at the time of the fall. As well, there was evidence that Mr. Monych had urinary tract infections from time to time prior to the accident, but they were usually treated at home without the need for hospitalization. There is no evidence that Mr. Monych's urinary tract infection required the extended hospital stay after November 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Filbey opines that Mr. Monych's lengthy stay in hospital was not due to the fractures but to the ischial ulcers he developed when he was admitted to hospital because of the urinary tract infection. However, Dr. Filbey was not the treating doctor at the time Mr. Monych was admitted, nor has he ever examined Mr. Monych or spoken to any of Mr. Monych's treating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Clinton-Baker testified that, prior to the accident, Mr. Monych had ulcers but had never had ischial ulcers on his buttock. The evidence is that Mr. Monych developed the ischial ulcers during his hospital stay after the accident. It was the ischial ulcers that required a readmittance to hospital on April 12, 2007, after he was initially discharged on March 7, 2007. A bilateral leg amputation was considered in May 2007, but rejected because of the potential for poor wound healing. In Dr. Clinton-Baker's opinion, the long hospital stay was necessary because of the bilateral leg fractures and the ischial ulcers that were not present prior to Mr. Monych's admission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stated above, the evidence is that prior to the accident, Mr. Monych had never had ischial ulcers. He had occasionally suffered from a small ulcer on his coccyx. As well, he had suffered from ulcers on his ankles and elbows, but those had been treated at home, and were not as serious as the large ischial ulcers he developed on his buttock in the hospital when he was bedridden with splints on both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a result of the leg fractures Mr. Monych's legs were splinted, causing him a severe restriction of his ability to move around. While his legs were splinted, he was bedridden and he developed the ischial ulcers. As stated earlier, Dr. Clinton-Baker's opinion is that the long hospital stay was a result of the bilateral leg fractures and the ischial ulcers that developed for the first time while in hospital. I accept Dr. Clinton-Baker's opinion that the ischial ulcers developed during the long hospital stay that was necessary because of the bilateral leg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apparent from the evidence that as a result of the leg fractures, Mr. Monych's mobility, independence and enjoyment of life have decreased significantly. He is no longer able to use his manual wheelchair, drive an automobile, have a shower or use a toilet.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argue that the change to Mr. Monych's abilities is not because of the accident, but rather is the result of the ongoing deterioration in Mr. Monych's conditions. Dr. Filbey's opines that had Mr. Monych "not suffered fractures of his legs, his current care needs would be nearly identical to how they are at this time as a result of his urosepsis, skin breakdown and general comorbidities that led to his hospitalization."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However, as stated above Dr. Filbey did not treat Mr. Monych during the time in question, nor has he ever interviewed or examined Mr. Monych, or spoken to any of his treating doctors. As a result I give his opinion very little weight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a significant temporal connection between the accident and the increased restrictions that Mr. Monych experienced, particularly his ability to use a manual wheelchair and do independent transfers. The evidence from Mr. Monych, the lay witnesses and the witnesses who are involved in Mr. Monych's care and treatment establishes that there has been a dramatic change in Mr. Monych's abilities and independence since the November 4,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considering all of the evidence, I have concluded that but for the accident the injuries causing Mr. Monych's long hospital stay have resulted in a deterioration of Mr. Monych's condition to the point where he is restricted to his bed and his electric wheelchair. If the accident had not occurred Mr. Monych would not have suffered the increased restrictions and limitations on his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take the position that Mr. Monych should be found contributorily negligent on the basis that he declined the advice that he should have a ceiling or tract lift system. They point to the fact that Mr. Monych decided to continue with the supervised transfers, and accepted that there was a risk of an accident during the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rely on a recommendation in February 2003 by an occupational therapist that a mechanical lift be considered for use by Mr. Monych. There is mention in the occupational therapist's notes that Mr. Monych was concerned that if he used a track lift he would lose his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Monych is not a sophisticated individual. He is somewhat illiterate and apparently sometimes has difficulty comprehending instructions. Dr. Clinton-Baker confirmed that there was a recommendation made to Mr. Monych in 2003, after he had suffered a heart attack and been hospitalized, that a tract lift system be used. Dr. Clinton-Baker's evidence was that Mr. Monych declined the tract lift because he felt it was a step in the loss of independence and that he could do either independent or assisted transfers safely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was no further recommendation regarding a tract lift system between February 2003 and November 2006. The defendant Beacon had trained CHWs attending the house daily and supervisors assessing the situation from time to time. Beacon admits that the conditions and needs of a client such as Mr. Monych fluctuate from time to time and there is a requirement for ongoing evaluation and adjustment regarding what assistance is required. However, there were no recommendations or comments by any of the Beacon personnel between February 2003 and November 2006 that the method of transfers should be reassessed, or that a mechanical or tract lift was required or even that it should be considered in order to achieve safe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Mari Green is a registered nurse and the home support supervisor for Beacon. She was responsible for supervising the CHWs involved in Mr. Monych's care up until 2005. Ms. Green testified that she had been involved with Mr. Monych when she was employed at another care provider, Alpha. Ms. Green was employed by Alpha as a registered nurse supervisor between 1985 and 2003, and Mr. Monych was a client of the company. Ms. Green's evidence was that when the subject of tract lifts was raised in 2003, one of Beacon's CHWs expressed concern that would detract from Mr. Monych's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Green's evidence is that between 2003 and July 2005, when she stopped supervising Mr. Monych's CHWs, she had visited him approximately 12 times. Ms. Green agreed that part of a CHW's responsibility is to make judgments on whether client directions are appropriate. If the plan is not safe, then the CHW should contact the supervisor. There was nothing in Beacon's records indicating any concern about the consistency of Mr. Monych's transfers, except in 2003 when a Beacon CHW reported concerns that Mr. Monych was unable to do a transfer. The home care nurse visited and changed the transfer method for a short time. An angioplasty performed in 2003 had apparently weakened Mr. Monych's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Green could not recall any other concerns expressed by any Beacon employee after 2003 that the transfer procedures for Mr. Monych should be reassessed. She confirmed that part of her responsibility was to review the client dated notes prepared by the CHWs and to assess the risk factors. "Client dated notes" are ongoing notes or records kept by the CHWs in Mr. Monych's home sharing information about his health and care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circumstances, the defendants have not established that Mr. Monych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evidence from Mr. Monych, the lay witnesses and his caregivers is that Mr. Monych can no longer use a manual wheelchair, do self-assisted transfers to the toilet or shower, do independent transfers, bend at the waist to pick something up, change his own catheter bag, dress himself or drive an automobile. He has not been able to have a shower or use a toilet since the accident. As well, he can no longer take part in many of the extracurricular activities he used to, including visiting friends, going to the park with his girlfriend and working on automobiles. Prior to the accident of November 4, 2006, he was able to do all those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well, the evidence establishes that Mr. Monych's personal life has been impacted. Prior to the accident, he had an intimate relationship with his girlfriend and that has not resumed since his return home from the hospital. Although Mr. Monych says he would like to resume a sexual relationship, the movement of the bones in his legs deters his girlfriend.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Monych and the defendants have provided me with a number of cases to assist in determining the appropriate award for pain and suffering. Mr. Monych submits that an award for general damages of $160,000 is appropriate, and that the range is $70,000 to $160,000. The defendants submit that their authorities support an award for general damages in the range of $30,000. I have considered the authorities presented by the parties. As in most cases, there are aspects of the decisions which are helpful, but they also have features which distinguish them from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Ranta v. Vancouver Taxi Ltd.</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[1990] B.C.J. No. 1620</w:t>
        </w:r>
      </w:hyperlink>
      <w:r>
        <w:rPr>
          <w:rFonts w:ascii="arial" w:eastAsia="arial" w:hAnsi="arial" w:cs="arial"/>
          <w:color w:val="000000"/>
          <w:sz w:val="20"/>
          <w:lang w:val="en-US" w:eastAsia="en-US" w:bidi="ar-SA"/>
        </w:rPr>
        <w:t xml:space="preserve"> (9 July 1990), Vancouver B882210 (S.C.), as support for the argument that the appropriate amount for general damages is $30,000. In that case, the plaintiff, who was a quadriplegic, sustained a broken leg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taxi driver. In my view, the case has little application to the case at bar. Harvey J. found that the plaintiff had failed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his present and continuing disability. The injuries that were attributable to the accident were much less severe than the injuries Mr. Monych has suffered and had no long lasting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agree with the comments in </w:t>
      </w:r>
      <w:r>
        <w:rPr>
          <w:rFonts w:ascii="arial" w:eastAsia="arial" w:hAnsi="arial" w:cs="arial"/>
          <w:i/>
          <w:color w:val="000000"/>
          <w:sz w:val="20"/>
          <w:lang w:val="en-US" w:eastAsia="en-US" w:bidi="ar-SA"/>
        </w:rPr>
        <w:t>Boren v. Vancouver Resource Society for the Physically Disabled</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2002 BCSC 1134</w:t>
        </w:r>
      </w:hyperlink>
      <w:r>
        <w:rPr>
          <w:rFonts w:ascii="arial" w:eastAsia="arial" w:hAnsi="arial" w:cs="arial"/>
          <w:color w:val="000000"/>
          <w:sz w:val="20"/>
          <w:lang w:val="en-US" w:eastAsia="en-US" w:bidi="ar-SA"/>
        </w:rPr>
        <w:t xml:space="preserve"> at para.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defendant submits the award for non-pecuniary damages should be limited to a consideration of the physical injury sustained October 11. I disagree. Rather, the circumstances here raise issues similar to those in Bracey (Public Trustee of) v. Jahnke, </w:t>
      </w:r>
      <w:hyperlink r:id="rId170" w:history="1">
        <w:r>
          <w:rPr>
            <w:rFonts w:ascii="arial" w:eastAsia="arial" w:hAnsi="arial" w:cs="arial"/>
            <w:i/>
            <w:color w:val="0077CC"/>
            <w:sz w:val="20"/>
            <w:u w:val="single"/>
            <w:shd w:val="clear" w:color="auto" w:fill="FFFFFF"/>
            <w:lang w:val="en-US" w:eastAsia="en-US" w:bidi="ar-SA"/>
          </w:rPr>
          <w:t>[1995] B.C.J. No. 1850</w:t>
        </w:r>
      </w:hyperlink>
      <w:r>
        <w:rPr>
          <w:rFonts w:ascii="arial" w:eastAsia="arial" w:hAnsi="arial" w:cs="arial"/>
          <w:color w:val="000000"/>
          <w:sz w:val="20"/>
          <w:lang w:val="en-US" w:eastAsia="en-US" w:bidi="ar-SA"/>
        </w:rPr>
        <w:t xml:space="preserve"> (S.C.), varied on other grounds </w:t>
      </w:r>
      <w:hyperlink r:id="rId171" w:history="1">
        <w:r>
          <w:rPr>
            <w:rFonts w:ascii="arial" w:eastAsia="arial" w:hAnsi="arial" w:cs="arial"/>
            <w:i/>
            <w:color w:val="0077CC"/>
            <w:sz w:val="20"/>
            <w:u w:val="single"/>
            <w:shd w:val="clear" w:color="auto" w:fill="FFFFFF"/>
            <w:lang w:val="en-US" w:eastAsia="en-US" w:bidi="ar-SA"/>
          </w:rPr>
          <w:t>(1997), 34 B.C.L.R. (3d) 191</w:t>
        </w:r>
      </w:hyperlink>
      <w:r>
        <w:rPr>
          <w:rFonts w:ascii="arial" w:eastAsia="arial" w:hAnsi="arial" w:cs="arial"/>
          <w:color w:val="000000"/>
          <w:sz w:val="20"/>
          <w:lang w:val="en-US" w:eastAsia="en-US" w:bidi="ar-SA"/>
        </w:rPr>
        <w:t xml:space="preserve"> (C.A.), in which Oliver J. observed at para. 27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rob a disabled person of what little she has left is a monstrous injury, for that little she has is, for her, the whole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satisfied that Mr. Monych has suffered pain and suffering and loss of enjoyment of life as a result of the November 4, 2006 accident. As stated above, the evidence establishes that as a result of the accident, Mr. Monych suffers ongoing disabilities that have caused a severe restriction to his independence and ability to pursue the activities he was involved in prior to the accident. He has lost the independence of being able to transfer himself, his ability to exercise and go out independently in his manual wheelchair, his ability to drive vehicles, his sex life and much of his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Having considered the authorities and the evidence concerning the effect of the injuries on Mr. Monych, and allowing for the probability that his activities would have become more restricted, and his independence more compromised over time due to his ongoing medical conditions, I am of the view that the appropriate award for non pecuniary damages is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Monych seeks repayment of the Part 7 funds spent since November 4, 2006, other than those that would have been spent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Cook, the supervisor of the funds, testified that the Part 7 fund had been spent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150"/>
        <w:gridCol w:w="2196"/>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Part 7 funds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$ 26,384.36</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spent since accident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2195"/>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$ 30,625.11</w:t>
            </w:r>
          </w:p>
        </w:tc>
        <w:tc>
          <w:tcPr>
            <w:tcW w:w="307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$ 10.14</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941"/>
        <w:gridCol w:w="1778"/>
        <w:gridCol w:w="313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$ 57,019.61</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Expected expenditures</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$ 6,667.26</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from November 4, 2006,</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without accident</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Monych submits that he is entitled to be reimbursed the difference of $50,352, the bulk of which was the cost of the additional home care provided by Beacon.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assert that the plaintiff is not entitled to that amount because it was paid by ICBC, not by the plaintiff. However, they have provided no authority for the proposition that the plaintiff is not entitled to repayment of the funds that were being held in trust for his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It is a fundamental principle in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a plaintiff is entitled to an amount of damages that will put the plaintiff in the position he or she would have been in but for the accident. At the same time, compensation must be fair to both the plaintiff and the defendant. Double recovery is not permitted. An exception to the rule of double recovery is a situation where the plaintiff has purchased private insurance that provides payments in certain contingencies: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Part 7 fund was available to Mr. Monych as a result of an insurance policy he had with ICBC at the time he was rendered a quadriplegic in 1992. Accordingly, the private insurance exception applies and Mr. Monych is entitled to repayment of the $50,352 which was expended as a result of the November 4,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cost of future care award is not a precise accounting exercise to determine the strict minimum required by the plaintiff: </w:t>
      </w:r>
      <w:r>
        <w:rPr>
          <w:rFonts w:ascii="arial" w:eastAsia="arial" w:hAnsi="arial" w:cs="arial"/>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xml:space="preserve"> the Court noted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present value of the cost of future care cannot be measured with exactitude since it involves future events. The difficulty in assessing damages in this category was the subject of comment in </w:t>
      </w:r>
      <w:r>
        <w:rPr>
          <w:rFonts w:ascii="arial" w:eastAsia="arial" w:hAnsi="arial" w:cs="arial"/>
          <w:b/>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are a number of reports that opine on future care needs. Cecile Petra, an occupational therapist, prepared an assessment of the cost of future care based upon the difference between Mr. Monych's needs before and after November 4, 2006. In August 2006, just prior to the accident, Ms. Petra assessed Mr. Monych for a wheelchair prescription and vehicle hand controls. After the accident, she became involved with Mr. Monych's care when he was in hospital, and remains involved in his care. Ms. Petra provided two reports, one dated November 9, 2007, and an update on December 28,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Ruby Schulstad, a rehabilitation nurse, reviewed Ms. Petra's assessment and opined that some of the items which were recommended were either unnecessary or were required due to Mr. Monych's pre-existing tetraplegia. Ms. Schulstad did not assess Mr. Monych or provide an alternative cost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well, both Dr. Filbey and Dr. Clinton-Baker opined on whether various items identified in Ms. Petra's report were required as a result of the accident. Dr. Filbey suggested in his report that certain items being claimed were required because of Mr. Monych's pre-existing health conditions rather than the accident. However, his comments regarding future care needs were based on his opinion that neither the prolonged hospital stay nor the ischial ulcers were the result of the leg fractures. As stated above, I do not accept his opinion in that regard. Rather I accept Dr. Clinton-Baker's opinion that the ischial ulcers developed as a result of the long hospital stay because of the bilateral leg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circumstances, I accept Dr. Clinton-Baker's opinion regarding which of the items being claimed are due to the disabilities resulting from the accident rather than Mr. Monych's pre-existing condition. As well, I accept Ms. Petra's opinion regarding many of the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That being said, it is difficult to determine the increase in costs beyond what costs would have been incurred regardless due to Mr. Monych's other health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 plaintiff is entitled to be compensated for all expenditures that are reasonably necessary, on the medical evidence, to promote his or her mental and physical health in the future. In recognition that the future cannot be foretold, allowance must be made for the contingency that the facts upon which the award for future care is based may not be accurate: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177"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One of the factors impacting the cost of future care is that Mr. Monych has a shortened life expectancy due to the various conditions he suffers from, including diabetes, heart problems, liver disease, renal failure and chronic infections. Dr. Clinton-Baker testified that it is likely that Mr. Monych will live another six to ten years. The defendants argue that any award for future care should be for six years based on Dr. Filbey's opinion that it was more likely that Mr. Monych's life expectancy is at the low end of the range due to his pre-existing conditions and the fact that he is a long-term smoker.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determining what discount should be made for a shortened life expectancy, I have concluded that I should be optimistic and not pessimistic based on the authorities: </w:t>
      </w:r>
      <w:r>
        <w:rPr>
          <w:rFonts w:ascii="arial" w:eastAsia="arial" w:hAnsi="arial" w:cs="arial"/>
          <w:i/>
          <w:color w:val="000000"/>
          <w:sz w:val="20"/>
          <w:lang w:val="en-US" w:eastAsia="en-US" w:bidi="ar-SA"/>
        </w:rPr>
        <w:t>Dennis v. Gairdner</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(2002) 5 B.C.L.R. (4th) 275</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Arce v. Simon Fraser Health Regions</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2003 BCSC 998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assert that much of what Ms. Petra recommends is not medically necessary. The defendants also assert that if all the recommended items will do is improve the quality of life, then they fall under general damages as they are medically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However, as stated above, Mr. Monych is entitled to compensation for expenditures that are reasonably necessary, on the medical evidence, to promote both his mental and physical health in the future. In </w:t>
      </w:r>
      <w:r>
        <w:rPr>
          <w:rFonts w:ascii="arial" w:eastAsia="arial" w:hAnsi="arial" w:cs="arial"/>
          <w:i/>
          <w:color w:val="000000"/>
          <w:sz w:val="20"/>
          <w:lang w:val="en-US" w:eastAsia="en-US" w:bidi="ar-SA"/>
        </w:rPr>
        <w:t>Zapf v. Muckalt</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(1996), 26 B.C.L.R. (3d) 201</w:t>
        </w:r>
      </w:hyperlink>
      <w:r>
        <w:rPr>
          <w:rFonts w:ascii="arial" w:eastAsia="arial" w:hAnsi="arial" w:cs="arial"/>
          <w:color w:val="000000"/>
          <w:sz w:val="20"/>
          <w:lang w:val="en-US" w:eastAsia="en-US" w:bidi="ar-SA"/>
        </w:rPr>
        <w:t>, the Court of Appeal confirmed that medical necessity is too stringent a test, and that the proper test is reasonableness, and that psychological and emotional factors should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defendants argue that Mr. Monych should go into an institutional setting as that would be less expensive than staying in his home and better for him due to his increased care needs. However, they provided no evidence as the cost differential between the cost of institutional care, and the additional hours of home care and the provision of the equipment recommended by Ms. Petra and Dr. Clinton-Baker. Ms. Petra has made a number of recommendations to modify the home to allow Mr. Monych to shower and use the toilet. Mr. Monych has expressed a desire to stay in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defendants have not provided any authority for the proposition that a plaintiff should have to move into an institutional setting in order to mitigate his damages for cost of future care. In the circumstances, it is my view, that Mr. Monych's desire to stay in his own home should be acceded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take issue with the purchase of a new van which is wheelchair accessible. They submit that there are used wheelchair accessible vans and that Mr. Monych has not established that a new van is necessary. The defendants did not provide any evidence regarding the cost of used wheelchair accessible vans. They further submit that a van comes under quality of life and is not a medical necessity. Although the defendants assert that Mr. Monych was not driving prior to the accident, Ms. Petra's evidence is that she assessed him for hand controls for a car in August 2006, just prior to the accident. The evidence is that without the van, Mr. Monych is extremely restricted in his mobility and that lack of mobility impacts his emotional and psychological well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an amount was allowed to purchase a used van with a lift. In the circumstances of this case, it is my view that an amount should be awarded for the purchase of a used wheelchair accessible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have considered what care is likely in Mr. Monych's best interests and have relied on expert evidence in calculating its present cost. I have also determined that the items I have awarded are reasonably required to promote Mr. Monych's physical and mental well being, and represent expenses Mr. Monych will likely incur. Those items that I have not considered necessary or justifiable or would not likely be used by Mr. Monych, I have not allowed. The following items will be 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time expense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Modifications to the bathroom to allow Mr. Monych to shower: $14,912.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Mattress - $17,000 - the evidence is that a number of less expensive alternatives were tried;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Van - $25,000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Annual expenses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Maintenance for the bathroom; $100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Annual repair of wheelchair and replacement of wheelchair seat every five years: $1300;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Maintenance for the van - $1,000;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Home support - 2.5 hours a day over and above that funded: $30,087.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Taking into account a ten year life expectancy, the present value of these items is approximately $320,000 based on calculations provided by Robert Wickson, an economist. In my view, this figure should be discounted an additional 25% to factor in the possibility that some of these items would have been required in any event of the accident and the fact that Mr. Monych's various conditions, such as diabetes and heart disease, may deteriorate and he may eventually be forced to reside in a care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Doing the best I can with the evidence and calculations provided, it is my view that the appropriate award for future care cost is $240,000.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summary, I find that the defendants are liable to Mr. Monych for the following amounts as a result of the accident on November 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091"/>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778"/>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091"/>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$ 50,352.00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718"/>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$410,352.00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Monych is also advancing a claim for PST and GST for the items in cost of future care. Neither Mr. Monych nor the defendants were prepared to argue that issue and suggested that in the event there was an award for the cost of future care, the issue of PST and GST be referred to the Registrar. Accordingly, the issue of the application of the PST and GST to the award for cost of future care will be referred to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Finally, Mr. Monych is entitled to his costs at Scale B subject to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1"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Norman (Guardian ad litem of) v. McMillan, [2003] B.C.J. No. 2687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Powell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Taylor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15 - 17, and 20,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Powell River Registry No. S1062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2687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1651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127 A.C.W.S. (3d) 1031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Tanya Norman by her Guardian Ad Litem, Robert William Norman, plaintiffs, and Gary E. McMillan and Carol A McMillan and David Ferguson, defendants, and Diane Norman,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2"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5" w:name="Keywords_9"/>
      <w:bookmarkEnd w:id="65"/>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pedestrians and bicyclists.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6" w:name="Case Summary_8"/>
            <w:bookmarkEnd w:id="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Norman against Ferguson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an accident. Norman was an 11-year-old girl. She ran into the side of a taxi and injured her ankle. At the time of the accident, Norman's vehicle was crossing a parking lot. The girl had emerged from behind the truck into the parking lot. At the time of the accident, it was raining heavily. Certain witnesses testified that Norman was holding something over her head as she ran across the lot.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7" w:name="Holdings of Court_7"/>
            <w:bookmarkEnd w:id="6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Norman did not see the taxi until she ran into it. Her view was not obstructed by Ferguson's vehicle. Norman ran out into the lot without looking.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8" w:name="Counsel_9"/>
      <w:bookmarkEnd w:id="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3"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Fleming, for the plaintiff. G.P. Frame, for the defendant David Ferguson. M. Ostensen, for the third party Diane Norman.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9" w:name="Judgment_9"/>
      <w:bookmarkEnd w:id="69"/>
      <w:r>
        <w:pict>
          <v:line id="_x0000_s1074" style="position:absolute;z-index:2517708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0" w:name="TAYLOR J._0"/>
            <w:bookmarkEnd w:id="70"/>
            <w:r>
              <w:rPr>
                <w:rFonts w:ascii="arial" w:eastAsia="arial" w:hAnsi="arial" w:cs="arial"/>
                <w:b/>
                <w:color w:val="000000"/>
                <w:sz w:val="30"/>
                <w:lang w:val="en-US" w:eastAsia="en-US" w:bidi="ar-SA"/>
              </w:rPr>
              <w:t>TAYLOR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an accident which occurred on the 6th of August 1995, when the plaintiff, then an 11 year old girl, ran into the side of a taxi, fell and sustained injury to her right ankle or foot. The trial was confined to the issue of the liability, if any, of the defendant, David Ferguson, the driver of a Chevrolet Blazer from behind which the plaintiff (Tanya) emerged on to a travel portion of a roadway on a shopping mall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Parenthetic to the issue of Mr. Ferguson's liability is whether there was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Tanya or any liability on the part of her mother who is joined as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There is no suggestion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taxi driver. In the course of the trial there was evidence that the taxi moved forward after having first come to a stop and in so doing drove over the plaintiff's ankle or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circumstances of the accident in terms of the physical location are uncomplicated but as may be expected when a number of people describe an accident with its attendant exhilarations many years later, descriptions of movements and positions vary from witness to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such circumstances it is necessary to determine what evidence is to be accepted as fact. In this process corroboration of any particular witness's evidence on a point in question is of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this action occurred more than eight years ago, the plaintiff was almost 11. She is now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accept that such a passage of time may affect memories.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behalf of the plaintiff were her mother, her father, herself and a Mr. Isring, an engineer, who testified as to perception and reaction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called the cab driver, his wife, a Mrs. McMillan and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scene where the accident occurred was outside the south entrance of the Powell River Overwaitea Store. As depicted in the sketch, Exhibit 4, and various photographs, as one exits the store there is a 14 foot wide apron extending 50 feet to the south. Along with southerly 36 feet of the west side of this apron is a red rail against which shopping carts are stored. The remaining 14 feet is an open area that ends with a brick pillar at the southwest corner of the store. Parallel to the west edge of the building and in line with the railing is a fire lane that is some 9 feet wide and extends the full length of the building. It is marked with yellow hash marks and no parking signs are painted on its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Just south of the north end of the railing and extending just north of the southwest corner (being the brick pillar) there is a gentle slope created across the fire lane to permit customers to roll carts off the apron and on to a 21 foot wide travelled portion before entering into the parking lot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Immediately to the right as one exits the Overwaitea Store from the south entrance is a 3 foot rail to prevent customers from turning immediately to their right to access the parking lot. The effect of this short railing is to narrow the egress from the apron to 11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Habitually, as testified to by almost every witness, vehicles stop to disgorge or pickup passengers in this fire lane and at times even park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All witnesses including Tanya had been to the area on many occasions prior to the 5th of August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Much further along this fire lane to the north is a second entrance to the Overwaitea Store. This entrance is a covered entrance where carts are stored out of the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mother's car was parked in the parking stall directly across from the 11 foot wide egress.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Tanya testified that she had been shopping at the Overwaitea Store with her mother on the 6th of August.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said that as they left the store from the south entrance, it was raining and overcast. She did not see any vehicles other than those in the parking lot. She and her mother went to their car where her mother unloaded her groceries. Tanya then asked if she could return the cart to the cart stand near the store. By returning this cart she would retrieve a 25 cents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Tanya said that before crossing to the apron and the cart stand she looked both ways along the roadway where cars travelled.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returned the cart and retrieved the 25 cents deposit and then went to return to her mother's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said that as she did a SUV type vehicle blocked her view to the right. She testified, in chief, that this vehicle's rear end was near the brick pillar at the southwest corner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said initially she went down the ramp, stopped at the end, looked to the right but could not see what was coming. She then proceeded across the roadway "at a jog."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crossing the travelled portion she hit a taxi that was travelling south. Later Tanya said that she stopped at the middle of the ramp to try to see what was coming from the right and at that point was at the middle of the back of the SUV.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Tanya testified that she did not see anyone get out of the SUV nor did she see if the doors were open before she passed by its back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recalled having a quarter in her hand which she had retrieved as a deposit from the cart but denied carrying or holding anything else in her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recalled hitting the taxi at the front end but did not recall anything else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cross examination she agreed that at her examination for discovery in May 2001, she said that when she went to return the cart she did not recall any vehicles being near the ramp but said that when she went to return to her mother's car the SUV she described was "there." She agreed that her answers on her examination for discovery were true. She further agreed that there was nothing preventing her from looking around the SUV and that she was in a hurry to get out of the rain. She candidly testified she thought she could make it across before the taxi.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answer of course is inconsistent with her earlier answer that she did not see anything and I find this answer to be an honestly reconstructed but erroneous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satisfied that Tanya did not see the taxi that was there to be seen until she in fact ran into it given the almost 'nanosecond' passage of time that it took her to cross the approximate 3 metres from the edge of the ramp to the side of the taxi.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was shown a circle she had drawn at the examination for discovery on Exhibit 1, Tab 2, Picture 1 and agreed that that was the location of the SUV when she went to cross the travel portion. The circle is north of the brick pillar and north of the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That circle as I shall later observe is consistent with the evidence of the defendant, his wife and Mrs. McMillan as to where the defendant's vehicle came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Tanya denied that her hands or arms were up by her head to hold something to keep off the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agreed that if the SUV was where the circle was drawn and she had stopped to look on the ramp as she described she could have seen the taxi had she looked.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also agreed that had she stopped at the SUV and looked and waited that the accident would not have happened. Such an answer, in my opinion, is after the passage of almost 8 years, less a statement of fact, then a retrospective assessment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cross examination by counsel for her mother, Tanya agreed that she had in the past seen vehicles stopped or parked on the yellow marked fire lane. She also said her mother had told her to look both ways when she went to return the cart and that she had received extensive traffic safety instruction from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Mrs. Norman, the plaintiff's mother, said that as she exited the store a vehicle pulled up and she and the plaintiff had to go out into the traffic to see if anything was coming from the right. She said that that was an SUV whose back end was close to the edge of the building by a brick pillar.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Her daughter, after Mrs. Norman had loaded the groceries from the cart into the car, asked if she could take the cart back. Mrs. Norman said that she watched her cross over and could see her "until she went behind the SUV."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Given the location of the rear of the SUV being near the brick pillar I do not understand how she could not see her daughter as the cart rack would be to her right rather than to her left where the brick pillar is located. There would be nothing between the rear of the SUV and the cart stand to obstruct vision according to the measurements taken by the plaintiff's father unless the SUV was passing by the entrance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cross examination Mrs. Norman agreed that Tanya did not disappear behind the SUV but rather she ceased watching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Mrs. Norman said she did not see Tanya head back. She saw the SUV but said there were no other vehicles in the fire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Mrs. Norman said she heard a thump and a scream and then ran around the front of the taxi where Tanya was lying. She said that she recalled a lady with a jacket holding it over Tanya's head and the cab then backed up about 4 to 5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testified as to the safety lessons she taught Tanya and felt that she was very safe on the road. In cross examination by her counsel (she having been called by the plaintiff) she agreed that the SUV was parked where an ambulance is shown in Exhibit 1, Tab 1, Photo 3. That photo does not assist in the locating of the ambulance in a north/south direction but showed it on an east/west axis to be approximately two-thirds of its width into the fire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answer to a question from the court, Mrs. Norman said, there was a lapse of time of 3 to 5 minutes between seeing a woman alight from that SUV as she exited from the Overwaitea Store and the occurrence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pause to say, that I conclude, on the basis of this evidence, that whatever SUV was in the area of the exit of the store when Mrs. Norman left the store, it was not the SUV driven by the defendant Ferguson given the passage of time and subsequent evidence to which I will refer.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Norman, the plaintiff's father, provided measurements of a sketch he prepared and which was marked Exhibit 4. Any positioning of vehicles he said came from his wife. Exhibit 4 shows the parked vehicle almost directly in the centre of the 14 foot wide entrance way between the brick pillar and the start of the cart railing. It also indicates the taxi to be in the left lane rather than its right lane as testified to by the taxi cab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Although Mr. Norman's sketch indicated the fire lane to be 9 feet wide, measurements he had taken shortly before the trial he said in cross examination by the mother's counsel that he now believed it to be 8 feet wide at the brick pillar but gave no explanation as to why that change in view had occurred. I prefer to accept his sketch 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Photograph 5 in Exhibit 1, Tab 3 shows the edges of the fire lane both along side the building and alongside the cart stand to be parallel to the yellow line next to the roadway demarking the fire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White, the cab driver, testified that he was driving at less than 10 kilometres per hour in the rain and at the point when the front end of his taxi was about 8 feet past a point in line with the store's front door, a girl ran down the ramp into his taxi. He said she ran holding her hands over her head with something which he could not describe.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girl, upon hitting his taxi behind the left wheel well, spun so that she faced on to his windshield, bent his antenna and then fell out of his 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noticed a green SUV which he described as an "Explorer" and which I am satisfied was the defendant Ferguson's green Chevrolet Blazer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White said the back half of that vehicle was to the south of the brick pillar when the two vehicles passed and he said he was almost past the SUV at the moment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White said that he had been travelling south, in what, had the road had been divided, would be the right lane and that the ambulance, later depicted in the photographs, stopped about where the two vehicles had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His recollection was that at the moment of impact the "Explorer" was still on a roll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cross examination he agreed that he could not tell if the "Explorer" was parked or moving slowly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White then stopped his vehicle within a foot of the girl having run into his taxi and then as he saw the girl trying to get up, he inched forward until a man told him that he had driven on to her foot. He then backed up a few inches and stopped. The photographs, he said, depicted the location of his vehicle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Apart from this movement he said that the sketch attached to his affidavit accurately depicted where his taxi was at the moment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agreed that in January 1996, he said in a written statement, that the "Explorer" was sitting in the "No Parking" zone but in his cross examination he said, he could not tell if it was parked or moving slowly ahead at the point shown on the sketch.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said that the SUV was further into the fire lane than the ambulance was shown to be in the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Mrs. Ferguson testified that her husband was driving her and their 18 year old daughter Nadine to go shopping at the Overwaitea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She said, because of the rain they were headed to the north entrance which has a canopy as opposed to the south entrance which does not. She said, as they passed the south entrance their speed was about 5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She said she saw no other vehicles in the fire lane and that as they passed the entrance her husband begun to slowly move into that lane when her daughter yelled "Stop" saying a girl had run into a taxi.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Mrs. Ferguson said her husband brought their vehicle to a halt and their daughter Nadine pushed her way past her seat to get out and went to the aid of Tanya.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Mrs. Ferguson told Nadine to wait and then gave her a jacket to protect her from the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Mrs. Ferguson said she then got out of the vehicle, and after speaking to Mrs. McMillan, went into the store to shop as she had no coat to protect her from the rain. She was of the view that there was nothing she could do to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She recalled that her husband's vehicle was somewhat in front of where the ambulance was shown in the photographs but was stopped in the yellow lines 3 to 4 feet from the building. She denied that at any time her husband's vehicle was parked or stopped in the entrance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She recalled Mrs. McMillan's vehicle being parked to the south of the entrance area alongside the cart railing and she believed its front end was 2 to 3 car lengths from the south end of the north end of the cart railing.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Mrs. Ferguson said she saw no woman or child cross their path towards the parking lot as they drove north along the roadway and before her husband turned slowly to the far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She agreed that she was aware that her husband was the defendant and that her evidence at trial was in more detail than that which she had provided in a statement dated in September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pause to say that counsel for the plaintiff at times criticized Mr. White, Mrs. Ferguson and Mrs. McMillan for testifying about matters not set out in statements in writing given by each on earlier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nothing sinister about this, given that what a witness might have said in a written statement is often dependent upon the questions being asked and upon what stood out in their minds at the time. As one witness in this trial simply observed, when challenged on such a point, "I wasn't asked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Mrs. Ferguson said that where she got out of the SUV the girl on the road was about one and one half car lengths to the south of the rear of her husband's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Mrs. McMillan, who was originally but no longer named as a defendant, was a passenger in her daughter's car. Her daughter had gone into the store to purchase something and had parked the vehicle in the fire lane along side the cart railing.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She said that it was raining "cats and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Mrs. McMillan said she was 40 to 45 feet south of the entrance door to the store. She testified that as she waited before the accident occurred she saw a woman with an apparently 5 year old child cross towards the parking lot. She also said the child was not the plaintiff. She testified that the plaintiff because of her size appeared to be closer to 14 years of age than 11 as she subsequently learned her age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am satisfied the woman and child that Mrs. McMillan saw were not the plaintiff and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 few minutes after her arrival she saw a girl come out of the store, turn to her right and then go into a sprint directly into the side of a taxi.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She said the girl did not look to either side. She described the sprint as being faster than a walk or jog.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Mrs. McMillan, for many years, judged track and field events including running events, including the hundred to fifteen hundred metre runs. While not an expert, such a general opinion as expressed by Mrs. McMillan is descriptive of what Mrs. McMillan's says she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She said that as the girl ran, she held a piece of clothing over her head to shield her from the rain. She said the girl's head was down and from the entrance way to the taxi she never stopped nor appeared to look as she ran. Mrs. McMillan said she could see a portion of the girl's bare back as a consequence of her holding her shirt up over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She said that she had seen the taxi creeping along in the rain and when the girl hit it near the front fender she bounced off it bending the antenna and fell down on to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She said she saw a SUV ahead of her in the fire lane about 10 to 20 feet north of the brick pillar and about 10 feet to its left. She could not say from her perspective when she first saw it if it was parked or moving. Mrs. McMillan then got out of her car to give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Mrs. McMillan said that the Ferguson's daughter Nadine, whom she knew, came to assist her in attending to Tanya. She said she knew the Ferguson family through figure skating but she said they did not socialize.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She said that after a few moments the girl's mother 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Mrs. McMillan was shown Exhibit 2 and the Figures 1 and 3 contained in that report. She said that Figure 1 did not accurately reflect where the vehicles were and that Figure 3 was correct as to the taxi's position but not as to the SUV's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She reiterated her position as being 40 to 50 feet from the front doors and also said that the SUV was more than 2 car lengths ahead of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When asked why she had not mentioned the girl having her hands in the air as she ran, she said that she had never before been asked about the girl's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Mrs. McMillan testified that the girl's path, once she was out of the store, was to curve to her right and then go directly to the parking lot in line with the man shown in red on Exhibit 1, Tab 2, Photo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She agreed that the path could be in line with a point between two men shown in that photograph. If the latter is so, then that would be about 1/3 of the distance between the door and the cart rail and if the former, about 1/2. Such a difference I find to be of no consequence to my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 Mr. Ferguson, was the last witness to testify. His evidence in chief was that as he travelled along the roadway in front of the Overwaitea store, he observed a taxi approaching him from the north. He estimated when he first noticed the taxi, it was a couple of car lengths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 course of driving his wife and daughter to the north entrance, he said, he travelled at about 5 to 10 kilometres per hour. As he got slightly north of the south entrance, his daughter yelled out for him to stop. At that point he said his vehicle had begun to cross on to the fire lane and he came to a stop but not entirely in that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believed that he came to a stop with the rear of his vehicle about ten feet north of the brick pillar. His daughter first, and then his wife, exited the vehicle and he turned to his left to see the area where the plaintiff had collided with the taxi. He remained there for one to two minutes and he moved on to the parking lot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said he normally took his wife to the north entrance when it rained because it was covered and in doing so entered into the fire lane and drove along it as he approached it so that other vehicles would be aware of his intention to pull off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said that it was his practice when dropping his wife off at the north entrance to pull in to this fire lane so as to allow other cars to pass. He then said he would stop as close to the covered entrance but it would be somewhere between the two entrances. He reviewed Mr. Isring's report and his sketches which he said did not represent the stopped position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had been asked prior to trial to measure the curb between the yellow marked fire lane and the building and said that it was 19 inches wide. He said that he never stopped at the south entrance way and would not have stopped but for his daughter calling out for him to do so. He did not know exactly where he came to stop but was of the belief that it was 10 feet north of the brick pillar.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was examined extensively as to his relationship with the McMillan family and said that it was confined to figure skating.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agreed that he did not notice that there was a vehicle beside the rails for the carts.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He reiterated in cross examination his belief that the rear end of his vehicle had been about 10 feet north of the brick pillar, and, that when asked to estimate the distance between the rear of his vehicle and that of the taxi, he said approximately 20 feet and that the girl was a further 10 feet south of that. He agreed that these estimates were speculative but gave them when pressed by defendant's counsel in cross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also agreed that he had signed a statement made by his wife which contained somewhat different recollections to what he had testified to and said that the statement was her statement. That statement was not put into evidence but he agreed that what was said in respect of his own involvement was essentially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said that as he came by the south entrance he was driving in a straight line towards the fire lane and it was about at that entrance way that he began to direct his vehicle to the right which resulted in the vehicle crossing over the westerly boundary of the fire lane. He said that the vehicle's movement was very gradual.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said that one could exit the passenger side of his vehicle with the door open only about two feet wide but he could not say how far his daughter had opened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 said he did not see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 was cross-examined by the mother's counsel as to how he would deal with young children, particularly his own children and said, in general, but not to the exclusion of the occasional exception, that he kept them close to him when in mall parking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was not asked if windy rainy weather would play any role in how he would look after any of his own eight children when they were between the ages of eight and twelve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agreed he knew young children to be about the area and that as he had been there hundreds of times before and had seen children both alone and with adults.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said his daughter, Nadine, lives in Parksville and was at the time of trial in Kamloops for a wedding.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Nadine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Counsel for the plaintiff argued that an adverse inference should be drawn from the defendant's failure to call his daughter, Nadine,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is evident from the report of Mr. Isring that the plaintiffs had copies of two statements given by this witness as they are referred to in his report. That being so, the plaintiff can be presumed to know the general tenor of the contents of those statements and if adverse to the defendant, could have easily called her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basis of an inference that is sought to be drawn is that because the party not calling the witness knows the witness is contrary to the interests of that party then adverse interest should be drawn against that party. Here, plaintiff's counsel knew the witness had given these two statements and if he believed that the witness was contrary to the defendant and thus, conversely helpful to the plaintiff, could have easily produced the witness as part of the plaintiff's own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these circumstances, I am not persuaded to draw such an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also pause at this juncture to say that despite the attempts of the third party's counsel to suggest that the Fergusons and McMillans were so closely associated with one another that there was some compromise in the form of Mrs. McMillan's evidence in favour of the defendant, I accept that they merely knew each other through a common interest in figure skating. If the import of that cross examination was to suggest that Mrs. McMillan compromised her testimony to support the defendant or undermine the plaintiff's case, the effort, in my opinion,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found them the defendant, his wife and Mrs. McMillan to be credible and frank in their admissions when they did not know or were not sure of something. Despite Mrs. Ferguson being married to the defendant, I found her to be a straight-forward witness and I accept her evidence that her husband's SUV came to a stop in an area north of the brick pillar.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Finally, the report of Mr. Isring was produced by the plaintiff. Mr. Isring attended for cross examination. His report was filed as Exhibit 2. Mr. Isring's expertise lies in the investigation of motor vehicle accidents. His report was directed to the area of perception and reaction times of the taxi driver based on certain assumptions relating to his speed and position, the plaintiff's speed of movement and the position of the Blazer SUV of the defendant Ferguson, all which were provided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His assumptions are set out in his report. He agreed that any variation of these assumptions would alter his conclusions. Based on these assumptions set out in paragraph 3.1 and providing a single alternate variable as to the location of the taxi in the travel lane, he opined that the SUV was parked as noted in his sketches and that there was a 21% probability that the driver could make some response and without it being so parked there a 59% probability. With the SUV so parked, he said there was a 1.8% chance of the taxi stopping in time to avoid striking the plaintiff and without it a 20% chance.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It follows from this that if the SUV was not in that position or was moving north, then with each unit of measurement that it moved north the greater the visibility of the plaintiff as to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essence, Mr. Isring concluded the assumed stationary presence of the SUV decreased or obstructed the probability of the taxi driver either being able to respond to or stop in time to avoid the plaintiff in the context of the percentages he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Isring agreed, however, that the further north the SUV was parked, assuming that it was, the less the element of obstruction. He could not, however, provide any recalculation of his measurements or opinions when confronted with these propositions. He agreed that when these assumptions changed, so did his conclusion. In forming his views, he based them on the use of a reaction time of a 50th percentile of the population yet acknowledged that a 5th percentile had a reaction time twice as fast as that of the 95th percentile.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No evidence was led as to the taxi driver's actual placement in the population as to where he, as a professional cab driver, might be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Isring also agreed that the plaintiff's assumed speed of movement was a blend of the slowest of an 11-year-old's jogging rate and the fastest of an 11-year-old's running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Such an assumption would not, for example, encompass the only independent witness's description of the plaintiff's "sprinting" into the travelled portion of the road. Mr. Isring agreed that if the Tanya ran it would reduce the time available for reaction.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Isring agreed that if Tanya had stopped at the edge of the yellow line within which the SUV was assumed to be located, that would result in Tanya having had an unobstructed view, and more importantly, time to stop or change direction. He also said that if she was not looking, she would not, of course, react to the taxi.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He also agreed that if the SUV were to be moved a car length forward, i.e. to the north, from where he assumed it would have been, it would not have formed an obstruction.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His inability to provide meaningful opinions when asked to vary the assumptions does little to assure this court as to the soundness of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When a report is entirely based on assumptions it is not unreasonable to expect such an expert to be prepared modify conclusions as assumptions vary.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the end, this evidence, in my view, is simply common sense dressed up in engineering clothing which had the potential to alter dramatically if the assumptions proved were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As observed in Sengbusch v. Priest </w:t>
      </w:r>
      <w:hyperlink r:id="rId188" w:history="1">
        <w:r>
          <w:rPr>
            <w:rFonts w:ascii="arial" w:eastAsia="arial" w:hAnsi="arial" w:cs="arial"/>
            <w:i/>
            <w:color w:val="0077CC"/>
            <w:sz w:val="20"/>
            <w:u w:val="single"/>
            <w:shd w:val="clear" w:color="auto" w:fill="FFFFFF"/>
            <w:lang w:val="en-US" w:eastAsia="en-US" w:bidi="ar-SA"/>
          </w:rPr>
          <w:t>(1987), 14 B.C.L.R. (2d) 26</w:t>
        </w:r>
      </w:hyperlink>
      <w:r>
        <w:rPr>
          <w:rFonts w:ascii="arial" w:eastAsia="arial" w:hAnsi="arial" w:cs="arial"/>
          <w:color w:val="000000"/>
          <w:sz w:val="20"/>
          <w:lang w:val="en-US" w:eastAsia="en-US" w:bidi="ar-SA"/>
        </w:rPr>
        <w:t xml:space="preserve"> there is a danger in over reliance upon experts where counsel can in argument put forward propositions based on the evidence and common sense in a helpful way particularly given the potential for such variations as existed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the end, I find Mr. Isring's report to be of little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is a young person, who according to the psychological assessments done in 2002, which, in part, took into account assessments made since 1987, of both a pedological and a psychological nature, suffers a deficit in terms of her IQ.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is clear from Dr. Penner's report and others referred to in its text that the plaintiff had at the time of the accident and continues to have a significantly lower IQ than others of her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reference to the time of the accident, Dr. Penner, in his report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Tanya may not currently be sufficiently impaired in her cognitive functioning to be considered to have a mild mental handicap, it is my opinion that she did meet sufficient criteria early in her life and certainly at the time of the accident at the age of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Penner concludes his report by opining that she was significantly below average intelligence and maturity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While that may be correct in terms of her in her general relationship to her peers, the evidence of her mother is of a larger than average 11 year old, who for some four years prior to the accident had either walked or bicycled to school alone. Such trips on a daily basis consisted of crossing streets and the use of cross walks, which were accomplished according to the testimony of Mrs. Norman without any reported incidents. Tanya also took extensive safety training by both her mother and at the RCMP bicycle training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Mrs. Norman also testified that so far as she was aware Tanya followed instructions and was a young person who could appreciate danger and gave no reason for her mother to have concerns about her ability to handle vehicular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terms of her maturity in spite of her relatively low IQ, according to Mrs. Norman's evidence she is a young person who had friends and played sports. Although beset by hearing problems earlier in life, these were, according to Mrs. Norman, well resolved by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Notwithstanding her consistent IQ levels tested between 1997 and 2002, she functioned well in her modified school program that was less academic than vocational-based and ultimately graduated from high school with honours.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views expressed by Dr. Penner do not suggest any dishonesty in recollection of events that may have occurred to her or a misperception of such events such as to not be aware of traffic risks. The question is therefore raised as it was by Smith J. in Johnson (Guardian ad litem of) v. Nijjar, </w:t>
      </w:r>
      <w:hyperlink r:id="rId189" w:history="1">
        <w:r>
          <w:rPr>
            <w:rFonts w:ascii="arial" w:eastAsia="arial" w:hAnsi="arial" w:cs="arial"/>
            <w:i/>
            <w:color w:val="0077CC"/>
            <w:sz w:val="20"/>
            <w:u w:val="single"/>
            <w:shd w:val="clear" w:color="auto" w:fill="FFFFFF"/>
            <w:lang w:val="en-US" w:eastAsia="en-US" w:bidi="ar-SA"/>
          </w:rPr>
          <w:t>[1999] B.C.J. No. 2857</w:t>
        </w:r>
      </w:hyperlink>
      <w:r>
        <w:rPr>
          <w:rFonts w:ascii="arial" w:eastAsia="arial" w:hAnsi="arial" w:cs="arial"/>
          <w:color w:val="000000"/>
          <w:sz w:val="20"/>
          <w:lang w:val="en-US" w:eastAsia="en-US" w:bidi="ar-SA"/>
        </w:rPr>
        <w:t xml:space="preserve"> at paragraph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a child can be found negligent, three questions must be answered.</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child have the capacity to be negligent?</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he or she in fact negligent?</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apportionment should follow from the attribution of fault in respect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evidence is that for a period of some four years before August, 1995, the plaintiff would go to school on her own either on foot or by bicycle, and apparently in all forms of weather, would cross multiple road intersections without incident. Her mother's evidence was to the effect that she had no concerns about Tanya and her ability to deal with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do not accept Dr. Penner's rather broad view as applying to specific aspects of Tanya's training experience when she was 11. This child, while not blessed intellectually, functioned with her peers, engaged in group activities such as sports and functioned in many independent activities including manoeuvring herself safely as a cyclist and pedestrian for up to three kilometres each way on her way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She also, at the age of 11, related with her peers in age, participated in school sports and activities and functioned in terms of getting about in an independent way. There is nothing in the evidence or in Dr. Penner's report to suggest that in a practical sense Tanya was not able to recognize and assess traffic risks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plaintiff, in my view, is no different than the plaintiff considered by the Court of Appeal in Houng-Lee v. Barker (Guardian ad litem of), </w:t>
      </w:r>
      <w:hyperlink r:id="rId190" w:history="1">
        <w:r>
          <w:rPr>
            <w:rFonts w:ascii="arial" w:eastAsia="arial" w:hAnsi="arial" w:cs="arial"/>
            <w:i/>
            <w:color w:val="0077CC"/>
            <w:sz w:val="20"/>
            <w:u w:val="single"/>
            <w:shd w:val="clear" w:color="auto" w:fill="FFFFFF"/>
            <w:lang w:val="en-US" w:eastAsia="en-US" w:bidi="ar-SA"/>
          </w:rPr>
          <w:t>[1992] B.C.J. No. 1230</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 fact that the plaintiff had been allowed by his parents to make his way alone to and from school for several years, and that the plaintiff seems to have done so safely, appears to me to show that whatever effect his learning problems and his tendency to distraction may have had in school, they cannot have affected his ability (sic) look after himself on the road. There is nothing in the evidence to which we were referred which would support the suggestion that he was incapable of paying proper attention to traffic before crossing, nor was there anything in the circumstances as found by the trial judge which could be expected to have had an unusually distracting effect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would add that the rain here would not have been a distracting feature given the Tanya's familiarity with the mall and her long-time residency in Powell River. It is not suggested the defendant should have been aware of the plaintiff or her intentions as he passed by the entrance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As is so with any witness, there are aspects which I would not accept and others which I do. In determining what is accepted as fact, I bear in mind my comments at the outset of these reasons that corroboration is an important factor given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singularly most important question in my view to be determined is the question of where the defendant's vehicle was when Tanya began to make her move from the egress apron onto the roadway in her intention to return to her mother's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There is, despite the passage of time, a significant agreement between Tanya and the defence witnesses as to the vehicle's location and as to whether or not it was moving. Tanya testified that she saw no vehicle at the entrance way when she returned the buggy. Unlike her mother, she saw no vehicle when she first left the store with her mother nor did she see any woman getting out of a car or vehicle at that time. Mrs. McMillan testified that she could not tell if the SUV was stopped, parked or moving. In this respect, common sense would suggest the attention of such a witness would initially be more focused on the pedestrian movements than of any vehicle. Mr. White said that his taxi and the "Explorer" were passing and at the moment of impact the "Explorer" was "still on a 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and Mrs. Ferguson both testified that Mr. Ferguson's SUV was still moving forward when their daughter yelled out for him to stop. There is also consistency as to where the rear of the SUV was, assuming it was moving at the moment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Tanya placed the SUV in a circle marked on Exhibit 2 Tab 2 Photograph 3 as between the second and fourth window panes north of the brick pillar. Mrs. McMillan placed its rear by the divider between the first and second window panes north of the brick pillar or about 10 feet north of that pillar. Mr. Ferguson put the rear of his vehicle about 10 feet north of the brick pillar when he stopped and when his daughter yelled out for him to stop. Mrs. Ferguson placed the rear of the SUV about one and one-half car lengths north of the brick pillar.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do not accept Mrs. Norman's evidence that it was the Ferguson vehicle from which she said a woman got out as she and her daughter exited from the store. I find that that must have been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also accept that the defendant's vehicle was in fact moving at about 5 kilometres per hour as it passed the entrance way when the plaintiff ran out from behind it into the taxi. I also accept that it came to a stop at least 10 feet north of the brick pillar or a 13 to 15 feet north of the south end of the railing that restrains people from turning immediately right as they exit the store. I also accept that if Mr. White had within a foot stopped his taxi doing about 5 kilometres per hour the same could be said of the defendant's vehicle which travelled at a similar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Accepting as I do, that the Ferguson vehicle was still in motion north of the brick pillar when Tanya made her move, then as Mrs. Norman initially testified, she would have momentarily lost sight of her daughter as the Ferguson vehicle passed between her daughter and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do not accept that what occurred was what this young plaintiff testified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thought I could make it across before the taxi. I was trying to beat the taxi and the accident occurred because I was not fast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find that to be an admirably honest attempt at reconstruction but in point of fact I am satisfied that the plaintiff simply did not see the taxi. Not because of any obstruction of her view caused by the defendant in the course of passing the entrance way which I find to be what happened, but rather because Tanya, having put her head down pulled her shirt up over her head to keep it dry as I find she did, sprinted across the roadway without looking.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Nothing about Tanya suggests any disability to appreciate the risks that may have existed that day. This young lady simply darted out in an unexpected and unanticipated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Accordingly, I find the defendant not liable. Consequently, it is not necessary to consider whether the plaintiff was contributorily negligent given my conclusion that the defendant was not negligent and that the cause of this accident was Tanya sprinting forward in the circumstances in which I conclude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Likewise it is not necessary to determine any degree of the mother's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 would, however, say that despite her cautionary words to Tanya when she was about to return the cart, I would not have otherwise concluded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given the training that she had provided this child and her experiences over the years with her daughter's conduct and behaviour about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While I agree with the observation of Meiklem J. in Connell v. Dyck, </w:t>
      </w:r>
      <w:hyperlink r:id="rId191" w:history="1">
        <w:r>
          <w:rPr>
            <w:rFonts w:ascii="arial" w:eastAsia="arial" w:hAnsi="arial" w:cs="arial"/>
            <w:i/>
            <w:color w:val="0077CC"/>
            <w:sz w:val="20"/>
            <w:u w:val="single"/>
            <w:shd w:val="clear" w:color="auto" w:fill="FFFFFF"/>
            <w:lang w:val="en-US" w:eastAsia="en-US" w:bidi="ar-SA"/>
          </w:rPr>
          <w:t>[1998] B.C.J. No. 1792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must be borne in mind that one of the acknowledged characteristics of children is that they will be more prone to distraction than [an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parent is not charged with the duty of constant vigilance and supervision of a child even a child as described by Dr. Penner. This is particularly so when teaching and experience of the child in a particular area (i.e. traffic dangers) has given the parent good cause to be confident in their child's ability to ascertain and deal with risks in the particular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Accordingly, the plaintiff's claim against the defendant is dismissed as is the defendant's third-party claims against the plaintiff's mother. Counsel sought leave to address the question of costs and if they wish to do so arrangements can be made through the trial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TAYLOR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5"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Parsons v. Finch, [2001] B.C.J. No. 2732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Henderson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26, 2001, November 2 and 27,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31,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C985852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2732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1819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16 C.L.R. (3d) 94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26 M.P.L.R. (3d) 224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110 A.C.W.S. (3d) 552</w:t>
      </w:r>
    </w:p>
    <w:p>
      <w:pPr>
        <w:spacing w:before="120" w:line="260" w:lineRule="atLeast"/>
        <w:rPr>
          <w:lang w:val="en-US" w:eastAsia="en-US" w:bidi="ar-SA"/>
        </w:rPr>
      </w:pPr>
      <w:r>
        <w:rPr>
          <w:rFonts w:ascii="arial" w:eastAsia="arial" w:hAnsi="arial" w:cs="arial"/>
          <w:color w:val="000000"/>
          <w:sz w:val="20"/>
          <w:lang w:val="en-US" w:eastAsia="en-US" w:bidi="ar-SA"/>
        </w:rPr>
        <w:t>Between Don Parsons and Lynda Parsons, plaintiffs, and Trevor Finch and City of Richmond, defendants, and Trevor Finch and Digs Consultants Corporation,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6" style="position:absolute;z-index:25166950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71" w:name="Keywords_10"/>
      <w:bookmarkEnd w:id="71"/>
      <w:r>
        <w:rPr>
          <w:rFonts w:ascii="arial" w:eastAsia="arial" w:hAnsi="arial" w:cs="arial"/>
          <w:b/>
          <w:color w:val="000000"/>
          <w:sz w:val="20"/>
          <w:lang w:val="en-US" w:eastAsia="en-US" w:bidi="ar-SA"/>
        </w:rPr>
        <w:t xml:space="preserve">Municipal law — Liability of municipalities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Negligent issue of permits — Standard of care — Defences, policy decisions.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72" w:name="Case Summary_9"/>
            <w:bookmarkEnd w:id="7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City of Richmond to dismiss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brought against it by the plaintiff Parsons. Parsons decided to build a house on a vacant property that he owned. He applied to the City for a building permit. The City determined that the soil on the property was poorly suited for the construction of building foundations. It asked Parsons to provide a geotechnical soil investigation report and a foundation design. The report and design were prepared and submitted by the defendant Digs Consultants. It was signed by a professional engineer. The City accepted the report and issued a permit. After the house was built, it settled into the ground and Parsons suffered damages. At issue was whether the City's failure to recognize errors in the report resulted from an operational failure and was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City claimed that it was not liable because it had a policy not to form its own opinion on geotechnical issues. </w:t>
            </w:r>
            <w:r>
              <w:rPr>
                <w:lang w:val="en-US" w:eastAsia="en-US" w:bidi="ar-SA"/>
              </w:rPr>
              <w:cr/>
            </w:r>
          </w:p>
          <w:p>
            <w:pPr>
              <w:spacing w:before="120" w:line="260" w:lineRule="atLeast"/>
              <w:ind w:left="240"/>
              <w:jc w:val="both"/>
              <w:rPr>
                <w:lang w:val="en-US" w:eastAsia="en-US" w:bidi="ar-SA"/>
              </w:rPr>
            </w:pPr>
            <w:bookmarkStart w:id="73" w:name="Holdings of Court_8"/>
            <w:bookmarkEnd w:id="73"/>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action was dismissed against the City. The City was not negligent when it carried out a limited review of the report. The report was that of a qualified professional. It recommended a specific course of action to overcome an identifiable problem. The City owed no duty of care to Parsons to make further inquiries or to conduct its own investigation. </w:t>
            </w:r>
            <w:r>
              <w:rPr>
                <w:lang w:val="en-US" w:eastAsia="en-US" w:bidi="ar-SA"/>
              </w:rPr>
              <w:cr/>
            </w:r>
          </w:p>
          <w:p>
            <w:pPr>
              <w:rPr>
                <w:lang w:val="en-US" w:eastAsia="en-US" w:bidi="ar-SA"/>
              </w:rPr>
            </w:pPr>
          </w:p>
        </w:tc>
      </w:tr>
    </w:tbl>
    <w:p>
      <w:pPr>
        <w:jc w:val="both"/>
        <w:rPr>
          <w:lang w:val="en-US" w:eastAsia="en-US" w:bidi="ar-SA"/>
        </w:rPr>
      </w:pPr>
      <w:bookmarkStart w:id="74" w:name="Counsel_10"/>
      <w:bookmarkEnd w:id="7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7" style="position:absolute;z-index:2517207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Donald N. Kawano, for the plaintiffs. David T. McKnight, for the defendant, City of Richmond.</w:t>
      </w:r>
      <w:r>
        <w:rPr>
          <w:lang w:val="en-US" w:eastAsia="en-US" w:bidi="ar-SA"/>
        </w:rPr>
        <w:cr/>
      </w:r>
    </w:p>
    <w:p>
      <w:pPr>
        <w:spacing w:after="240"/>
        <w:rPr>
          <w:lang w:val="en-US" w:eastAsia="en-US" w:bidi="ar-SA"/>
        </w:rPr>
      </w:pPr>
      <w:bookmarkStart w:id="75" w:name="Judgment_10"/>
      <w:bookmarkEnd w:id="75"/>
      <w:r>
        <w:pict>
          <v:line id="_x0000_s1078" style="position:absolute;z-index:251771904"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[Quicklaw note: Corrigenda were released by the Court January 14, 2002 and January 24, 2002. The corrections have been made to the text and the Corrigenda is appended to this document.]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76" w:name="HENDERSON J."/>
            <w:bookmarkEnd w:id="76"/>
            <w:r>
              <w:rPr>
                <w:rFonts w:ascii="arial" w:eastAsia="arial" w:hAnsi="arial" w:cs="arial"/>
                <w:b/>
                <w:color w:val="000000"/>
                <w:sz w:val="30"/>
                <w:lang w:val="en-US" w:eastAsia="en-US" w:bidi="ar-SA"/>
              </w:rPr>
              <w:t>HENDERSON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this application for judgment under Rule 18A, I am asked to determined whether the City of Richmond's failure to recognize alleged errors in a geotechnical soils report and accompanying foundation drawings resulted from an operational failure, and was thus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from a policy decision to refrain from forming its own opinions on geotechnical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this application, I am concerned only with the potential liability of the City of Richmond. The City is entitled to summary judgment in its favour unless I conclude that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its part have sufficient merit to warrant a full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Don and Lynda Parsons, own a piece of land in Richmond, B.C. In March, 1993 they decided to build their own house on it. Mr. Parsons had extensive experience in the construction industry so he decided to design the house and become the general contractor for the project.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When the Parsons applied to the City of Richmond for a building permit, the application was passed to Peter Gee, a plan checker for the City. He reviewed the building plan documents to ensure compliance with a variety of Richmond by-laws, and then referred to a surficial geology map to ascertain the soil conditions underneath the proposed structure. The map described the soil conditions as "lowland peat up to 8 metres thick overlaying silt and clay", a soil condition which is poorly suited to the construction of building foundations. In accordance with his standard practice, Mr. Gee forwarded the application documents to Gavin Woo, a code engineer employed by the City of Richmond.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Woo requested the Parsons to provide a geotechnical soils investigation report and a foundation design. A report and design were prepared and submitted by the defendant, Digs Consultants Corporation. The defendant Trevor Finch, a professional engineer, signed the report on behalf of Digs. Mr. Finch is now deceased and Digs has never entered an Appearance.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City took no issue with the content of the report. A building permit was issued and a house was built. The house has now settled by 1 to 11/2 feet into the ground, with consequent damage to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an issue as to whether the house was constructed in accordance with the plans and specifications prepared by Mr. Finch. The defendants say that the Finch plan was faultless, and that the settling of the house has been caused by a substantial departure from Mr. Finch's specifications.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Mr. Woo received the report from Digs and Finch, he conducted a very limited examination of it. He noted that the report bore the signature and seal of a professional engineer (Mr. Finch) registered to practice in the Province of British Columbia. He noted that the report described the soil conditions encountered in the digging of three test holes. It recommended excavation of peat and mixed peat and clay, and the replacement of both with a suitable granular fill. He also noted that the report stated that the footings for the foundation had been designed (by Mr. Finch) to 1,000 p.s.f. allowable soil bearing capacity. A foundation plan was submitted under separate cover. Mr. Finch stated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Secondary total settlements in the order of 2 inches may be expected over a period of 30 years, with one inch differential settlement occurring over the width of the structure.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Woo concluded that the report addressed the issues which needed to be addressed - the types of subsurface soils, the bearing capacity of the soil, the expected total and differential settlement, whether the construction could be placed on fill, and how the soil should be prepared for the foundation. From his point of view, the application was in order, so he concurred in the issuance of a building permit.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Woo has a bachelor of engineering degree and a background in civil and structural engineering. He is not qualified as a geotechnical engineer and has never worked in that area. He did not examine the soil conditions at the property or form any opinion concerning them. All he did was examine the Digs report to ensure that it was prepared by a qualified professional engineer and that it addressed, or appeared to address, the necessary issues. Mr. Woo did not form any opinion as to whether the opinions of Mr. Finch were correct or supported by adequate evidence of soil conditions. Mr. Woo's only concern was to ensure that Mr. Finch addressed the questions that needed to be answered.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first question is whether the City of Richmond owed a duty of care to Mr. and Mrs. Parsons and, if so, to what extent. Resolution of that issue requires an examination of the established procedure in Richmond for dealing with applications for building permits where the soil is poor.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City does not employ a geotechnical engineer and does not carry out any geotechnical soil investigations or soil analysis. A surficial geology map of Richmond is used to identify sites of proposed buildings where the soil qualities are poor. In these cases, the owner or builder of the property is required to obtain a geotechnical engineering analysis of the soil conditions before a building permit will issue. That report is obtained at the expense of the owner. It must be prepared by a geotechnical engineer, but the owner or builder is free to select the engineer of his choice. The engineer must carry liability insurance.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code engineer's job is to review the structural design of the building plans (the adequacy of which is not in issue here). He also conducts a limited review of the geotechnical soil report, but he neither possesses geotechnical expertise nor purports to bring any to his review of the report. The code engineer looks at the report solely to ensure that it addresses, or appears to address, the question of the poor soil conditions at the proposed building site. I say "appears to address", because a code engineer does not have the expertise to determine whether the geotechnical analysis and resulting recommendations are correct.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code engineer's role is a component of an overall scheme which includes the use of "letters of assurance" issued on behalf of the owner to the City to confirm that the construction has been carried out as recommended by the responsible professionals. In general, the scheme is that contemplated and established by the British Columbia Building Code, 1992, and City of Richmond By-Law 5882.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Richmond could, of course, conduct its own geotechnical analysis and soil inspections if it chose to do so. I am satisfied from the affidavit evidence that Richmond has consistently refrained from doing so, for reasons of public economy. If Richmond were to undertake its own soils investigations, it would need to expend a significant amount of public funds on the hiring of geotechnical engineers and support staff for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When approaching the question of an alleged duty of care, the first issue is whether there is a "sufficient relationship of proximity or neighbourhood" such that, in the reasonable contemplation of the City, carelessness on its part may be likely to case damage to the plaintiffs: Just v. B.C. </w:t>
      </w:r>
      <w:hyperlink r:id="rId199" w:history="1">
        <w:r>
          <w:rPr>
            <w:rFonts w:ascii="arial" w:eastAsia="arial" w:hAnsi="arial" w:cs="arial"/>
            <w:i/>
            <w:color w:val="0077CC"/>
            <w:sz w:val="20"/>
            <w:u w:val="single"/>
            <w:shd w:val="clear" w:color="auto" w:fill="FFFFFF"/>
            <w:lang w:val="en-US" w:eastAsia="en-US" w:bidi="ar-SA"/>
          </w:rPr>
          <w:t>(1989), 41 B.C.L.R. (2d) 350</w:t>
        </w:r>
      </w:hyperlink>
      <w:r>
        <w:rPr>
          <w:rFonts w:ascii="arial" w:eastAsia="arial" w:hAnsi="arial" w:cs="arial"/>
          <w:color w:val="000000"/>
          <w:sz w:val="20"/>
          <w:lang w:val="en-US" w:eastAsia="en-US" w:bidi="ar-SA"/>
        </w:rPr>
        <w:t xml:space="preserve"> (S.C.C.). Clearly, the answer to this first question is in the affirmative.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Secondly, it is necessary to consider whether there are any considerations which ought to negate, reduce or limit the scope of the duty: Just, supra. Where the defendant is a municipal government and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grounded in a failure to inspect, it must be determined whether the failure resulted from a true "policy" decision or one which was merely "operational". The latter may attract tort liability; the former will not. The distinction is explained in detail in Brown v. British Columbia, </w:t>
      </w:r>
      <w:hyperlink r:id="rId200" w:history="1">
        <w:r>
          <w:rPr>
            <w:rFonts w:ascii="arial" w:eastAsia="arial" w:hAnsi="arial" w:cs="arial"/>
            <w:i/>
            <w:color w:val="0077CC"/>
            <w:sz w:val="20"/>
            <w:u w:val="single"/>
            <w:shd w:val="clear" w:color="auto" w:fill="FFFFFF"/>
            <w:lang w:val="en-US" w:eastAsia="en-US" w:bidi="ar-SA"/>
          </w:rPr>
          <w:t>[1994] 4 W.W.R. 194</w:t>
        </w:r>
      </w:hyperlink>
      <w:r>
        <w:rPr>
          <w:rFonts w:ascii="arial" w:eastAsia="arial" w:hAnsi="arial" w:cs="arial"/>
          <w:color w:val="000000"/>
          <w:sz w:val="20"/>
          <w:lang w:val="en-US" w:eastAsia="en-US" w:bidi="ar-SA"/>
        </w:rPr>
        <w:t xml:space="preserve"> (S.C.C.).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decision not to inspect or to reduce the number of inspections may be an unassailable policy decision: Just, supra, at p. 370. Similarly, a decision to delegate a certain inquiry to an outside professional, and to examine his report only for the limited purpose of determining that he has addressed the issue, is a policy decision a municipal government is free to make.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satisfied that the practice and procedure I have described pertaining to soil investigation reports is the product of a true policy decision made by the City of Richmond for economic and political reasons. The failure to bring any geotechnical expertise to bear on the Digs report for the purpose of second-guessing Mr. Finch's opinion was not a mere operational failure to perform a step which Richmond had, as a matter of policy, undertaken to perform.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result is that, although Richmond owed a duty of care to Mr. and Mrs. Parsons, the scope of that duty was very limited. Richmond owed a duty to ensure that, before a building permit was issued, the City was presented with a report prepared by a licensed and insured geotechnical engineer which appeared to address the question of poor soil conditions. Defects in the report which were, or should be, apparent on its face to a person lacking any geotechnical engineering training or experience should be identified by Richmond's code engineer. A failure to identify such a defect might ground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City. Defects which, because of their technical nature, could only be recognized by those with geotechnical expertise, or defects which could be identified only by a chain of inquiry reaching back behind the report to the preparatory work upon which the geotechnical expert relied, are not defects which the City has a duty to identify and address.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and Mrs. Parsons say that, even viewed in the light of the limited duty of care I have just described, Mr. Woo's review of the Digs report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to the Parsons says that the Digs report was defective on its face because it contained no information about the bearing capacity of the soil and no "discussion" about the issue of soil stability. He points out that the standard printed forms attached to the report which describe the test hole results contain no information in the column headed "In-situ Moisture Percentage". He says the report does not contain any information disclosing groundwater conditions.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report is essentially conclusory in nature. It describes the problem, contains an abbreviated description of the investigation of the site, and recommends a solution. The report is written as if its author is communicating with a reader lacking geotechnical expertise. Mr. Finch was likely well aware that Mr. Woo was not a geotechnical engineer. Mr. Finch states his conclusions, but does not expound upon how he reached them, deeming that unnecessary.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Rather than embark upon a discussion of the bearing capacity of the soil, Mr. Finch says simply that he has designed footings for the foundation to 1,000 p.s.f. allowable soil bearing capacity. He had the expertise to do that. That is all that Mr. Woo needed to know to carry out his limited mandate.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far as soil stability is concerned, Mr. Finch says a secondary total settlement of about 2 inches may be expected over 30 years, with a 1 inch differential settlement occurring over the width of the structure. Again, Mr. Finch is specifying the ultimate result of his analysis without troubling the reader with the reasoning and research supporting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groundwater conditions are referred to when the test holes are described and, again, in the test hole logs.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for the lack of any in-situ moisture percentage readings on the test hole log sheets, that is one of several data items which have not been entered on the standard printed forms. The degree of importance attaching to this data, and the need for it to be specified in the test hole log, are questions of the sort which the City of Richmond, by its consciously articulated policy, left with the geotechnical engineer. Mr. Woo was not expected nor required to second guess the owner's expert on questions of this nature.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have not overlooked the fact that Kevin Lannard, a building inspector for the City of Richmond and its representative on its examination for discovery, has described the scope of Mr. Woo's review in terms which appeared, at times, to attribute a broader mandate to him. Insofar as this evidence contradicts the affidavit evidence (of Mr. Woo and Mr. Lannard), I prefer the latter. Some of Mr. Lannard's answers at his examination for discovery paint a picture of Mr. Woo's review which is unintentionally inaccurate.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and Mrs. Parsons also say that the City was negligent in approving of foundation drawings which fail to comply with the City's own requirement that the drawings indicate the type of rock and soil conditions and the groundwater conditions. The author of the geotechnical soils report also prepared the foundation drawings and submitted them to the City at the same time. The two documents must be read together. The report contains information on the types of rock and soil encountered in the three test holes and information on the groundwater conditions. There was no need for this information to be repeated on the foundation drawings. In addition, there is no evidence of any causal link between the absence of this information from the foundation drawings and the unfortunate settling of the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satisfied that Mr. Woo and his employer, the City of Richmond, were not negligent in carrying out the limited review of the Digs report which their policy required of them. The report is that of a qualified professional and recommends a specific course of action to overcome an identified problem. In these circumstances, Richmond owed no duty of care to Mr. and Mrs. Parsons to make further inquiries of Digs or Mr. Finch or to conduct its own investigation.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application of the City of Richmond is allowed and the action against it is dismissed. Richmond is entitled to its costs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HENDERSON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CORRIGENDUM</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Released: January 14, 2002</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[1] I refer to my Reasons for Judgment dated December 31, 2001. The date of hearing should read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June 26, 2001,</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 November 2, 2001 and</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 November 27, 2001</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Released: January 24, 2002</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[1] I refer to my Reasons for Judgment dated December 31, 2001 and my Corrigendum dated January 14, 2002. The date of hearing should read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June 26, 2001,</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 November 2 and November 27, 2000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HENDERSON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231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Royal Bank of Canada v. Bruyneel &amp; Co., [2000] B.C.J. No. 381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Stewart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7 - 11 and February 14 - 17,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C981088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381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330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95 A.C.W.S. (3d) 406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Royal Bank of Canada, plaintiff, and Bruyneel &amp; Company, Alan M. Bruyneel and Alan M. Bruyneel,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7" w:name="Keywords_11"/>
      <w:bookmarkEnd w:id="77"/>
      <w:r>
        <w:rPr>
          <w:rFonts w:ascii="arial" w:eastAsia="arial" w:hAnsi="arial" w:cs="arial"/>
          <w:b/>
          <w:color w:val="000000"/>
          <w:sz w:val="20"/>
          <w:lang w:val="en-US" w:eastAsia="en-US" w:bidi="ar-SA"/>
        </w:rPr>
        <w:t xml:space="preserve">Professional occupations — Accountants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Audit — Fraud and misrepresentation — Misrepresentation — Elements — Special relationships — Reliance.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8" w:name="Case Summary_10"/>
            <w:bookmarkEnd w:id="7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Royal Bank of Canada against the defendants, Bruyneel &amp; Company, Bruynel, and Alan Bruyneel Ltd.,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Bruyneel was a chartered accountant and a principal of Bruyneel &amp; Company, which was a firm of chartered accountants. He was also the owner of the defendant, Alan Bruyneel Ltd., a professional corporation. The Royal Bank advanced credit to its customers, Pacific Armoured Car and Pacific Armoured Holdings in 1997. Bruyneel was a director and officer of these customers. The customers agreed to provide financial statements and monthly reports to the Royal Bank. Bruyneel &amp; Company prepared financial statements for the customers for 1997. The financial statements were prefaced with a Notice to Reader stating that the firm of Chartered Accountants had not audited or reviewed or otherwise attempted to verify the accuracy or completeness of such information. In reliance on the financial documents, the Bank renewed and increased the credit facilities in favour of the customers. The documents did not disclose liabilities of an estimated $200,000 arising from various thefts. In January 1998, a receiver was appointed for one customer and the other made an assignment into bankruptcy. The Bank argued that the defendants owed it a duty of care, and were negligent in the preparation of the financial documents by failing to meet the standard of care of a reasonably competent chartered accountant.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9" w:name="Holdings of Court_9"/>
            <w:bookmarkEnd w:id="7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Bank knew of the customers' financial problems, and knew of the depth of the conflict of interest flagged by the notice to reader. It followed that the Bank knew or ought to have known that Bruyneel could not bring objectivity to the compiling of the financial statements. It was unreasonable for the Bank, knowing what it did, to take the absence of information on the face of the year-end statements as assurance that no relevant information was omitted from the statements. The Bank made use of the year-end statements at its peril and without any assurance of the statements being complete. The Bank did not establish that Bruyneel owed it a duty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0" w:name="Counsel_11"/>
      <w:bookmarkEnd w:id="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Richard J. Olson, for the plaintiff. Alison A. Rhodes and Maryam Rafi,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1" w:name="Judgment_11"/>
      <w:bookmarkEnd w:id="81"/>
      <w:r>
        <w:pict>
          <v:line id="_x0000_s1082" style="position:absolute;z-index:25177292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 note: Corrigenda were released by the Court February 23 and 29, 2000; the corrections have been made to to the text and the Corrigenda are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2" w:name="STEWART J."/>
            <w:bookmarkEnd w:id="82"/>
            <w:r>
              <w:rPr>
                <w:rFonts w:ascii="arial" w:eastAsia="arial" w:hAnsi="arial" w:cs="arial"/>
                <w:b/>
                <w:color w:val="000000"/>
                <w:sz w:val="30"/>
                <w:lang w:val="en-US" w:eastAsia="en-US" w:bidi="ar-SA"/>
              </w:rPr>
              <w:t>STEWART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the Royal Bank of Canada, claims against the defendants for damages. What is alleged is a tort. The case that is the head and source of the cause of action in question in this case is Hedley Byrne and Company Ltd. v. Heller and Partners Ltd., [1963] 2 All E.R. 575 (House of Lords).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Statement of Claim in this case, in its material part (which is almost all of it), reads as follows: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chartered pursuant to the laws of Canada with a branch at Second Floor, 4370 Kingsway, Burnaby, British Columbia.</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Bruyneel &amp; Company is a firm of chartered accountants practising as public accountants.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Alan M. Bruyneel ("Bruyneel") is a chartered accountant and principal of the Defendant Bruyneel &amp; Company, chartered accountants.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Alan M. Bruyneel, Ltd. is a professional corporation of the Defendant Bruyneel.</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certain loan facilities established prior to the 1997 the Plaintiff advanced credit to Pacific Armoured Car (1994) Ltd. and Pacific Armoured Holdings Ltd. (the "Customers").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Bruyneel was at all material times a director and officer of the Customers.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advance of credit that the Customers would provide to the Plaintiff, from time to time, financial information including financial statements and monthly reports in respect of the Customers' financial circumstances.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engaged the services of Pacific Armoured Car (1994) Ltd. to transport and store cash and to stock and service automatic teller machines.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prepared financial statements for the Customers for the fiscal year ended September 30, 1997 (the "Financial Statements").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15, 1997 the Customers delivered the Financial Statements to the plaintiff.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Customers also prepared monthly reports under the direction of the Defendants (the "Monthly Reports").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Customers delivered the Monthly reports to the Plaintiff on a monthly basis during the period, inter alia, July 1996 to November 1997.</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or ought to have known that the Plaintiff would rely on the Financial Statements as fairly presenting the financial position of the Customers and accordingly the Defendants, in preparing the Financial Statements, owed a duty of care to the Plaintiff to prepare the Financial Statements with reasonable care, skill, diligence and competence as a chartered accountant or chartered accountancy firm.</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or ought to have known that the Plaintiff would rely on the Monthly Reports as fairly presenting the financial position of the Customers and accordingly, the Defendants, in directing the preparation of the Monthly Reports, owed a duty of care to the Plaintiff to direct the preparation of the Monthly Reports with reasonable care, skill, diligence and competence as a chartered accountant or a chartered accountancy firm.</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reliance on the Financial Statements and the Monthly Reports the Plaintiff:</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renewed the credit facilities in favour of the Customers for a further period;</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advanced further credit to the Customers; and</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continued to use the services of Pacific Armoured Car (1994) Ltd.</w:t>
      </w:r>
    </w:p>
    <w:p>
      <w:pPr>
        <w:numPr>
          <w:numId w:val="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period relevant to the Financial Statements and the Monthly Reports the Customers incurred liabilities arising from the theft of cash:</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its vault;</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automatic teller machines; and</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in transport.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"Liabilities")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Statements and the Monthly Reports failed to disclose the Liabilities.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negligent in the preparation of the Financial Statements and in directing the preparation of the Monthly Reports by failing to:</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disclose the Liabilities in the Financial Statements and the Monthly Reports;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 proper procedures in identifying the Liabilities;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the Customers on proper accounting procedures with respect to the Liabilities.</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disclose the Liabilities in the Financial Statements or the Monthly Reports the Defendants failed to meet the standard of care of a reasonably competent chartered accountant.</w:t>
      </w:r>
    </w:p>
    <w:p>
      <w:pPr>
        <w:numPr>
          <w:numId w:val="1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 Plaintiff has suffered loss, damage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sake of simplicity I will speak as if there were but one defendant, Alan M. Bruyneel.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case against the defendant as presented at trial is based entirely on the defendant's conduct in connection with the compiling of the year-end (September 30, 1997) financial statements of Pacific Armoured Car (1994) Ltd., an operating company, and the year-end (September 30, 1997) consolidated financial statements of Pacific Armoured Holdings Ltd., a holding company. (For ease of reference I will hereafter refer, as appropriate, to PAC Ltd., PAH Ltd., "the companies", or "the two corporations".)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PAH Ltd. held all of the shares of PAC Ltd. In turn, all of the shares of PAH Ltd. were registered in the name of the defendant, Alan Bruyneel.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Alan Bruyneel was at all material times a Chartered Accountant carrying on a public practice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year-end (September 30, 1997) financial reports of PAC Ltd. were prefaced with a "Notice To Reader" which read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NOTICE TO READER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compiled the balance sheet of Pacific Armoured Car (1994) Ltd. as at September 30, 1997 and the statements of earnings and retained earnings and changes in financial position for the year then ended from information provided by management. We have not audited, reviewed or otherwise attempted to verify the accuracy or completeness of such information. Readers are cautioned that these statements may not be appropriate for their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 of Bruyneel &amp; Co., Alan M. Bruyneel C.A., is a shareholder of Pacific Armoured Holdings Ltd., the parent company of Pacific Armoured Car (1994)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Vancouver, Canada</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CHARTERED ACCOUNTANTS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12, 1997</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year-end (September 30, 1997) consolidated financial reports of PAH Ltd. were prefaced by a Notice To Reader which read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NOTICE TO READER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compiled the consolidated balance sheet of Pacific Armoured Holdings Ltd. as at September 30, 1997 and the consolidated statements of earnings and retained earnings and changes in financial position for the year then ended from information provided by management. We have not audited, reviewed or otherwise attempted to verify the accuracy or completeness of such information. Readers are cautioned that these statements may not be appropriate for their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 of Bruyneel &amp; Co., Alan M. Bruyneel C.A., is a shareholder of Pacific Armoured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Vancouver, Canada</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CHARTERED ACCOUNTANTS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12, 1997</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September 30, 1997 year-end financial reports referred to above were compiled by the defendant in his capacity as a Chartered Accountant and sent to the plaintiff by PAC Ltd. and PAH Ltd. on October 14, 1997 pursuant to a contractual arrangement between the plaintiff and the companies which contractual arrangement, in its material part, read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REPORTING REQUIREMENTS: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Borrowers will provide the Bank with Accountant prepared Notice to Reader annual financial statements within 90 days after the fiscal year end specifically consolidated financial statements for the Pacific Armoured Car connection supported by respective company statements for Pacific Armoured Car (1994) Ltd. and Pacific Armoured Holdings Ltd.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September 30, 1997 year-end financial reports thus compiled by the defendant in his capacity as a Chartered Accountant and forwarded to the plaintiff on October 14, 1997 by the two corporations in question failed to disclose that PAC Ltd., the operating company, was in a pickle.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at the date that he compiled the 1997 year-end financial statements referred to above for the operating company and for the holding company, Alan Bruyneel knew, because he was a hands-on entrepreneur, that PAC Ltd. had to make good an amount which he believed then was about $200,000 in missing trust funds. The funds had gone missing from what was known as the "coin room". The financial institutions which had placed the missing cash in PAC Ltd.'s possession did not know that the money was missing. The missing money might be replaced without the financial institutions in question ever knowing that it had gone missing. The replacing of what Alan Bruyneel thought as of September 30, 1997 to be in the area of $200,000 might be accomplished gradually over a lengthy period of time, with no one being the wiser and without crippling PAC Ltd.'s ability to carry on business. If there was enough time and a stream of otherwise unallocated cash available for the purpose, that is. But replaced the money must be. And the very expensive insurance policy kept in place by the companies was of no assistance because the conditions precedent to a successful claim or claims (minus a $10,000 deductible for each discreet loss of trust funds) could not be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September 30, 1997 year-end reports compiled by Alan Bruyneel revealed nothing about the missing funds or the fact that the money would have to be replaced. There were no appropriate entries on the face of the financial statements. There was no note to the financial statements disclosing what amounted, at the least, to a contingent liability. (Towards the end of his testimony Mr. Bruyneel made it clear that he realizes that there was actually nothing "contingent" about it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Alan Bruyneel learned of the company's problem in his capacity as the driving force behind PAC Ltd. In his capacity as the Chartered Accountant who compiled the financial reports he knew of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through his counsel concedes the following, and I take this from the "Opening Of The Defendant", paragraph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conceded that the 1997 year-end financial statements ought to have referenced a loss of customer's monies from the 'coin room' operated by Pacific Armoured Car (1994) Ltd., and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noted above, the plaintiff received the financial statements compiled by the defendant on October 14, 1997. Between October 14, 1997 and November 3, 1997, the bank did, for its own purposes, a year-end review of the financial position of PAC Ltd. and PAH Ltd. In the result on November 3, 1997 the plaintiff made an "Offer to Finance" to PAC Ltd. and PAH Ltd. The "Offer to Finance" appears at Exhibit 2, tab 43. It speaks for itself. What matters for my purposes is that the bank increased its exposure by granting an increase of $50,000 in the authorized amount of one "margined" demand loan in favour of PAC Ltd. and granting a "Corporate Visa" facility in the amount of $30,000 in favour of PAC Ltd. On or about December 2, 1997, an additional demand loan of $50,000 was authorized by the plaintiff. In the result as I understand it, only $16,000 was drawn down. (And $12,000 of that $16,000 was, in the result, recovered from a contractor after the events of January 1998, which events I turn to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January 7, 1998, the defendant as the sole shareholder of PAH Ltd.--which corporation in turn held all the shares of PAC Ltd.--"shut the companies down", to use the language adopted by counsel for the defendant in her written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January 8, 1998, Mr. Gray of Campbell Saunders Limited was asked by the plaintiff to ready himself to be appointed as Receiver/Manager of the two corporations.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Gray went to PAC Ltd.'s place of business. There he saw what must have been a remarkable scene. All that mattered about the business, the customer list, was effectively evaporating before his eyes as couriers other than PAC Ltd. arrived to remove money belonging to erstwhile clients of PAC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noon on January 8, 1998, the necessary having been done, Mr. Gray accepted the appointment as Receiver/Manager.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January 9, 1998, PAC Ltd. made an assignment into bankruptcy. The shortage in the coin room proved to $278,000.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recovered approximately $75,000 from the sale of such assets as could be sold. In addition, $12,000 of a $16,000 payment that had been made by PAC Ltd. to a contractor prior to January 7, 1998 was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that the defendant is correct in asserting that by January 9, 1998 the bank's exposure had increased by $83,000 over what it was prior to the plaintiff's receiving and relying upon the September 30, 1997 year-end financial statements compiled by the defendant. The defendant accepts that that figure should not be reduced by any of the amounts received by the Receiver/Manager from the sale of the companies' assets. The defendant takes the position that the plaintiff's claim can be for $83,000 and no more, although the defendant's primary position is that the plaintiff's action should simply be dismissed. I turn to the plaintiff's position. The plaintiff says that if one travels down this road the correct figure is not $83,000, but $144,052.44. The plaintiff takes that position because a letter of credit which had been authorized by the plaintiff prior to September 30, 1997 was actually issued by the bank on October 28, 1997. The plaintiff had the 1997 year-end financial statements compiled by the defendant in hand by October 14, 1997. I find that the evidence does not establish that the receipt of the 1997 year-end financial statements compiled by the defendant played a role in any decision by the bank to provide the companies with any additional credit "facility" until on or after November 3, 1997 when Mr. Slipec, the Risk Manager signed off on the proposed Offer to Finance. (See Exhibit 2, tab 43, page 2 and Exhibit 2, tab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takes the position that what matters is not the analysis outlined in the immediately preceding paragraph of these Reasons for Judgment, but that what was at risk from the plaintiff's point of view as of January 8, 1998 was approximately $683,000. Of the funds received by the Receiver/Manager only the $75,000 received from the sale of the company's assets is of interest. The plaintiff takes the position that its loss is $608,000 and that damages should be assessed in that amount. The plaintiff then adds a claim for interest to the date of judgment at the rate prescribed by the contractual relationship between the plaintiff and the companies. The plaintiff completes its claim by pointing out that its net loss from the coin room fiasco (the bank had funds held there in its capacity as a customer of PAC Ltd.) was approximately $16,000 and claims that sum from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case pivots on whether as against the defendant in his capacity as a Chartered Accountant it was reasonable for the plaintiff to take the absence of any revelation of any indebtedness or liability that burdened either or both of the two companies in question beyond what appeared on the face of the September 30, 1997 year-end financial statements as an assurance that there was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That point falls to be considered in the context of deciding whether in the circumstances thrown up by this particular case the defendant owed a duty of care to the plaintiff. The decision is case specific. As to all of this, see Hercules Management Ltd. v. Ernst and Young, </w:t>
      </w:r>
      <w:hyperlink r:id="rId208" w:history="1">
        <w:r>
          <w:rPr>
            <w:rFonts w:ascii="arial" w:eastAsia="arial" w:hAnsi="arial" w:cs="arial"/>
            <w:i/>
            <w:color w:val="0077CC"/>
            <w:sz w:val="20"/>
            <w:u w:val="single"/>
            <w:shd w:val="clear" w:color="auto" w:fill="FFFFFF"/>
            <w:lang w:val="en-US" w:eastAsia="en-US" w:bidi="ar-SA"/>
          </w:rPr>
          <w:t>[1997] 8 W.W.R. 80</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conclude from the testimony of Mr. McCracken that the plaintiff through its agent, Mr. McCracken, knew as of September 30, 1997 that the defendant was a man who was immersed in the business operated through PAC Ltd. and that for all but the purposes of the law he was PAC Ltd. and PAH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conclude from the evidence placed before me in this case that as of September 30, 1997, the plaintiff knew that the defendant had encountered one financial problem after another in operating PAC Ltd. for the three years prior to September 30, 1997. The plaintiff knew that prior to September 30, 1997, the armoured car business operated by the defendant through PAC Ltd. had had to, amongst other things, "factor" its major accounts receivable, and obtain indulgences from the plaintiff in connection with its debt/tangible net worth ratio.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follows that as of the delivery to the plaintiff of the September 30, 1997 year-end statements compiled by the defendant in his capacity as a Chartered Accountant, this particular plaintiff knew the depth of the conflict of interest flagged by the Notice To Reader that appeared on the face of the September 30, 1997 year-end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that it also follows that the plaintiff as of September 30, 1997 knew or ought to have known that the defendant was a man who was the opposite of a Chartered Accountant who could bring objectivity to the "compiling" of the 1997 year-end financial statements of PAC Ltd. and PAH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To track the language of Mr. Justice La Forest in Hercules Management Ltd. v. Ernest and Young, supra, at page 95, I do not find that "reliance by the plaintiff would, in the particular circumstances of the case, be reasonable". The short point is it was unreasonable for this plaintiff--knowing what it did--to take the absence of information on the face of the year-end statements compiled by the defendant as an assurance that there was no relevant information omitted from the statements that was known to Alan Bruyneel. To find otherwise in the light of what this particular plaintiff knew about the defendant, the defendant's deep involvement in the business, and the financial speed bumps encountered by the business before September 30, 1997 would be set at nought what the Notice To Reader so obviously drove home i.e., in light of the objectivity--destroying, but bluntly revealed, conflict of interest that hamstrung this particular Chartered Accountant the plaintiff made use of the year-end statements, if at all, at its peril and without any assurance by the Chartered Accountant of the statements being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has placed before me portions of the CICA Members Handbook and the ICABC Members Handbook.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Based on the content of these handbooks, the plaintiff's point is that as of September 30, 1997, the defendant knew the coin room loss ought to be revealed on the face of the 1997 year-end financial statements he was compiling pursuant to his engagement as a Chartered Accountant, and that as a Chartered Accountant he could either decline to compile the financial statements or reveal the coin room loss on the face of the year-end financial statements. He could do no other says the plaintiff, for if he associated himself with financial statements that he knew or should have know were false or misleading, he would be in breach of at least one of the rules of conduct by which he was governed as a Chartered Accountant, regardless of the fact that the "association is subject to a disclaimer of responsibility" (ICABC Member Handbook Rule 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premise in the plaintiff's argument is that as the defendant, regardless of the content of any Notice To Reader, could not associate himself with a financial statement he knew or ought to have known was misleading without offending the rules of his profession, the plaintiff could reasonably rely on the 1997 year-end financial statements compiled by the defendant Chartered Accountant as revealing all relevant and material information known to the defendant, regardless of whether such information came to the defendant in his capacity as the man behind and immersed in the operating of the companies, or in his capacity as a Chartered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say that that is a non sequitur.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follows from what I have said above that the plaintiff has not established that this defendant owed a duty of care to this plaintiff at the material time. The plaintiff's action falls to the ground and must be, and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question arises as to whether I should go on and attempt to make findings as the trial judge which may permit the Court of Appeal to bring this litigation to an end if the Court of Appeal should set aside the ruling that I have just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case that is engaged at this point is Caplan Builders Ltd., Caplan and Caplan v. Royal Bank of Canada </w:t>
      </w:r>
      <w:hyperlink r:id="rId209" w:history="1">
        <w:r>
          <w:rPr>
            <w:rFonts w:ascii="arial" w:eastAsia="arial" w:hAnsi="arial" w:cs="arial"/>
            <w:i/>
            <w:color w:val="0077CC"/>
            <w:sz w:val="20"/>
            <w:u w:val="single"/>
            <w:shd w:val="clear" w:color="auto" w:fill="FFFFFF"/>
            <w:lang w:val="en-US" w:eastAsia="en-US" w:bidi="ar-SA"/>
          </w:rPr>
          <w:t>25 B.C.L.R. (2d) 335</w:t>
        </w:r>
      </w:hyperlink>
      <w:r>
        <w:rPr>
          <w:rFonts w:ascii="arial" w:eastAsia="arial" w:hAnsi="arial" w:cs="arial"/>
          <w:color w:val="000000"/>
          <w:sz w:val="20"/>
          <w:lang w:val="en-US" w:eastAsia="en-US" w:bidi="ar-SA"/>
        </w:rPr>
        <w:t xml:space="preserve"> (B.C.S.C.) 1988. (I note that the appeal in that case was dismissed by the Court of Appeal of this province on June 8, 1989. The appeal did not reach the issue of interest now). At page 337 and following of the decision Mr. Justice Bouck discusses the factors that ought to be taken into account in deciding whether to move beyond the necessary. He lists four points and then discusses each in turn. I will take the case as read for the purposes of what I am about now. It's my view that on balance I ought to attempt to proceed to give Reasons for Judgment, in effect, "in the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if in the circumstances of this particular case this defendant, a Chartered Accountant, owed a duty of care to this plaintiff, then the defendant did not meet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the plaintiff did in fact rely on the September 30, 1997 year-end financial statements compiled by the defendant in his capacity as a Chartered Accountant and forwarded to the plaintiff by the companies in question on October 14,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that the plaintiff did suffer a loss as a result of its reliance on the September 30, 1997 year-end financial statements compiled by the defendant in his capacity as a Chartered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turn 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a fundamental point that must be wrestled with at the outset of the assessment of damages in this case. I choose to get at it as follows. (The issue was foreshadowed in paragraphs 22 and 23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that if Alan Bruyneel had shut down the business on September 29, 1997 exactly as he did in truth shut it down on January 7, 1998, the plaintiff's loss would have been what it was on and after January 9, 1998 save and except for that loss to the plaintiff that flowed from its having increased its financing of PAC Ltd. and/or PAH Ltd. after September 30, 1997 having, in turn, relied on the September 30, 1997 year-end financial statements compiled by the defendant being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It follows that I reject the plaintiff's submission to the effect that damages must be assessed by me on the basis that what was lost to the plaintiff as a result of the defendant's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connection with the compiling of the September 30, 1997 year-end financial statements was the chance or opportunity to avoid the whole of its eventual loss by taking such steps as the bank saw fit after it received "correct" September 30, 1997 year-end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No causal connection exists between the plaintiff's loss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other than in connection with the failure of the plaintiff ultimately to recover additional funds advanced by the plaintiff to the companies in question after receipt by the bank of the September 30, 1997 year-end financial statements compiled by the defendant and delivered to the plaintiff on October 14, 1997. The relevant additional funding of PAC Ltd. and/or PAH Ltd. occurred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I understand it the overlap between the submission of counsel for the defendant and the submission of counsel for the plaintiff on the quantifying of the damages to be awarded to the plaintiff means that if (as I do above) I reject the plaintiff's fundamental submission as to the way in which damages must be assessed, it is common ground that the damages must be assessed in the amount of at least $83,000. The plaintiff takes the position, as noted above, that $61,052.44 must be added to the figure of $83,000 because a letter of credit which was but in the offing as at September 30, 1997 was issued by the plaintiff only on October 28, 1997 after the plaintiff had in hand the 1997 year-end financial statements compiled by the defendant and delivered to the plaintiff on October 14, 1997. As noted above I reject that submission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result, in the alternative, the plaintiff's damages are assessed at $83,000. The applicable interest rate would not be the contractual interest rate claimed by the plaintiff and I'll deal with that later. As for the plaintiff's claim as against this defendant for the plaintiff's net loss out of the coin room, I say only that in my respectful view, there is no basis for assessing damages as against the defendant for the Royal Bank's net loss from the coin room fiasco.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defendant submits that sections 1 and 2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have application here. The defendant says that I ought to find that the defendant has established on a balance of probabilities that the plaintiff was at fault in that it was negligent and that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its loss. An apportioning of the fault as between the plaintiff and the defendant would follow and in the result the amount to be recovered by the plaintiff from the defendant would be less than it might otherwise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reject the defendant's submission. I do so because I find that in the circumstances of this case if reliance by the plaintiff on the premise that the 1997 year-end statements compiled by the defendant in his capacity as a Chartered Accountant omitted nothing of significance known to Alan Bruyneel was reasonable then it cannot be that for the plaintiff to advance additional funds to PAC Ltd. and/or PAH Ltd. amounted to a failure by the plaintiff to take reasonable care for its own financial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If I were awarding damages there would be court order interest at the prevailing interest rate from time to time. I mention this because at one juncture in the plaintiff's submission, the plaintiff took the position that the plaintiff's commercial interest rate should have application. As I understand it, that submission fell by the wayside when I rejected the fundamental submission of the plaintiff as to how the assessment of damages should be got at. In any event, for the sake of certainty I make the point that the interest rate that would be applied if I were making an award of damages in favour of the plaintiff as against this defendant would be the prevailing court order interest rate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flows from all I have said above that the plaintiff's action is dismissed. All else is stated "in the alternative". If costs need be spoken to counsel can make the necessary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STEWART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February 23, 2000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Paragraph 46 of the Reasons for Judgment filed on February 22, 2000 should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As I understand it the overlap between the submission of counsel for the defendant and the submission of counsel for the plaintiff on the quantifying of the damages to be awarded to the plaintiff means that if (as I do above) I reject the plaintiff's fundamental submission as to the way in which damages must be assessed, it is common ground that the damages must be assessed in the amount of at least $83,000. The plaintiff takes the position, as noted above, that $61,052.44 must be added to the figure of $83,000 because a letter of credit which was but in the offing as at September 30, 1997 was issued by the plaintiff only on October 28, 1997 after the plaintiff had in hand the 1997 year-end financial statements compiled by the defendant and delivered to the plaintiff on October 14, 1997. As noted above I reject that submission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STEWART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February 29,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With respect to my reasons for judgment filed on February 22, 2000, the first page should be changed to include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Co-counsel for the Defendants</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Maryam Rafi</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STEWART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Truax v. Hryb, [2017] B.C.J. No. 1218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S.D. Dley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2, 2017.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23, 2017.</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M109973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Kelowna</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[2017] B.C.J. No. 1218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2017 BCSC 1052</w:t>
      </w:r>
    </w:p>
    <w:p>
      <w:pPr>
        <w:spacing w:before="120" w:line="260" w:lineRule="atLeast"/>
        <w:rPr>
          <w:lang w:val="en-US" w:eastAsia="en-US" w:bidi="ar-SA"/>
        </w:rPr>
      </w:pPr>
      <w:r>
        <w:rPr>
          <w:rFonts w:ascii="arial" w:eastAsia="arial" w:hAnsi="arial" w:cs="arial"/>
          <w:color w:val="000000"/>
          <w:sz w:val="20"/>
          <w:lang w:val="en-US" w:eastAsia="en-US" w:bidi="ar-SA"/>
        </w:rPr>
        <w:t>Between Harvey Truax, Plaintiff, and Nicholas Owen Hryb,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84" style="position:absolute;z-index:25167155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3" w:name="Keywords_12"/>
      <w:bookmarkEnd w:id="83"/>
      <w:r>
        <w:rPr>
          <w:rFonts w:ascii="arial" w:eastAsia="arial" w:hAnsi="arial" w:cs="arial"/>
          <w:b/>
          <w:color w:val="000000"/>
          <w:sz w:val="20"/>
          <w:lang w:val="en-US" w:eastAsia="en-US" w:bidi="ar-SA"/>
        </w:rPr>
        <w:t xml:space="preserve">Transportation law — Motor vehicles and highway traffic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defendant for summary judgment dismissed — Plaintiff drove unloaded tractor trailer on dark, rainy night — Plaintiff pulled onto shoulder and let traffic behind him pass with intent of turning into pullout across highway to detach trailer and drive to nearby home — Plaintiff signaled, checked mirror and blind spot, and initiated turn — Defendant's vehicle approached from rear and hit plaintiff's left front fender —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sole cause of collision — Length of visible roadway and unreliability of defendant's evidence supported inference accident could have been avoided with appropriate attention to traffic.</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4" w:name="Case Summary_11"/>
            <w:bookmarkEnd w:id="8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Hryb, for summary judgment finding the plaintiff, Truax, liable for a motor vehicle accident. It was a dark and stormy night. The plaintiff drove an unloaded tractor trailer eastbound on a rural highway. He was at the end of a 13-hour shift, ten minutes from home. The plaintiff intended to turn left across the highway to a pullout spot in order detach the trailer prior to driving home. The plaintiff pulled onto the shoulder to allow vehicles traveling in his direction to pass prior to executing a wide left turn. The plaintiff engaged his turn signal, let the vehicles pass, checked his mirror, conducted a shoulder check, and initiated his turn. As the plaintiff executed the turn, the defendant's vehicle approached from the rear and collided with the left front fender of the plaintiff's vehicle. The defendant contended the plaintiff was responsible for the accident by turning in an unsafe manner that rendered the collision unavoidable. The defendant sought summary judgment in his favour. </w:t>
            </w:r>
            <w:r>
              <w:rPr>
                <w:lang w:val="en-US" w:eastAsia="en-US" w:bidi="ar-SA"/>
              </w:rPr>
              <w:cr/>
            </w:r>
          </w:p>
          <w:p>
            <w:pPr>
              <w:spacing w:before="120" w:line="260" w:lineRule="atLeast"/>
              <w:ind w:left="240"/>
              <w:jc w:val="both"/>
              <w:rPr>
                <w:lang w:val="en-US" w:eastAsia="en-US" w:bidi="ar-SA"/>
              </w:rPr>
            </w:pPr>
            <w:bookmarkStart w:id="85" w:name="Holdings of Court_10"/>
            <w:bookmarkEnd w:id="85"/>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collision. There was a 300-metre stretch of open highway visible to the plaintiff prior to executing his turn. He looked for other traffic in a careful and prudent manner and let it pass. The defendant's contention the plaintiff suddenly turned in a manner that rendered a collision unavoidable was impractical and contrary to common sense given the size of the plaintiff's vehicle. There were concerns regarding the reliability of the defendant's evidence due to mistakes, unknowns and inconsistencies regarding the weather, his speed, the location of the accident, and the presence of a double yellow line. As the following vehicle, it was incumbent upon the defendant to drive at a speed and manner that would give him time to avoid a collision. The court inferred that had the defendant paid proper attention to traffic, the accident could have been avoided. </w:t>
            </w:r>
            <w:r>
              <w:rPr>
                <w:lang w:val="en-US" w:eastAsia="en-US" w:bidi="ar-SA"/>
              </w:rPr>
              <w:cr/>
            </w:r>
          </w:p>
          <w:p>
            <w:pPr>
              <w:rPr>
                <w:lang w:val="en-US" w:eastAsia="en-US" w:bidi="ar-SA"/>
              </w:rPr>
            </w:pPr>
          </w:p>
        </w:tc>
      </w:tr>
    </w:tbl>
    <w:p>
      <w:pPr>
        <w:jc w:val="both"/>
        <w:rPr>
          <w:lang w:val="en-US" w:eastAsia="en-US" w:bidi="ar-SA"/>
        </w:rPr>
      </w:pPr>
      <w:bookmarkStart w:id="86" w:name="Legislation Cited_5"/>
      <w:bookmarkEnd w:id="8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85" style="position:absolute;z-index:2517227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Commercial Vehicle Driver's Hours of Service Regulations, </w:t>
      </w:r>
      <w:hyperlink r:id="rId217" w:history="1">
        <w:r>
          <w:rPr>
            <w:rFonts w:ascii="arial" w:eastAsia="arial" w:hAnsi="arial" w:cs="arial"/>
            <w:i/>
            <w:color w:val="0077CC"/>
            <w:sz w:val="20"/>
            <w:u w:val="single"/>
            <w:shd w:val="clear" w:color="auto" w:fill="FFFFFF"/>
            <w:lang w:val="en-US" w:eastAsia="en-US" w:bidi="ar-SA"/>
          </w:rPr>
          <w:t>SOR/ 2005-313, s. 12</w:t>
        </w:r>
      </w:hyperlink>
      <w:r>
        <w:rPr>
          <w:rFonts w:ascii="arial" w:eastAsia="arial" w:hAnsi="arial" w:cs="arial"/>
          <w:color w:val="000000"/>
          <w:sz w:val="20"/>
          <w:lang w:val="en-US" w:eastAsia="en-US" w:bidi="ar-SA"/>
        </w:rPr>
        <w:t>(1)</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Motor Vehicle Act, </w:t>
      </w:r>
      <w:hyperlink r:id="rId218" w:history="1">
        <w:r>
          <w:rPr>
            <w:rFonts w:ascii="arial" w:eastAsia="arial" w:hAnsi="arial" w:cs="arial"/>
            <w:i/>
            <w:color w:val="0077CC"/>
            <w:sz w:val="20"/>
            <w:u w:val="single"/>
            <w:shd w:val="clear" w:color="auto" w:fill="FFFFFF"/>
            <w:lang w:val="en-US" w:eastAsia="en-US" w:bidi="ar-SA"/>
          </w:rPr>
          <w:t>R.S.B.C. 1996 c. 318, s. 155</w:t>
        </w:r>
      </w:hyperlink>
      <w:r>
        <w:rPr>
          <w:rFonts w:ascii="arial" w:eastAsia="arial" w:hAnsi="arial" w:cs="arial"/>
          <w:color w:val="000000"/>
          <w:sz w:val="20"/>
          <w:lang w:val="en-US" w:eastAsia="en-US" w:bidi="ar-SA"/>
        </w:rPr>
        <w:t>(1)(a)</w:t>
      </w:r>
      <w:r>
        <w:rPr>
          <w:lang w:val="en-US" w:eastAsia="en-US" w:bidi="ar-SA"/>
        </w:rPr>
        <w:cr/>
      </w:r>
    </w:p>
    <w:p>
      <w:pPr>
        <w:keepNext/>
        <w:spacing w:before="240" w:line="340" w:lineRule="atLeast"/>
        <w:rPr>
          <w:lang w:val="en-US" w:eastAsia="en-US" w:bidi="ar-SA"/>
        </w:rPr>
      </w:pPr>
      <w:bookmarkStart w:id="87" w:name="Counsel_12"/>
      <w:bookmarkEnd w:id="8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86" style="position:absolute;z-index:2517739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D.G. Graves.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C.E. York.</w:t>
      </w:r>
      <w:r>
        <w:rPr>
          <w:lang w:val="en-US" w:eastAsia="en-US" w:bidi="ar-SA"/>
        </w:rPr>
        <w:cr/>
      </w:r>
    </w:p>
    <w:p>
      <w:pPr>
        <w:spacing w:after="240"/>
        <w:rPr>
          <w:lang w:val="en-US" w:eastAsia="en-US" w:bidi="ar-SA"/>
        </w:rPr>
      </w:pPr>
      <w:bookmarkStart w:id="88" w:name="Judgment_12"/>
      <w:bookmarkEnd w:id="88"/>
      <w:r>
        <w:pict>
          <v:line id="_x0000_s1087" style="position:absolute;z-index:25182515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9" w:name="S.D. DLEY J."/>
            <w:bookmarkEnd w:id="89"/>
            <w:r>
              <w:rPr>
                <w:rFonts w:ascii="arial" w:eastAsia="arial" w:hAnsi="arial" w:cs="arial"/>
                <w:b/>
                <w:color w:val="000000"/>
                <w:sz w:val="30"/>
                <w:lang w:val="en-US" w:eastAsia="en-US" w:bidi="ar-SA"/>
              </w:rPr>
              <w:t>S.D. DLEY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Truax was making a wide left turn with his tractor trailer unit, from the highway shoulder to cross into a pull out area on the opposite side of the highway. Mr. Hryb was the following vehicle and he struck the front fender of the Truax tractor.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Hryb has applied for a summary determination seeking a declaration that Mr. Truax was liable for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For the reasons that follow, I conclude that Mr. Hryb's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November 25, 2014, Mr. Truax was driving an unloaded tractor trailer unit heading east on Highway 1 near Sorrento,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evening was dark and the rain was heavy.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Truax had been driving for 12.5 hours and, under s. 12(1) of the </w:t>
      </w:r>
      <w:r>
        <w:rPr>
          <w:rFonts w:ascii="arial" w:eastAsia="arial" w:hAnsi="arial" w:cs="arial"/>
          <w:i/>
          <w:color w:val="000000"/>
          <w:sz w:val="20"/>
          <w:lang w:val="en-US" w:eastAsia="en-US" w:bidi="ar-SA"/>
        </w:rPr>
        <w:t>Commercial Vehicle Driver's Hours of Service Regulations</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SOR/2005-313</w:t>
        </w:r>
      </w:hyperlink>
      <w:r>
        <w:rPr>
          <w:rFonts w:ascii="arial" w:eastAsia="arial" w:hAnsi="arial" w:cs="arial"/>
          <w:color w:val="000000"/>
          <w:sz w:val="20"/>
          <w:lang w:val="en-US" w:eastAsia="en-US" w:bidi="ar-SA"/>
        </w:rPr>
        <w:t>, he was only permitted to drive for 13 hours that day. Mr. Truax intended to turn across the highway into a pullout, leave the trailers there (as he had done previously) and drive home. His home was 10 minutes away.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Truax pulled over onto the shoulder of the highway to allow four following vehicles to pass by. Mr. Truax needed to make a wide turn from the shoulder because the entrance to the pullout area was tight.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Truax had his left signal indicator on and, after the four following vehicles had gone past, he checked his rear view mirror and did a shoulder check; he saw no other traffic. He started his turn and had shifted into third gear when a vehicle approaching from the rear collided with his left front fender. The collision occurred just as the front of Mr. Truax's tractor was crossing the double solid yellow line dividing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Truax testified that because of the size of the tractor and B-train configuration, it took five to ten seconds from starting the turn until the collision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Hyrb had been out hunting and was on his way to visit his father in Blind Bay. Mr. Hyrb had deposed and based his application material on the basis that the collision had occurred at the intersection of the highway and Little River Road. Mr. Hyrb conceded that the collision actually took place some distance away from the Little River Road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Hyrb did not know what the speed limit was, but said that he would have been driving at or just below the speed limit. The speed limit for this section of road is 100 km/h.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Hyrb could not recall if he had his windshield wipers on. He did not know if the dividing line was a double solid line or a single line.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Hyrb deposed that he saw the Truax tractor trailer unit sitting on the shoulder of the road. When he was three and a half to four car lengths from the Truax unit, it moved onto the travelled portion of the highway and Mr. Hyrb was unable to avoid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statement to the police shortly after the collision, Mr. Hyrb said that he was not sure if the unit had its signal lights on. However, in his affidavit supporting this application, Mr. Hyrb said that the signal lights were activated.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Hyrb says that the accident was caused by Mr. Truax pulling onto the highway when it was unsafe to do so, and that he had no opportunity to avoid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Is This Suitable for Summary Judgement?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parties agree that in spite of the conflicts in the evidence, this is a matter where justice can be done in a summary trial. I agree.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matter has been set to proceed to a jury trial in December 2017. Although the evidence and issues relating to liability will not be time-consuming, an early resolution will narrow the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finding against the plaintiff will end the action. A finding against the defendant will foreclose the uncertainty of a liability determination and permit the parties to focus their attention on the quantum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parties have been cross-examined on their affidavits. I have had the opportunity of observing the parties and hearing their answers relevant to the issues at hand. I, therefore, conclude that justice can be done between the parties on a summary trial basis with respect to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Absence of 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defence argues that the failure by the plaintiff to introduce engineering evidence of the collision is "telling" and that an inference should be drawn against Mr. Truax. I agree that the absence of engineering evidence is telling - there is no need to call such expert evidence when common sense prevails.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Litigation has become a costly venture; oftentimes unnecessarily so. Litigants are far too quick to secure expert testimony when it is not required. Perhaps that is out of an abundance of caution and concern that the absence of expert evidence will be a failing of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Each case should be considered on its unique circumstances. It is trite to say that it is not necessary to call expert evidence on each issue. Expert testimony should be restricted to those matters where it would actually assist the court because the evidence is so specialized, scientific or complex. Expert evidence should not be viewed as a default or automatic step in litigation strategy.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Discussion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support for his argument, Mr. Hyrb refers to </w:t>
      </w:r>
      <w:r>
        <w:rPr>
          <w:rFonts w:ascii="arial" w:eastAsia="arial" w:hAnsi="arial" w:cs="arial"/>
          <w:i/>
          <w:color w:val="000000"/>
          <w:sz w:val="20"/>
          <w:lang w:val="en-US" w:eastAsia="en-US" w:bidi="ar-SA"/>
        </w:rPr>
        <w:t>Ferguson v. Yang</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2013 BCSC 332</w:t>
        </w:r>
      </w:hyperlink>
      <w:r>
        <w:rPr>
          <w:rFonts w:ascii="arial" w:eastAsia="arial" w:hAnsi="arial" w:cs="arial"/>
          <w:color w:val="000000"/>
          <w:sz w:val="20"/>
          <w:lang w:val="en-US" w:eastAsia="en-US" w:bidi="ar-SA"/>
        </w:rPr>
        <w:t xml:space="preserve"> at paras. 40 and 43: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[40] In </w:t>
      </w:r>
      <w:r>
        <w:rPr>
          <w:rFonts w:ascii="arial" w:eastAsia="arial" w:hAnsi="arial" w:cs="arial"/>
          <w:i/>
          <w:color w:val="000000"/>
          <w:sz w:val="20"/>
          <w:lang w:val="en-US" w:eastAsia="en-US" w:bidi="ar-SA"/>
        </w:rPr>
        <w:t>Hough v. Wyatt</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2010 BCSC 1375</w:t>
        </w:r>
      </w:hyperlink>
      <w:r>
        <w:rPr>
          <w:rFonts w:ascii="arial" w:eastAsia="arial" w:hAnsi="arial" w:cs="arial"/>
          <w:color w:val="000000"/>
          <w:sz w:val="20"/>
          <w:lang w:val="en-US" w:eastAsia="en-US" w:bidi="ar-SA"/>
        </w:rPr>
        <w:t>, the defendant attempted a u-turn from a bus stop at the crest of a hill that was not an intersection, at a location where u-turns were prohibited. The court stated:</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[24] Having initiated an inherently dangerous manoeuvre, Mr. Wyatt failed to keep a look-out for traffic approaching from the north. I conclude that he was focusing on traffic approaching from the south and failed to see Mr. Hough's vehicle. Mr. Wyatt was negligent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collision.</w:t>
      </w:r>
    </w:p>
    <w:p>
      <w:pPr>
        <w:spacing w:before="120" w:line="260" w:lineRule="atLeast"/>
        <w:ind w:left="1080"/>
        <w:rPr>
          <w:lang w:val="en-US" w:eastAsia="en-US" w:bidi="ar-SA"/>
        </w:rPr>
      </w:pPr>
      <w:r>
        <w:rPr>
          <w:rFonts w:ascii="arial" w:eastAsia="arial" w:hAnsi="arial" w:cs="arial"/>
          <w:color w:val="000000"/>
          <w:sz w:val="20"/>
          <w:lang w:val="en-US" w:eastAsia="en-US" w:bidi="ar-SA"/>
        </w:rPr>
        <w:t>...</w:t>
      </w:r>
    </w:p>
    <w:p>
      <w:pPr>
        <w:spacing w:before="120" w:line="260" w:lineRule="atLeast"/>
        <w:ind w:left="1080"/>
        <w:rPr>
          <w:lang w:val="en-US" w:eastAsia="en-US" w:bidi="ar-SA"/>
        </w:rPr>
      </w:pPr>
      <w:r>
        <w:rPr>
          <w:rFonts w:ascii="arial" w:eastAsia="arial" w:hAnsi="arial" w:cs="arial"/>
          <w:color w:val="000000"/>
          <w:sz w:val="20"/>
          <w:lang w:val="en-US" w:eastAsia="en-US" w:bidi="ar-SA"/>
        </w:rPr>
        <w:t>[27] I am also not persuaded that Mr. Hough should have anticipated Mr. Wyatt's illegal manoeuvre or that if he had done so, he could have taken effective steps to avoid the collision. Mr. Hough said he did not see an illuminated signal light on the rear of Mr. Wyatt's vehicle. An activated signal light might indicate an intention to pull into the southbound driving lane and drive south, when it was safe to enter the lane. It would be entirely unreasonable, in my view, to expect a driver observing the signal light to anticipate that Mr. Wyatt would pull across the lane as a prelude to a prohibited u-turn.</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[43] The law does not require perfection on the part of the plaintiff to guard himself against every conceivable eventuality. He must only guard himself against those eventualities that a reasonable person ought to have foreseen, within the ordinary range of human experience. The plaintiff was entitled to proceed on the assumption that all other vehicles would do what is there duty, namely observing the rules of traffic: </w:t>
      </w:r>
      <w:r>
        <w:rPr>
          <w:rFonts w:ascii="arial" w:eastAsia="arial" w:hAnsi="arial" w:cs="arial"/>
          <w:i/>
          <w:color w:val="000000"/>
          <w:sz w:val="20"/>
          <w:lang w:val="en-US" w:eastAsia="en-US" w:bidi="ar-SA"/>
        </w:rPr>
        <w:t>Pacheco (Guardian ad Litem of) v. Robinson (1993)</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75 B.C.L.R. (2d) 273</w:t>
        </w:r>
      </w:hyperlink>
      <w:r>
        <w:rPr>
          <w:rFonts w:ascii="arial" w:eastAsia="arial" w:hAnsi="arial" w:cs="arial"/>
          <w:color w:val="000000"/>
          <w:sz w:val="20"/>
          <w:lang w:val="en-US" w:eastAsia="en-US" w:bidi="ar-SA"/>
        </w:rPr>
        <w:t xml:space="preserve"> (C.A.) at para. 11; </w:t>
      </w:r>
      <w:r>
        <w:rPr>
          <w:rFonts w:ascii="arial" w:eastAsia="arial" w:hAnsi="arial" w:cs="arial"/>
          <w:i/>
          <w:color w:val="000000"/>
          <w:sz w:val="20"/>
          <w:lang w:val="en-US" w:eastAsia="en-US" w:bidi="ar-SA"/>
        </w:rPr>
        <w:t>Dechev v. Judas</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2004 BCSC 1564</w:t>
        </w:r>
      </w:hyperlink>
      <w:r>
        <w:rPr>
          <w:rFonts w:ascii="arial" w:eastAsia="arial" w:hAnsi="arial" w:cs="arial"/>
          <w:color w:val="000000"/>
          <w:sz w:val="20"/>
          <w:lang w:val="en-US" w:eastAsia="en-US" w:bidi="ar-SA"/>
        </w:rPr>
        <w:t xml:space="preserve"> at para. 22.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Hough</w:t>
      </w:r>
      <w:r>
        <w:rPr>
          <w:rFonts w:ascii="arial" w:eastAsia="arial" w:hAnsi="arial" w:cs="arial"/>
          <w:color w:val="000000"/>
          <w:sz w:val="20"/>
          <w:lang w:val="en-US" w:eastAsia="en-US" w:bidi="ar-SA"/>
        </w:rPr>
        <w:t xml:space="preserve">, liability was assessed against a driver who had made a u-turn on the crest of a hill where u-turns were prohibited. He initiated an inherently dangerous maneuver and failed to keep a look-out for approaching traffic. Those facts are not present here. Therefore, </w:t>
      </w:r>
      <w:r>
        <w:rPr>
          <w:rFonts w:ascii="arial" w:eastAsia="arial" w:hAnsi="arial" w:cs="arial"/>
          <w:i/>
          <w:color w:val="000000"/>
          <w:sz w:val="20"/>
          <w:lang w:val="en-US" w:eastAsia="en-US" w:bidi="ar-SA"/>
        </w:rPr>
        <w:t>Hough</w:t>
      </w:r>
      <w:r>
        <w:rPr>
          <w:rFonts w:ascii="arial" w:eastAsia="arial" w:hAnsi="arial" w:cs="arial"/>
          <w:color w:val="000000"/>
          <w:sz w:val="20"/>
          <w:lang w:val="en-US" w:eastAsia="en-US" w:bidi="ar-SA"/>
        </w:rPr>
        <w:t xml:space="preserve"> is distinguishable.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Truax was not prohibited from turning left. Although the highway was generally winding, there was a 300-400 metre straight stretch leading up to the collision scene. Thus, Mr. Truax was looking at an empty highway for at least 300 metres before he started his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was impressed with Mr. Truax and took him to be a careful driver who was alive to the presence of other drivers. He pulled over to allow four following vehicles to go by. He carefully looked for other traffic before he commenced his turn. He did precisely what a careful and prudent driver would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do not accept the defence argument that Mr. Truax moved across the road so quickly that there was no opportunity to avoid the collision. That would require a finding that Mr. Truax essentially "darted" across the highway. Not only does Mr. Truax's evidence show otherwise, but common sense also dictates that to be impractical. A tractor trailer unit of that size could not be moved with such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accept Mr. Truax's evidence when he said that he had shifted to third gear and that would take five to ten seconds. Even a five second interval would be sufficient time for a following vehicle to take note that the tractor trailer unit was moving across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Mr. Hryb was not permitted to pass to the left of the Truax unit because of the double solid line: s.155(1)(a)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Additionally, I have concerns about the reliability of Mr. Hryb's evidence. He was wrong with respect to the location of the collision. He did not know if his windshield wipers were on, despite the fact that it was raining heavily. He did not know what the speed limit was and he did not know the nature of the highway dividing line.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Hryb's evidence was inconsistent with respect to the matter of the Truax vehicle's signal lights being on. He told the investigating office that he was not sure the lights were on, yet his affidavit for this application states that the lights were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Looking at the entirety of the evidence, I cannot accept Mr. Hryb's evidence to be reliable. There are too many mistakes, unknowns and inconsistences.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conclude that Mr. Truax commenced his turn when it was safe to do so. If Mr. Hryb had been paying attention, it would have been obvious that there was a vehicle ahead of him in his lane of travel. As the following vehicle it was incumbent upon Mr. Hryb to drive at a speed and in a manner that would give him time to avoid a collision. He failed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Hryb had at least 300 metres to see that there was a vehicle moving into the travelled portion of the highway. I infer that if Mr. Hryb was paying proper attention to the traffic in front of him, he would have been able to avoid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Truax did nothing wrong. The cause of the collision rests entirely with Mr. Hryb.</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cause of this collision was due entirely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Hryb.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Truax is awarded the costs of this application.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S.D. DLEY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Avender v. Western Canadian Timber Products Ltd., [2018] B.C.J. No. 3340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13-17,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S76933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3340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1711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C.C.L.T. (4th) 325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2643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Stuart Avender, also known as James Stewart Avender, Deborrah Valeda Avender, Plaintiffs, and Western Canadian Timber Products Ltd., George Brian Dorman, Donald Andrew Banasky, John Doe 1 and John Doe 2,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9"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0" w:name="Keywords_13"/>
      <w:bookmarkEnd w:id="90"/>
      <w:r>
        <w:rPr>
          <w:rFonts w:ascii="arial" w:eastAsia="arial" w:hAnsi="arial" w:cs="arial"/>
          <w:b/>
          <w:color w:val="000000"/>
          <w:sz w:val="20"/>
          <w:lang w:val="en-US" w:eastAsia="en-US" w:bidi="ar-SA"/>
        </w:rPr>
        <w:t>Damages — For torts — Affecting property — Real property — Trespass — Action by plaintiffs for damages for cost of restoring property damaged by trespass allowed — Plaintiffs owned property that was subdivided from larger property owned by logging contractor — Contractor arranged for feller buncher to harvest timber from property — Operator cut trees on plaintiffs' property near creek — Defendants admitted trespass — Plaintiffs were awarded $12,012 for cost of clean up of property, $17,500 for cost of replanting site and $5,125 for future plant restoration and establishment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amenities — Exemplary or punitive damages — Where high-handed, malicious, arbitrary or highly-reprehensible misconduct — Punishment and deterrence — Action by plaintiffs for damages for loss of amenities and punitive damages allowed — Plaintiffs owned property that was subdivided from larger property owned by logging contractor — Contractor harvested timber from property — Operator of feller buncher cut trees on plaintiffs' property near creek — Trees were cut in beautiful, forested area on plaintiffs' property — Plaintiffs were awarded $35,000 for loss of amenities — Actions of defendants were careless and reckless — Defendants' behaviour was marked departure from the standard of behaviour expected from neighbour or logging contractor — Plaintiff were awarded punitive damages of $20,000.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1" w:name="Case Summary_12"/>
            <w:bookmarkEnd w:id="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James and Deborah Avender, to recover damages from the defendant, Western Canadian Timber Products Ltd. (Western) for the cost of restoring their property, and for loss of amenities. The Avenders owned property in a rural area close to Nanaimo. The property was a four-acre parcel that was subdivided from a larger property. The larger property was sold to the Tamihi Logging Company Ltd., which changed its name to Western. Some portion of the Avender and Tamihi properties was covered with deciduous and coniferous trees. On December 19, 2014, without any notice to the Avenders, the defendant, Don Banasky, an employee Western, arranged for a feller buncher to harvest timber from the Tamihi property. In addition to harvesting timber from the Tamihi property, the machine operator cut approximately 55 trees on the Avender property around McNeil Creek. After several months of denying that Banasky cut trees on the Avender property, the defendants admitted to the trespass. The Avenders sought to recover damages for the cost of restoring their property, and for loss of amenities. They claimed that the actions of the defendants were highhanded and deserving of punitive damages. The defendants admitted the trespass and also admitted that they were jointly and severally liable for any damages awarded. However, the defendants said the trespass was inadvertent and that they took reasonable steps to determine the property boundaries. They further said the amounts claimed to restore the Avender property were excessive and that there was no basis for punitive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2" w:name="Holdings of Court_11"/>
            <w:bookmarkEnd w:id="9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approach to determining the property boundaries for the purpose of cutting timber was careless and reckless. The defendants were similarly careless and nonchalant about their approach to the riparian area around McNeil Creek. Banasky had no knowledge that the area was a Riparian Assessment Area or that a development permit from the Regional District was required for any human activity including alteration of the land or cutting of trees. The Avenders incurred expenses of $18,861 to clean up the property. The timber was sold for $4,227. The Avenders were entitled to damages of $16,239 for the cost of debris removal and initial restoration. The sum received from the sale of the timber was credited against that amount for a net award of $12,012. The Avenders were awarded $17,500 for the cost of purchasing and planting trees and shrubs for the restoration of the site and $5,125 for future plant restoration and establishment costs. The Avenders considered the area of the property where the trees were cut to be very special. It was a beautiful, forested section of their property and home to deer and other animals. A fair award to compensate the Avenders for loss of amenities was $25,000. The circumstances of the trespass were egregious. The defendants' failure to take any reasonable steps before harvesting timber with a feller buncher in that setting represented a marked departure from the standard of behaviour expected from a neighbour or a logging contractor. The Avenders were awarded punitive damages of $20,000.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3" w:name="Counsel_13"/>
      <w:bookmarkEnd w:id="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0"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T. Beaubier.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 Phillips.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4" w:name="Judgment_13"/>
      <w:bookmarkEnd w:id="94"/>
      <w:r>
        <w:pict>
          <v:line id="_x0000_s1091" style="position:absolute;z-index:2517749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TRESPASS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Trespass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 What damages should be awarded for the cost of restoring the Avender property?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Debris removal and initial restoration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Replacement costs of the trees and shrubs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Plant restoration and establishment and future consulting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should be awarded for loss of amenities?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anything, should be awarded for punitive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5" w:name="G.B. BUTLER J."/>
            <w:bookmarkEnd w:id="95"/>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James and Deborrah Avender own property on Christopher Lane in a rural area close to Nanaimo. Ms. Avender has lived in that neighbourhood her whole life. She was raised on a larger parcel of land owned by her parents. When she married Mr. Avender they acquired a four-acre lot that was subdivided from the larger property. They have lived on that property ever since (the "Avender property"). After Ms. Avender's mother died, the estate sold the remainder of the larger property to Tamihi Logging Company Ltd., one of the defendants. I will refer to that as the Tamihi property, although the company has now changed its name to Western Canadian Timber Products Ltd. ("Western"). The defendant, Brain Dorman, is the principal of Western which operates an office on property adjacent to the Tamihi property. Western is a forestry company with operations in southern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Some portion of the Avender and Tamihi properties was covered with deciduous and coniferous trees. A fish bearing stream, McNeil Creek, passes through the Tamihi property very close to the Avender property. On December 19, 2014, without any notice to the Avenders, the defendant, Don Banasky, an employee of Western, arranged for a feller buncher to harvest timber from the Tamihi property. In addition to harvesting timber from the Tamihi property, the machine operator cut approximately 55 trees in the riparian area adjacent to McNeil Creek. Most of those trees were on the Avender property. The trees were felled in the span of 45 minutes early in the morning when Mr. Avender was at work and Ms. Avender was out for her morning walk. On her return from the morning walk, Ms. Avender was shocked to see the large machine clear-cutting a portion of 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several months of denying that their operator cut trees on the Avender property, the defendants admitted to the trespass. The Avenders bring this action to recover damages for the cost of restoring their property, and for loss of amenities. They also say that the actions of the defendants were highhanded and deserving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admit the trespass and also admit that they are jointly and severally liable for any damages awarded. However, they take serious issue with the damages claims advanced. The defendants say the trespass was inadvertent and that they took reasonable steps to determine the property boundaries. They say the amounts claimed to restore the Avender property are excessive and that there is no basis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These circumstances and the arguments of the parties raise the following issues: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nature of the trespass?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should be awarded for the cost of restoring the Avender property?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should be awarded for loss of amenities?</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anything should be awarded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TRESPASS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parties referred to a number of decisions considering damages for trespass for the removal of trees on a neighbour's property. Some of the cases examine the nature of the trespass in order to arrive at an award of damages. For example, in </w:t>
      </w:r>
      <w:r>
        <w:rPr>
          <w:rFonts w:ascii="arial" w:eastAsia="arial" w:hAnsi="arial" w:cs="arial"/>
          <w:i/>
          <w:color w:val="000000"/>
          <w:sz w:val="20"/>
          <w:lang w:val="en-US" w:eastAsia="en-US" w:bidi="ar-SA"/>
        </w:rPr>
        <w:t>Bower v. Rosicky</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2000 BCSC 85</w:t>
        </w:r>
      </w:hyperlink>
      <w:r>
        <w:rPr>
          <w:rFonts w:ascii="arial" w:eastAsia="arial" w:hAnsi="arial" w:cs="arial"/>
          <w:color w:val="000000"/>
          <w:sz w:val="20"/>
          <w:lang w:val="en-US" w:eastAsia="en-US" w:bidi="ar-SA"/>
        </w:rPr>
        <w:t xml:space="preserve">, the defendant accidentally trespassed onto adjacent ranch lands and cut down 17 trees. The plaintiff sought $18,500 for the lost trees but was awarded only $331, comprised of "$231 for the saw log value of the trees plus an additional $100 to reflect the measure of culpability" of the defendant. In arriving at that award Mr. Justice Melnick referred to two types of trespass depending on the degree of culpability and awarded damages based on the "less severe rule." In doing so he referred to the summary of law set out in in </w:t>
      </w:r>
      <w:r>
        <w:rPr>
          <w:rFonts w:ascii="arial" w:eastAsia="arial" w:hAnsi="arial" w:cs="arial"/>
          <w:i/>
          <w:color w:val="000000"/>
          <w:sz w:val="20"/>
          <w:lang w:val="en-US" w:eastAsia="en-US" w:bidi="ar-SA"/>
        </w:rPr>
        <w:t>Bawa v. Noton</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[1994] B.C.J. No. 1703</w:t>
        </w:r>
      </w:hyperlink>
      <w:r>
        <w:rPr>
          <w:rFonts w:ascii="arial" w:eastAsia="arial" w:hAnsi="arial" w:cs="arial"/>
          <w:color w:val="000000"/>
          <w:sz w:val="20"/>
          <w:lang w:val="en-US" w:eastAsia="en-US" w:bidi="ar-SA"/>
        </w:rPr>
        <w:t xml:space="preserve"> (B.C.S.C.) and in particular to the comment of Hollinrake J.A. in </w:t>
      </w:r>
      <w:r>
        <w:rPr>
          <w:rFonts w:ascii="arial" w:eastAsia="arial" w:hAnsi="arial" w:cs="arial"/>
          <w:i/>
          <w:color w:val="000000"/>
          <w:sz w:val="20"/>
          <w:lang w:val="en-US" w:eastAsia="en-US" w:bidi="ar-SA"/>
        </w:rPr>
        <w:t>Shewish v. MacMillan Bloedel Ltd.</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(1990) 48 B.C.L.R. (2d) 290</w:t>
        </w:r>
      </w:hyperlink>
      <w:r>
        <w:rPr>
          <w:rFonts w:ascii="arial" w:eastAsia="arial" w:hAnsi="arial" w:cs="arial"/>
          <w:color w:val="000000"/>
          <w:sz w:val="20"/>
          <w:lang w:val="en-US" w:eastAsia="en-US" w:bidi="ar-SA"/>
        </w:rPr>
        <w:t xml:space="preserve"> (B.C.C.A.) at p. 297: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the law has looked for in assessing damages in cases such as this is what I see as the degree of culpability, or want of bona fides, in the trespasser. I do not think it can be said that the law has developed to the point that it sees negligent trespass in cases such as this as necessarily attracting the severer rule for the assessment of damages. There are degrees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 think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terms of culpability and bona fides must be looked at in determining the rule to be applied to the assessment of damages in cases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Other cases have wrestled with the characterization of a defendant's actions in awarding damages for trespass. In </w:t>
      </w:r>
      <w:r>
        <w:rPr>
          <w:rFonts w:ascii="arial" w:eastAsia="arial" w:hAnsi="arial" w:cs="arial"/>
          <w:i/>
          <w:color w:val="000000"/>
          <w:sz w:val="20"/>
          <w:lang w:val="en-US" w:eastAsia="en-US" w:bidi="ar-SA"/>
        </w:rPr>
        <w:t>Konno v. Harrison-Jones</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2010 BCSC 1034</w:t>
        </w:r>
      </w:hyperlink>
      <w:r>
        <w:rPr>
          <w:rFonts w:ascii="arial" w:eastAsia="arial" w:hAnsi="arial" w:cs="arial"/>
          <w:color w:val="000000"/>
          <w:sz w:val="20"/>
          <w:lang w:val="en-US" w:eastAsia="en-US" w:bidi="ar-SA"/>
        </w:rPr>
        <w:t xml:space="preserve">, the court referred to the decision in </w:t>
      </w:r>
      <w:r>
        <w:rPr>
          <w:rFonts w:ascii="arial" w:eastAsia="arial" w:hAnsi="arial" w:cs="arial"/>
          <w:i/>
          <w:color w:val="000000"/>
          <w:sz w:val="20"/>
          <w:lang w:val="en-US" w:eastAsia="en-US" w:bidi="ar-SA"/>
        </w:rPr>
        <w:t>Voss v. Crooks et al.</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2002 BCPC 3</w:t>
        </w:r>
      </w:hyperlink>
      <w:r>
        <w:rPr>
          <w:rFonts w:ascii="arial" w:eastAsia="arial" w:hAnsi="arial" w:cs="arial"/>
          <w:color w:val="000000"/>
          <w:sz w:val="20"/>
          <w:lang w:val="en-US" w:eastAsia="en-US" w:bidi="ar-SA"/>
        </w:rPr>
        <w:t xml:space="preserve">, in which Judge Brecknell set out four types of trespasses as described in </w:t>
      </w:r>
      <w:r>
        <w:rPr>
          <w:rFonts w:ascii="arial" w:eastAsia="arial" w:hAnsi="arial" w:cs="arial"/>
          <w:i/>
          <w:color w:val="000000"/>
          <w:sz w:val="20"/>
          <w:lang w:val="en-US" w:eastAsia="en-US" w:bidi="ar-SA"/>
        </w:rPr>
        <w:t>Arboriculture and the Law in Canada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Technical trespass, where boundary lines are crossed accidentally with minimal damage;</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Inadvertent trespass, where boundary lines are crossed by mistake when the trespasser believed it to be at a different location;</w:t>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Wrongful trespass, where a boundary line is crossed because of indifference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determining its location; and</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Wilful trespass, where a boundary line is crossed deliberately and damage is inflicted in full knowledge of being beyond the boundary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Konno</w:t>
      </w:r>
      <w:r>
        <w:rPr>
          <w:rFonts w:ascii="arial" w:eastAsia="arial" w:hAnsi="arial" w:cs="arial"/>
          <w:color w:val="000000"/>
          <w:sz w:val="20"/>
          <w:lang w:val="en-US" w:eastAsia="en-US" w:bidi="ar-SA"/>
        </w:rPr>
        <w:t xml:space="preserve">, the defendant cut down 31 trees in a ranch or rural setting. The court found that the trespass was inadvertent as the defendant relied on a GPS survey that was inaccurate. The trees were in an area affected by the pine beetle. The court awarded $3,000 for the loss of the trees and $5,000 for loss of amenities. The court of appeal upheld that decision: </w:t>
      </w:r>
      <w:hyperlink r:id="rId236" w:history="1">
        <w:r>
          <w:rPr>
            <w:rFonts w:ascii="arial" w:eastAsia="arial" w:hAnsi="arial" w:cs="arial"/>
            <w:i/>
            <w:color w:val="0077CC"/>
            <w:sz w:val="20"/>
            <w:u w:val="single"/>
            <w:shd w:val="clear" w:color="auto" w:fill="FFFFFF"/>
            <w:lang w:val="en-US" w:eastAsia="en-US" w:bidi="ar-SA"/>
          </w:rPr>
          <w:t>2011 BCCA 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While many cases have considered the question of damages for a wrongful removal of trees, the leading decision remains </w:t>
      </w:r>
      <w:r>
        <w:rPr>
          <w:rFonts w:ascii="arial" w:eastAsia="arial" w:hAnsi="arial" w:cs="arial"/>
          <w:i/>
          <w:color w:val="000000"/>
          <w:sz w:val="20"/>
          <w:lang w:val="en-US" w:eastAsia="en-US" w:bidi="ar-SA"/>
        </w:rPr>
        <w:t>Kates v. Hall</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[1991] B.C.J. No. 263</w:t>
        </w:r>
      </w:hyperlink>
      <w:r>
        <w:rPr>
          <w:rFonts w:ascii="arial" w:eastAsia="arial" w:hAnsi="arial" w:cs="arial"/>
          <w:color w:val="000000"/>
          <w:sz w:val="20"/>
          <w:lang w:val="en-US" w:eastAsia="en-US" w:bidi="ar-SA"/>
        </w:rPr>
        <w:t xml:space="preserve"> (B.C.C.A.). The court set out the principles to be applied when quantifying damages for trespass involving the cutting of trees. When awarding compensatory damages, there is no need to characterize the nature of the trespass. As set out in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the damages must be reasonable and fair to both parties. The nature of the trespass however remains relevant when considering whether to award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xml:space="preserve"> the defendant cut down 13 of his neighbours' 40 foot tall evergreen trees knowing that he did not have permission to do so but believing that the plaintiffs would probably not care. The plaintiffs obtained an injunction to prevent further damage and brought a claim seeking approximately $200,000, the estimated cost of planting 13 trees of a similar size to the trees that were cut down. The trial judge awarded $21,000 for the cost of restoration, plus $13,000 ($1,000 per tree) as compensation for the loss of amenities during the time it would take for the trees to grow back to the height at the time of cutting, and $26,000 ($2,000 per tree) as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appealed the damages award, arguing for the full cost of restoring the property to the same condition it was in before the trespass including the replanting of mature trees. The appellants took the position that where the trespass is wilful, the measure of damages should be based on the express wishes of the plaintiffs, not on the basis of a reasonable person. The court of appeal rejected the appellants' arguments and upheld the trial decision. In doing so, it approved of the statement of Taylor J.A. in </w:t>
      </w:r>
      <w:r>
        <w:rPr>
          <w:rFonts w:ascii="arial" w:eastAsia="arial" w:hAnsi="arial" w:cs="arial"/>
          <w:i/>
          <w:color w:val="000000"/>
          <w:sz w:val="20"/>
          <w:lang w:val="en-US" w:eastAsia="en-US" w:bidi="ar-SA"/>
        </w:rPr>
        <w:t>Dykhuizen v. Saanich (District)</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[1989] B.C.J. No. 1964</w:t>
        </w:r>
      </w:hyperlink>
      <w:r>
        <w:rPr>
          <w:rFonts w:ascii="arial" w:eastAsia="arial" w:hAnsi="arial" w:cs="arial"/>
          <w:color w:val="000000"/>
          <w:sz w:val="20"/>
          <w:lang w:val="en-US" w:eastAsia="en-US" w:bidi="ar-SA"/>
        </w:rPr>
        <w:t>, (B.C.C.A.)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damages in such cases may extend to the cost of restoration or restitution, within reasonable bounds, together with compensation for loss of amenity to the extent that complete restoration cannot reasonably be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the court summarized the proper approach to assessment of damages emphasizing the importance of reasonableness and fairness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trier of fact is required to consider and weigh all of the evidence and to apply common sense and the basic principles of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and reasonableness and fairness as between the parties in light of all the circumstances. The trier of fact is also required to draw conclusions that are supported by the evidence but there is no requirement that any of the conclusions presented to the court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upholding the trial decision on punitive damages, the court rejected the appellants' submission that $26,000 was too high an award for actions that were not malicious. The court stated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did not err in his application of the appropriate legal principles in making the award for exemplary or punitive damages. The amount of $26,000 is not excessively high. In fact, in my opinion, the amount could well have been higher, and this court should not interfere with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Applying the reasoning in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xml:space="preserve">, I need not consider the nature of the trespass when determining a fair award for compensatory damages. Instead I must arrive at an award that is fair and reasonable between the parties applying common sense and taking into account the basic principles of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However, the nature of the trespass remains an important issue in considering the plaintiff's claim for punitive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Nature of the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the present case, the evidence about the defendants' efforts to determine the property boundary between the Avender property and the Tamihi property is not controversial. However, the parties disagree as to the proper characterization of those efforts. The plaintiffs say that the defendants' actions were "reckless and careless, amounting to a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the trespass was "willful, intentional and with a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characterize the nature of the trespass in their written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defendants acted intentionally. The mistake was one of inadvertence. The defendants exercised due diligence in comparing their walk of the site and view of flags to the map, which confirmed their understanding. It was based upon information provided by a governmental authority, BC Hydro. The defendants here took reasonable steps to ascertain the boundaries of their property by comparing a map provided by a governmental authority to the conditions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view, the plaintiffs' characterization of the defendants' actions accurately describes the nature of the trespass. The defendants failed to call Mr. Dorman, the only witness who could have given reliable evidence about steps taken by the defendants to determine the property boundary. Instead of presenting evidence from Mr. Dorman, Don Banasky testified about his understanding of the boundaries. That understanding was gleaned almost entirely from a single conversation with Mr. Dorman as they walked through the Tamihi property four months before the trees were 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Mr. Banasky's role changed prior to the logging. His first involvement with the properties was as an employee of Copcan, a logging contractor that was asked to submit a bid to Western for the logging of timber on the Tamihi property. When he walked the Tamihi property with Mr. Dorman in August 2014 he was representing Copcan, not Western. He prepared a bid for the logging that was ultimately accepted by Western. The significance of Mr. Banasky's role as a representative of the contractor is that he had no knowledge of the boundaries of the Tamihi property when he met with Mr. Dorman to learn about the potential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Banasky described the route taken and the information he was given when he walked the Tamihi property with Mr. Dorman. A large B.C. Hydro transmission line passes through the properties on a right of way that appears to be about 160 feet wide. Mr. Dorman and Mr. Banasky walked down the Avender property near the right of way. They did not walk all the way to the south end of the Tamihi property. I conclude that the two men had a very casual discussion about the job because Mr. Banasky recalls that both men were on their cell phones during much of the walk. Mr. Banasky was trying to determine the volume of wood that could be harvested and was looking for hazards or areas of concern for Copcan as a logging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the two men walked towards the southern end of the property, Mr. Banasky saw flagging (ribbon) on some of the trees on the Tamihi property. He pointed out the flagging and assumed it marked the area to be cut. Most of Mr. Banasky's logging experience has been in more remote locations where the timber is on Crown land. In those situations, cut blocks are often marked by flagging placed on trees in a heavily forested setting. The two men did not have a map or plan with them to show the extent of the property or the location of the boundaries. As they approached what Mr. Banasky believed was the end of the property he saw ribbon or flagging at what he believed to be the southern terminus of the cut block. He believed that all of the property belonged to Western. He did not relate any discussions with Mr. Dorman about the property boundaries. Instead, he explained how he made assumptions based on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Banasky and Mr. Dorman had no discussions about permits or licenses. Mr. Banasky assumed that Western would have taken out any required permits. They did not have any discussions about the location of the property boundaries or the riparian area around McNeil Creek. Mr. Banasky does not recall seeing any fences although the photographs clearly show a fence that Ms. Avender said is the dividing line between the Tamihi and Avender properties. Mr. Banasky and Mr. Dorman had no discussions about property markers and did not look for them. Photographs of the property taken after the trees were cut show white survey stakes marking the location of iron pin survey markers that are also visible. Mr. Banasky did not see or look for anything that would mark the property boundaries. He simply assumed the flagging in the trees marked the edge of the area to be harvested.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Banasky did not return to the property until shortly before the timber was cut. On that visit he walked a similar route with Dan Williams of Copcan and Todd Bloskiy, the feller buncher operator. By that time, Mr. Banasky had obtained a Google Earth satellite image or aerial photograph (the "Google Earth photo") of the two properties and surrounding areas from BC Hydro that showed the location of the transmission towers. He showed the aerial photo to the two men as they walked the site. The Google Earth photo appears to have a rough outline of the Tamihi property marked on it. This was part of a package of information Mr. Banasky obtained from BC Hydro because of his concern about the proximity of the transmission lines. The information included BC Hydro's requirements for cutting timber near a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Google Earth photo is the document the defendants rely on as "information provided by a governmental authority, BC Hydro". They say it provides information that confirmed the defendants' understanding of the property boundaries. Mr. Banasky used that document to help outline the scope of work for the two men who would be performing the work. A cursory examination of the Google Earth photo calls the defendants' contention into serious question; it does not provide any useful information about the location of the property boundaries. It is nothing more than an aerial photograph obtained from Google Earth. It does not purport to be a plan or survey and does not show property boundaries. Someone appears to have sketched an outline of the Tamihi property on it; but the outline has no directional or measurement markings that could give it any value or reliability as a survey document. Mr. Dorman and Mr. Banasky are experienced executives in the logging business who must know the difference between an aerial photograph obtained from the internet and a survey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have no hesitation concluding that the defendants' approach to determining the property boundaries for the purpose of cutting timber was careless and reckless. In the absence of evidence from Mr. Dorman, I must find that the defendants took no steps to determine the location of the property boundaries. The properties are not in an area of undeveloped Crown land. They are in a rural area within the Nanaimo Regional District that is comprised of small acreage properties with homes. The land is subdivided and subject to zoning and regulation by the Nanaimo Regional District. It would have been a simple matter for the defendants to obtain a survey plan that would show the extent of the Tamihi property. It would have been even easier for them to investigate the location of the boundaries. Had they done so, they would have located fences and survey markers showing those boundaries.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would have been easier still for the defendants to contact the Avenders to inquire about the property line. Mr. Dorman knew that Ms. Avenders' family sold the property to Western and that the Avenders were very familiar with the details of the property. Indeed, Mr. Banasky left Mr. Avender a voice mail message early on the morning of December 19, 2014, the day of the trespass, to ask about the location of the septic tank on the Tamihi property. The defendants were well aware of the Avenders' knowledge of both properties and could have approached them to determine the boundaries.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were similarly careless and nonchalant about their approach to the riparian area around McNeil Creek. Mr. Banasky had no knowledge that the area was a Riparian Assessment Area or that a development permit from the Regional District was required for any human activity including alteration of the land or cutting of trees. He made no inquiries to find out about the riparian setback but assumed his equipment was under the same constraints that applied when working on remote Crown lands. No evidence was presented to show that Western made inquiries or took steps to find out about regulations for riparian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Rather than investigate or make inquiries about property boundaries or the riparian area, the defendants decided to harvest the timber because they had equipment available that was not being used elsewhere. They were motivated only by an efficient use of their resources to generate a small profit. Given the location of the properties and the easy availability of accurate information about boundaries, the actions of the defendants are properly characterized as reckless and reprehensible. They showed a complete disregard for the rights of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What damages should be awarded for the cost of restoring the Avender property?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December 19, 2014, after the trees were cut, the Avenders, and Mr. Banasky discussed the situation with police officers. A police officer suggested the dispute could be resolved by obtaining a survey of the property lines. Mr. Banasky stated that he had a survey showing the boundaries and produced the Google Earth photo. The Avenders indicated that this was not a survey and did not assist the parties by showing property boundaries. Eventually, Mr. Banasky agreed that Western would retain a surveyor to determine the location of the property boundaries. Later that day, the Avenders emailed Western to advise: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no circumstances can anyone affiliated with Tamihi logging in any way enter for any reason the area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logs etc. on our property are not to be moved or interfered with for any reason. I will expect to hear from you concerning the surveyor after Dec. 29,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the confrontation, Ms. Avender contacted Vancouver Island Tree Services ("VI Tree Services") who asked Jenelle Cassidy, one of their sub-contractors, to attend the site. She attended the same day and quickly realized that the scope of work to repair the damage was beyond her expertise. She suggested the Avenders retain Verma Mumby of Mumby's Tree Services to assess the damage and make recommendations to repair the site. After that introduction, Ms. Cassidy continued to work with the Avenders and Ms. Mumby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January 7, Ms. Avender was advised by a surveyor who attended at the site (presumably retained by Western) that the trees that had been cut were on their property; in other words, that Western's actions amounted to a trespass. No evidence was led by Western about that survey. Indeed, Western continued to deny the trespass for at least two months. At trial, Mr. Banasky professed to be unaware of the survey that Ms. Avender says he organized. I do not accept Mr. Banasky's evidence. It is clear that he agreed to arrange a survey to help resolve the dispute. I accept Ms. Avender's evidence that she spoke to that surveyor on the site in early January. I infer that Western did not obtain a survey plan from the surveyor, as they did not want to provide proof of the trespass to the Avenders. In any event, it would have been clear to Western by early January that they committed a trespass by cutting trees on the Avenders'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With the benefit of advice from Ms. Mumby and Ms. Cassidy, the Avenders had made some progress by early February in finding out what the Ministry of Forests' requirements were to remove the trees and clean up the property. This was difficult because both the Ministry of Forests and the Nanaimo Regional District ("NRD") had to be involved. Further, the Avenders were initially advised that they could not have an assessment of the property when the felled trees were still in the riparian zone, but were also advised that the trees could not be removed without an assessment. Eventually the Ministry relented and allowed the trees to be removed under the supervision of a Qualified Environmental Professional ("QEP") approved by the Ministry. The QEP appointed was Adam Compton of EDI Environmental Dynamics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February 16, 2015 the Avenders' solicitor advised Western that the Avenders were in the process of obtaining quotes for removal of the timber and that the cost of doing so would be high because much of the work was in a riparian area. He also indicated the Avenders would be seeking reimbursement of those expenses from Western. Ms. Avender eventually obtained three quotes that she provided to Western. She indicated that she intended to retain M&amp;J Tree Services, the company that provided the middle quote.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Banasky responded by letter to the solicitors on February 24, 2015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Tamihi Logging and its representatives do not acknowledge this proposed trespass, as the land in question has not been clearly identified by your client initiating this action. We are not satisfied that the land in question belongs to your client.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Tamihi Logging Ltd would strongly advise against removal of any trees (As we deem they are ours) and or debris from the subject area, until such time that your client can provide a legal survey of the area in dispute.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If it is found</w:t>
      </w:r>
      <w:r>
        <w:rPr>
          <w:rFonts w:ascii="arial" w:eastAsia="arial" w:hAnsi="arial" w:cs="arial"/>
          <w:color w:val="000000"/>
          <w:sz w:val="20"/>
          <w:lang w:val="en-US" w:eastAsia="en-US" w:bidi="ar-SA"/>
        </w:rPr>
        <w:t>, that there is a factual undisputable (sic) trespass onto your clients property in question, Tamihi Logging Ltd will gladly clean the area at our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Tamihi Logging Ltd and its representatives would like to resolve this outstanding issue in a reasonable neighborly manner, but will not acknowledge a simple unfounded complaint, nor will we acknowledge heavily inflated quotes for work not approved by Tamihi Logging Ltd for a dispute with no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Avenders retained M&amp;J Tree Services and they started the clean up work in early March, 2015. The Avenders paid their invoice in the amount of $11,746. The Avenders claim that amount, as well as Ms. Cassidy's fee of $630 for the work she did to coordinate the mapping of the cut trees with Ms. Mumby and Tom Hoyt, the British Columbia Land Surveyor, who prepared a survey of those trees and the property boundaries. The survey showed that the vast majority of the trees cut were on the Avenders' property and were within the riparian area. The Avenders also claim the fees paid to Ms. Mumby, Mr. Hoyt, VI Tree Services and Mr. Compton. The total claimed for expenses paid for clean up of the property is: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Cassidy $ 630.00</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VI Tree Services 393.75</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M&amp;J Tree Services 11,746.88</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Compton 2,857.64</w:t>
      </w:r>
    </w:p>
    <w:p>
      <w:pPr>
        <w:numPr>
          <w:numId w:val="1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Mumby 2,025.29</w:t>
      </w:r>
    </w:p>
    <w:p>
      <w:pPr>
        <w:numPr>
          <w:numId w:val="1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Thomas Hoyt </w:t>
      </w:r>
      <w:r>
        <w:rPr>
          <w:rFonts w:ascii="arial" w:eastAsia="arial" w:hAnsi="arial" w:cs="arial"/>
          <w:color w:val="000000"/>
          <w:sz w:val="20"/>
          <w:u w:val="single"/>
          <w:lang w:val="en-US" w:eastAsia="en-US" w:bidi="ar-SA"/>
        </w:rPr>
        <w:t>1,207.50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$18,861.06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report from Ms. Mumby provides her opinion on the cost of rehabilitating the damage to the property. I admitted her report in evidence over the objections of the defendants. She notes that there are three approaches to valuing damage to plants and trees: cost, income and market approaches. There are four cost methods: (i) replacement cost, (ii) trunk formula, (iii) cost of repair and (iv) cost of cure. She opines that the appropriate method to use to value the damage to the Avender property is cost of cure. She provides an opinion as to the full cost of cure including the amount paid to M&amp;J Tree Service for the cost of cleanup. The cost of cure also includes the cost of replanting the lost trees, shrubs and plants. Her estimate of the replanting cost is based on replanting 265 trees, 110 shrubs, and 875 plants. Ms. Mumby recommends planting 3 trees (five-gallon pot size) for each tree cut down in order to get the riparian area functioning properly as soon as possible. That ratio is required because the replacement trees are much smaller and will take many years to grow to the size of the felled trees. She estimated the number of shrubs and plants needed to cover the rest of the affected area, and assumed that five-gallon shrubs and plants would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Mumby estimate also includes an amount for labour equal to the cost of the plants. In addition, Ms. Mumby's estimate includes a total of $13,383 to cover expected future costs to maintain the replanted trees and shrubs. It allows for deer cages, mowing of the grass, replacement of dead trees based on a 10% mortality, and watering for the first year. The estimated total cost (not including the expenses paid for debris removal and initial restoration) is $54,199.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say they should be awarded $18,208.11, which is the reasonable cost of debris removal and initial restoration plus the cost of consultants. They acknowledge that $4,227.52, the amount received from the sale of the timber, should be deducted from that total. In addition, the Avenders claim $40,808 for the cost to replace the trees and shrubs damaged in the trespass plus $13,383 for plant restoration and establishment, based on the Mumby opinion. The Avenders also say they should be awarded $1,250 as the cost of anticipated future consulting fees and $2,056 for the purchase of a cistern for watering the newly planted trees and shrubs.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take issue with most of the plaintiffs' claims. In general, they say that expenses claimed to replant or restore the damaged property must be reasonable. The defendants say most of the claimed costs are unreasonable, and that some of the expenses are not properly claimable. They raise the following specific arguments about the claims:</w:t>
      </w:r>
      <w:r>
        <w:rPr>
          <w:rFonts w:ascii="arial" w:eastAsia="arial" w:hAnsi="arial" w:cs="arial"/>
          <w:sz w:val="20"/>
          <w:lang w:val="en-US" w:eastAsia="en-US" w:bidi="ar-SA"/>
        </w:rPr>
        <w:cr/>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amount should be awarded for the cost of cleanup and initial restoration. Mr. Banasky told the Avenders that Western would "clean up the area at its own expense." This offer was made clearly in the letter of February 24th. Western is a forestry company that is in the business of cutting and restoring forests. There is no reasonable explanation for the plaintiffs' refusal of the offer. The plaintiffs' failure to accept the offer amounts to a failure to mitigate its damages.</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Mumby's estimate is based on the replacement of 55 conifers, but only 45 were cut from the Avenders' property. Further, there is no evidence to support her opinion that 100 deciduous trees need to be planted.</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Avenders indicated that they intend to use Ms. Cassidy's planting plan. Mr. Compton said he would likely approve Ms. Cassidy's plan. Ms. Cassidy's plan is based on smaller plant sizes and lower unit costs than Ms. Mumby's.</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Cassidy's plan sets out unit costs for one-gallon plants. If those costs are used, the full cost for 610 shrubs is about $2,900 compared with Ms. Mumby's cost of about $14,000.</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Five hundred of the proposed plants are scheduled to be planted in the right of way area and there is no evidence of damage in that area.</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failed to prove the cost of installation because the only evidence on that point is Ms. Mumby's comments that it is standard industry practice to use the same cost for installation as for plant costs.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fees charged by the plaintiffs' consultants are more properly regarded as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submit that a fair cost for replacement of a reasonable number of reasonably sized plants is $2,401 based on 145 coniferous trees (half of which are five-gallon sized plants and half of which are two-gallon size) and 110 one-gallon shrubs. A similar amount should be awarded for installation. The defendants say that the plaintiffs have failed to provide adequate proof to support the plant restoration and establishment expenses claimed, but say an award of $1,000 is an appropriate measure of damages for ongoing establishment costs for the new trees and plants.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will consider the following categories of damage: debris removal and initial restoration; replacement cost of the trees and shrubs; and plant restoration and establishment and future consulting expenses.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Debris removal and initial restoration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main argument raised by the defendants about these claimed expenses is that the plaintiffs failed to mitigate when they turned down Western's offer to do the cleanup free of charge. I do not accept this argument. The defendants have not established a failure to mitigate. In all of the circumstances, it was not unreasonable for the plaintiffs to reject Western's offer to clean up the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defendants rely on the decision in </w:t>
      </w:r>
      <w:r>
        <w:rPr>
          <w:rFonts w:ascii="arial" w:eastAsia="arial" w:hAnsi="arial" w:cs="arial"/>
          <w:i/>
          <w:color w:val="000000"/>
          <w:sz w:val="20"/>
          <w:lang w:val="en-US" w:eastAsia="en-US" w:bidi="ar-SA"/>
        </w:rPr>
        <w:t>Husky Crane Service Inc. v. Danco Equipment Inc.</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2009 BCSC 906</w:t>
        </w:r>
      </w:hyperlink>
      <w:r>
        <w:rPr>
          <w:rFonts w:ascii="arial" w:eastAsia="arial" w:hAnsi="arial" w:cs="arial"/>
          <w:color w:val="000000"/>
          <w:sz w:val="20"/>
          <w:lang w:val="en-US" w:eastAsia="en-US" w:bidi="ar-SA"/>
        </w:rPr>
        <w:t xml:space="preserve">, in support of their argument that the plaintiffs should have accepted the defendants' offer to do the cleanup work. In </w:t>
      </w:r>
      <w:r>
        <w:rPr>
          <w:rFonts w:ascii="arial" w:eastAsia="arial" w:hAnsi="arial" w:cs="arial"/>
          <w:i/>
          <w:color w:val="000000"/>
          <w:sz w:val="20"/>
          <w:lang w:val="en-US" w:eastAsia="en-US" w:bidi="ar-SA"/>
        </w:rPr>
        <w:t>Husky Crane</w:t>
      </w:r>
      <w:r>
        <w:rPr>
          <w:rFonts w:ascii="arial" w:eastAsia="arial" w:hAnsi="arial" w:cs="arial"/>
          <w:color w:val="000000"/>
          <w:sz w:val="20"/>
          <w:lang w:val="en-US" w:eastAsia="en-US" w:bidi="ar-SA"/>
        </w:rPr>
        <w:t xml:space="preserve">, the court refused to award damages to the plaintiff for the cost it incurred to repair minor deficiencies in a truck-mounted crane. The defendant, the installer of the crane, had admitted the deficiencies and offered to repair them free of charge. In arriving at that decision, Mr. Justice Nate Smith noted that it is generally reasonable in a commercial contract for a party to accept an offer by the other party to remedy a default. In arriving at that conclusion, he referred to </w:t>
      </w:r>
      <w:r>
        <w:rPr>
          <w:rFonts w:ascii="arial" w:eastAsia="arial" w:hAnsi="arial" w:cs="arial"/>
          <w:i/>
          <w:color w:val="000000"/>
          <w:sz w:val="20"/>
          <w:lang w:val="en-US" w:eastAsia="en-US" w:bidi="ar-SA"/>
        </w:rPr>
        <w:t>Webb v. Attewell</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(1993), 88 B.C.L.R. (2d) 1</w:t>
        </w:r>
      </w:hyperlink>
      <w:r>
        <w:rPr>
          <w:rFonts w:ascii="arial" w:eastAsia="arial" w:hAnsi="arial" w:cs="arial"/>
          <w:color w:val="000000"/>
          <w:sz w:val="20"/>
          <w:lang w:val="en-US" w:eastAsia="en-US" w:bidi="ar-SA"/>
        </w:rPr>
        <w:t xml:space="preserve"> (B.C.C.A.) at para. 34, where the Court of Appeal cited </w:t>
      </w:r>
      <w:r>
        <w:rPr>
          <w:rFonts w:ascii="arial" w:eastAsia="arial" w:hAnsi="arial" w:cs="arial"/>
          <w:i/>
          <w:color w:val="000000"/>
          <w:sz w:val="20"/>
          <w:lang w:val="en-US" w:eastAsia="en-US" w:bidi="ar-SA"/>
        </w:rPr>
        <w:t>McGregor on Damages</w:t>
      </w:r>
      <w:r>
        <w:rPr>
          <w:rFonts w:ascii="arial" w:eastAsia="arial" w:hAnsi="arial" w:cs="arial"/>
          <w:color w:val="000000"/>
          <w:sz w:val="20"/>
          <w:lang w:val="en-US" w:eastAsia="en-US" w:bidi="ar-SA"/>
        </w:rPr>
        <w:t>, 15th ed., para. 275 with approval: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and most important rule is that the plaintiff must take all reasonable steps to mitigate the loss to him consequent upon the defendant's wrong and cannot recover damages for any such loss which he could thus have avoided but has failed, through unreasonable action or inaction, to avoid. Put shortly, the plaintiff cannot recover for avoidable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are a number of distinguishing features here. First, the plaintiffs and defendants were not in a commercial relationship; the need for rehabilitation of the plaintiffs' property arises solely because of a wrongful trespass. The circumstances of the defendants' trespass on the plaintiffs' property are such that the plaintiffs have no reason to expect that the defendants would take appropriate care if afforded the opportunity to clean up the damaged land. I have found that the defendants acted recklessly in committing the trespass. Their actions completely disregarded both the property boundaries and the presence of the riparian zone. In these circumstances, there is no reason to conclude the Avenders should have accepted the trespassers' offer to attempt remediation. It would be unreasonable to impose that kind of mitigation requirement on the innocent party in this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Further, at the time of the defendants' offer, the defendants had not admitted any fault or liability. Indeed, they continued to deny the trespass. In these circumstances, the plaintiffs' rejection of the defendants' offer was not unreasonable. Indeed, it was completely understandable.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other expenses claimed under this head of damage are the costs for Ms. Cassidy, VI Tree Services, Mr. Compton, Ms. Mumby and Thomas Hoyt. The fees for Ms. Cassidy, VI Tree Services and Mr. Hoyt are claimable as costs incurred to deal with the emergent situation. While Ms. Cassidy's fee included the cost of her preparation of a planting plan, that is not put forward as an expert report. The plan is a requirement for the Avenders to move forward with the rehabilitation of the land. While all VI Tree Service did was connect their sub-contractor (Ms. Cassidy) with the plaintiffs, their fee is not unreasonable and was incurred at a time when the Avenders were struggling to find out how to deal with the sudden damage to their property in circumstances where the defendants were denying responsibility and providing no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fees charged by Ms. Mumby are not recoverable. She was retained as an expert witness. It is not clear to me what, if any, portion of her fee could be ascribed to repair work as opposed to the preparation of the report to be used in litigation. I have a similar concern about the recoverability of some of Mr. Compton's fee. It is clear that some portion of his fee was for trial preparation and is thus not recoverable as damages. His fee for work completed after June 2016 totalling $596.17 (inclusive of admin fee and GST) appear to be for trial preparation. Those amounts are not recoverable as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summary, the plaintiffs are entitled to damages of $16,239.60 for the cost of debris removal and initial restoration.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Replacement costs of the trees and shrubs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circumstances of this case are similar to those in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xml:space="preserve"> where the defendant cut down mature trees. Here, as in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it is impractical and unfair to the defendants to award damages premised on the cost of replanting trees of a similar size. It would also be unfair to award an amount that would put the plaintiffs in a better situation than before the trespass. However, the award must attempt to restore a reasonable amount of the trees and shrubs to minimize the plaintiffs' loss of privacy and amenities. In other words, the award must be reasonable and fair as between the parties in light of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Mumby provided the only expert evidence on the cost of replanting. I agree with some of the defendants' critiques of her report. The number of trees and, in particular, the number of shrubs and plants that she recommends planting, is excessive. Further, it is not readily evident that the extensive planting recommended for the area of the BC Hydro right of way is related in any way to damage that occurred during the trespass. I also accept that the pricing in Ms. Mumby's report is contradicted to some extent by the factual information provided by Ms. Cassidy. I accept that a fair mark up on the wholesale cost of the plants and trees is 20%, the amount that Ms. Cassidy indicates she would charge, rather than the 30% suggested by Ms. Mumby. However, I accept that Ms. Mumby is highly qualified and I found her to be an excellent witness with extensive knowledge of the applicable regulations. She testified in a balanced and impartial way. I have used her report as a starting point for my assessment of the appropriate award for the cost of replanting the damaged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would award the sum of $17,500 for the cost of purchasing and planting the required number of trees and shrubs. This figure is not a precise calculation but a damage award based on all of the evidence including the following assumptions. The 45 conifers that were cut should be replaced on a 3 to 1 ratio with five gallon sized plants. I accept Ms. Mumby's opinion that five-gallon plants have a better rate of survival than smaller plants. I also accept her opinion that the riparian area regulations require deciduous trees to be planted along with the conifers. I have allowed for approximately 75 deciduous trees. I have also allowed for approximately 175 plants and shrubs. I have not accepted Ms. Mumby's recommendation for a total of 610 shrubs and 375 plants as this would require the defendants to rehabilitate the BC Hydro right of way that was not damaged by the trespass. In fixing the award, I have included a 20% markup to the wholesale price and have allowed for an installation cost that is equal to the cost of the plants.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Plant restoration and establishment and future consulting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agree with the defendants' submission that the evidence to establish the need for these future expenses was not thorough. On the other hand, it is somewhat difficult to estimate such future costs. In spite of the limited evidence, the court must award damages where the plaintiff has established a real possibility of a future loss and the loss must be quantified taking into account the probability of it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Here, I accept the following components of the claim for future expenses: the need to water the newly planted trees and shrubs for one or two years; the requirement to replace some of the plants based on 10% mortality; a need for some deer protection cages for some of the plants; and a need to pay consulting fees to Mr. Compton.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regard to the watering, I accept Ms. Mumby's opinion that watering will be required for at least one year. Mr. Compton was of the view that newly planted trees and shrubs should be watered for one or two years given the trend in recent years toward hot and dry summers. The plaintiffs suggest that the practical way to do this is to have a cistern on site. Without regard to how the watering would be done, Ms. Mumby allowed $2,500 in her costing. I am satisfied that the trees and shrubs will be planted and that it is likely the plaintiffs will arrange for the watering. I award $2,250 for that future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accept the 10% mortality figure as a standard allowance applied for this kind of planting. I award the sum of $875, which is 10% of the plant cost. While I accept that there will be a need for some fencing to protect the younger shrubs and bushes, the evidence does not support the substantial allowance included in Ms. Mumby's report. I also take into account Mr. Avender's evidence that he has previously used rolls of wire screen for this purpose. I award $750 for this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Avenders claim $1,250 as the cost of anticipated future consulting fees. I accept that Mr. Compton or another QEP will be required to oversee the work in the riparian area. Mr. Compton gave a rough estimate of future oversight costs that is higher than the amount claimed. I award $1,250 for that likely future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summary, I award $5,125 for the plant restoration and establishment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What amount should be awarded for loss of amenities?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says they should be awarded $30,000 for loss of amenities. The defendants say that a fair award is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Dykhuizen</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xml:space="preserve">, damages in these cases should include an amount to compensate the plaintiffs for loss of amenities to the extent that complete restoration cannot be reasonably affected. The amount to be awarded is necessarily fact specific as noted by Mr. Justice Savage, in </w:t>
      </w:r>
      <w:r>
        <w:rPr>
          <w:rFonts w:ascii="arial" w:eastAsia="arial" w:hAnsi="arial" w:cs="arial"/>
          <w:i/>
          <w:color w:val="000000"/>
          <w:sz w:val="20"/>
          <w:lang w:val="en-US" w:eastAsia="en-US" w:bidi="ar-SA"/>
        </w:rPr>
        <w:t>Henderson v. Bakken</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2010 BCSC 559</w:t>
        </w:r>
      </w:hyperlink>
      <w:r>
        <w:rPr>
          <w:rFonts w:ascii="arial" w:eastAsia="arial" w:hAnsi="arial" w:cs="arial"/>
          <w:color w:val="000000"/>
          <w:sz w:val="20"/>
          <w:lang w:val="en-US" w:eastAsia="en-US" w:bidi="ar-SA"/>
        </w:rPr>
        <w:t>, at para. 84. In that case the plaintiff was awarded $3,000 for loss of amenities where the defendant cut more than 200 pine trees along a fence line in a rural area infested with pine beetle.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Hutton v. Morehouse</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[1998] B.C.J. No. 668</w:t>
        </w:r>
      </w:hyperlink>
      <w:r>
        <w:rPr>
          <w:rFonts w:ascii="arial" w:eastAsia="arial" w:hAnsi="arial" w:cs="arial"/>
          <w:color w:val="000000"/>
          <w:sz w:val="20"/>
          <w:lang w:val="en-US" w:eastAsia="en-US" w:bidi="ar-SA"/>
        </w:rPr>
        <w:t xml:space="preserve"> represents the higher end of the range for loss of amenities. The plaintiff was awarded $25,000 for his loss of privacy when the defendant took down a large number of trees on the plaintiff's property while clearcutting his own property. The award for loss of amenities was intended to compensate the plaintiff for the loss of privacy and enjoyment he derived from the trees. Mr. Justice McEwan commented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heard the evidence of Dr. Hutton, it is clear that a very significant component of his loss is the sense of invasion or violation he suffered. He has also lost the enjoyment he derived from the trees, particularly those between his house and the Morehouse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the court of appeal upheld the trial award of $13,000, or $1,000 per tree for loss of amenities. The trial judgment noted that the cut trees did not change the character or overall appearance of the property and had the effect of breaching the curtain of privacy in only one area. The quiet forest setting was not noticeably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When I consider the circumstances of this case, as well as the principles set out in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xml:space="preserve"> and the range of awards in other decisions, I conclude that the Avenders should receive an award for loss of amenities that is at the higher end of the range. In part, this is because I find that the Avenders experienced a sense of invasion or violation similar to that experienced by the plaintiff in </w:t>
      </w:r>
      <w:r>
        <w:rPr>
          <w:rFonts w:ascii="arial" w:eastAsia="arial" w:hAnsi="arial" w:cs="arial"/>
          <w:i/>
          <w:color w:val="000000"/>
          <w:sz w:val="20"/>
          <w:lang w:val="en-US" w:eastAsia="en-US" w:bidi="ar-SA"/>
        </w:rPr>
        <w:t>Hutton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Avenders considered the area of the property where the trees were cut to be very special. Having grown up on the property, Ms. Avender held it in high value. As she explained, she regarded it as magical; a beautiful, forested section of their property. She recalls her father taking her to the area near McNeil Creek when she was two years old. The Avenders frequently saw deer and other animals in the area. She described it as an amazing place to grow up and felt that she and her husband had been privileged to be able to raise their children with access to the same peaceful area. She described how the damage to that part of the property affected her deeply. The Avenders also lost some privacy as a result of the cutting of the trees, although I conclude that some of that loss was caused by the removal of the trees on the Tamihi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circumstances, a fair award to compensate the Avenders for loss of amenities is $25,000.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What, if anything, should be awarded for punitive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Avenders say the actions of the defendants were malicious and high-handed. They note that Western is a forest company of some size and say that a punitive damage award of some magnitude is necessary to further the objectives of the law. They submit that an award of $66,000 ($1,500 per tree) is justified given the nature of the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emphasize that the trespass was unintentional. In all of the circumstances, they say there is no proper basis for an award of punitive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principles to be applied in considering an award for punitive damages were explained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Bowen Contracting Ltd. v. B.C. Log Spill Recovery Co-operative Assn.</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2009 BCCA 457</w:t>
        </w:r>
      </w:hyperlink>
      <w:r>
        <w:rPr>
          <w:rFonts w:ascii="arial" w:eastAsia="arial" w:hAnsi="arial" w:cs="arial"/>
          <w:color w:val="000000"/>
          <w:sz w:val="20"/>
          <w:lang w:val="en-US" w:eastAsia="en-US" w:bidi="ar-SA"/>
        </w:rPr>
        <w:t xml:space="preserve"> Madam Justice Newbury J.A. summarized those principles at para. 23. Given the matters in issue, the following principles are relevant:</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not limited to particular "categories" of wrongs, although by their nature they will "largely be restricted to intentional torts";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objectives of punitive damages are punishment, deterrence of the wrongdoer and others, and denunciation;</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primary vehicle of punishment is criminal law, punitive damages should be resorted to only in "exceptional cases and with restraint";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pejoratives such as "high-handed" or "oppressive" does not provide useful guidance (or discipline) to judges or juries and a more principled approach is desirable. (Notwithstanding this, the Court said at para. 94 that punitive damages are to be imposed only if there has been "high-handed, malicious, arbitrary or highly reprehensible misconduct that departs to a marked degree from ordinary standards of decent behaviour.");</w:t>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setting punitive damages, the court should ask itself "in particular" how an award would further one or other of the objectives of the law and what is the lowest award that would serve the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"formulaic" approach should be avoided. The court should focus not on the plaintiff's loss but on the defendant's misconduct;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Punitive damages have been awarded in many cases where a trespasser wrongfully cut trees on a neighbour's property. In some decisions, punitive damages were awarded where the trespass was characterized as intentional: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xml:space="preserve">, see para. 5. In others, such as </w:t>
      </w:r>
      <w:r>
        <w:rPr>
          <w:rFonts w:ascii="arial" w:eastAsia="arial" w:hAnsi="arial" w:cs="arial"/>
          <w:i/>
          <w:color w:val="000000"/>
          <w:sz w:val="20"/>
          <w:lang w:val="en-US" w:eastAsia="en-US" w:bidi="ar-SA"/>
        </w:rPr>
        <w:t>Cook v. Bhanwath</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[1998] B.C.J. No. 1026</w:t>
        </w:r>
      </w:hyperlink>
      <w:r>
        <w:rPr>
          <w:rFonts w:ascii="arial" w:eastAsia="arial" w:hAnsi="arial" w:cs="arial"/>
          <w:color w:val="000000"/>
          <w:sz w:val="20"/>
          <w:lang w:val="en-US" w:eastAsia="en-US" w:bidi="ar-SA"/>
        </w:rPr>
        <w:t xml:space="preserve">, the court awarded punitive damages without determining if the act was intentional. In </w:t>
      </w:r>
      <w:r>
        <w:rPr>
          <w:rFonts w:ascii="arial" w:eastAsia="arial" w:hAnsi="arial" w:cs="arial"/>
          <w:i/>
          <w:color w:val="000000"/>
          <w:sz w:val="20"/>
          <w:lang w:val="en-US" w:eastAsia="en-US" w:bidi="ar-SA"/>
        </w:rPr>
        <w:t>Cook</w:t>
      </w:r>
      <w:r>
        <w:rPr>
          <w:rFonts w:ascii="arial" w:eastAsia="arial" w:hAnsi="arial" w:cs="arial"/>
          <w:color w:val="000000"/>
          <w:sz w:val="20"/>
          <w:lang w:val="en-US" w:eastAsia="en-US" w:bidi="ar-SA"/>
        </w:rPr>
        <w:t>, at para. 83, Mr. Justice Parrett found that he need not decide if the defendant acted deliberately as it was clear that his actions were reckless and high-handed: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I have reviewed with care the circumstances in which this trespass took place. I have rejected much of Dr. Bhanwath's evidence in particular his denial that the cutting of threes was carried out deliberately in the sense that it was a scheme to enhance the value of and his enjoyment of his own property by opening up his view of and across the river. Whether or not the actions were deliberate and calculated, they were in my view reckless, high handed and completely oblivious to the rights of the adjoining property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other decisions, punitive damages were awarded for committing a trespass recklessly. For example, in </w:t>
      </w:r>
      <w:r>
        <w:rPr>
          <w:rFonts w:ascii="arial" w:eastAsia="arial" w:hAnsi="arial" w:cs="arial"/>
          <w:i/>
          <w:color w:val="000000"/>
          <w:sz w:val="20"/>
          <w:lang w:val="en-US" w:eastAsia="en-US" w:bidi="ar-SA"/>
        </w:rPr>
        <w:t>Kranz v. Shidfar</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2011 BCSC 686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Kachanoski v. Grace</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2002 BCCA 615</w:t>
        </w:r>
      </w:hyperlink>
      <w:r>
        <w:rPr>
          <w:rFonts w:ascii="arial" w:eastAsia="arial" w:hAnsi="arial" w:cs="arial"/>
          <w:color w:val="000000"/>
          <w:sz w:val="20"/>
          <w:lang w:val="en-US" w:eastAsia="en-US" w:bidi="ar-SA"/>
        </w:rPr>
        <w:t xml:space="preserve">, punitive damages were awarded against defendants who acted recklessly by failing to make reasonable efforts to determine the location of property boundaries. In </w:t>
      </w:r>
      <w:r>
        <w:rPr>
          <w:rFonts w:ascii="arial" w:eastAsia="arial" w:hAnsi="arial" w:cs="arial"/>
          <w:i/>
          <w:color w:val="000000"/>
          <w:sz w:val="20"/>
          <w:lang w:val="en-US" w:eastAsia="en-US" w:bidi="ar-SA"/>
        </w:rPr>
        <w:t>Kachanoski</w:t>
      </w:r>
      <w:r>
        <w:rPr>
          <w:rFonts w:ascii="arial" w:eastAsia="arial" w:hAnsi="arial" w:cs="arial"/>
          <w:color w:val="000000"/>
          <w:sz w:val="20"/>
          <w:lang w:val="en-US" w:eastAsia="en-US" w:bidi="ar-SA"/>
        </w:rPr>
        <w:t>, the court upheld the award of punitive damages on the basis that the trial judge's findings as set out at paras. 10-12 of the trial decision, satisfied the test for punitive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Mr. Grace made nothing but the most casual inquiry to establish the property line before he began the cutting. The best that can be said for his evidence is that he formed the general view from some conversations that he had had with the previous owners that the property line must be further over than it actually was. There is no support in any of the evidence for a contention on his part that anyone told him where the property line was except in the very vaguest of ways. He did not attempt to find the iron posts that mark the corner of the property and, therefore, the property line. He did not make any inquiries of his neighbours. He did not consult any plan; although I am satisfied, that he would have had access to plans if he wished which showed the property line between the two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 Mr. Grace acted almost completely irresponsibly... I am satisfied that his actions can be characterized as reckless. He simply did not inquire. He wanted to cut the trees down. He thought they may be on his property and so he cut them down.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 am satisfied that there is no basis upon which he could have said, "I honestly thought they were on my property." In order to say that he would have had to make some logical inquiry, some inquiry that was based in reason, and he did not do so.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have already set out my findings about the steps taken by the defendants to determine the location of the property line between the Tamihi and Avender properties. My findings mirror those made by the courts in </w:t>
      </w:r>
      <w:r>
        <w:rPr>
          <w:rFonts w:ascii="arial" w:eastAsia="arial" w:hAnsi="arial" w:cs="arial"/>
          <w:i/>
          <w:color w:val="000000"/>
          <w:sz w:val="20"/>
          <w:lang w:val="en-US" w:eastAsia="en-US" w:bidi="ar-SA"/>
        </w:rPr>
        <w:t>Cook, Kranz</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Kachanoski</w:t>
      </w:r>
      <w:r>
        <w:rPr>
          <w:rFonts w:ascii="arial" w:eastAsia="arial" w:hAnsi="arial" w:cs="arial"/>
          <w:color w:val="000000"/>
          <w:sz w:val="20"/>
          <w:lang w:val="en-US" w:eastAsia="en-US" w:bidi="ar-SA"/>
        </w:rPr>
        <w:t>. The defendants made no attempt to obtain survey information, look for survey markers or make reasonable inquiries to determine property boundaries. They simply wanted to harvest the timber that they assumed was on the Tamihi property. Their actions can be fairly described as reckless and high-handed. Their failure to take any reasonable steps before harvesting timber with a feller buncher in that setting represents a marked departure from the standard of behaviour expected from a neighbour or a logging contractor. The defendants' actions are deserving of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authorities reveal a wide range of punitive damage awards for this kind of trespass. In </w:t>
      </w:r>
      <w:r>
        <w:rPr>
          <w:rFonts w:ascii="arial" w:eastAsia="arial" w:hAnsi="arial" w:cs="arial"/>
          <w:i/>
          <w:color w:val="000000"/>
          <w:sz w:val="20"/>
          <w:lang w:val="en-US" w:eastAsia="en-US" w:bidi="ar-SA"/>
        </w:rPr>
        <w:t>Kachanoski</w:t>
      </w:r>
      <w:r>
        <w:rPr>
          <w:rFonts w:ascii="arial" w:eastAsia="arial" w:hAnsi="arial" w:cs="arial"/>
          <w:color w:val="000000"/>
          <w:sz w:val="20"/>
          <w:lang w:val="en-US" w:eastAsia="en-US" w:bidi="ar-SA"/>
        </w:rPr>
        <w:t xml:space="preserve">, a punitive damage award of $3,000 was upheld for the cutting of 21 trees. In </w:t>
      </w:r>
      <w:r>
        <w:rPr>
          <w:rFonts w:ascii="arial" w:eastAsia="arial" w:hAnsi="arial" w:cs="arial"/>
          <w:i/>
          <w:color w:val="000000"/>
          <w:sz w:val="20"/>
          <w:lang w:val="en-US" w:eastAsia="en-US" w:bidi="ar-SA"/>
        </w:rPr>
        <w:t>Kranz</w:t>
      </w:r>
      <w:r>
        <w:rPr>
          <w:rFonts w:ascii="arial" w:eastAsia="arial" w:hAnsi="arial" w:cs="arial"/>
          <w:color w:val="000000"/>
          <w:sz w:val="20"/>
          <w:lang w:val="en-US" w:eastAsia="en-US" w:bidi="ar-SA"/>
        </w:rPr>
        <w:t xml:space="preserve">, the plaintiff was awarded $35,000 in punitive damages where the defendant cut down 10 trees in an urban setting. In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the plaintiff was awarded $26,000 for the intentional cutting of 13 large trees from the neighbour's property in an urban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particular circumstances of the trespass including location (urban or rural), extent of the loss (number of trees), and whether the actions were particularly egregious, must be taken into account in arriving at an appropriate award. However, the proper approach to quantifying the award is to ask "how an award would further one or other of the objectives of the law and what is the lowest award that would serve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Here, deterrence of the defendants is an important objective. Western operates a successful logging business and the award must be sufficient to deter it and other similar enterprises from cutting trees without taking any reasonable steps to find out if they have any right to do so. The objective of denunciation also requires a punitive damage award that is more than nominal. An award at the low end of the range could be seen as a simple cost of doing business and would not send the right message to members of the public and to those involved in the business of removing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Considering the circumstances of the case, the relevant objectives and the nature of the defendants' actions, I conclude that an appropriate award for punitive damages is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actions leading to the trespass were reckless and careless. While they did not intentionally cut trees on the Avender property, they were grossly negligent in deciding where to cut the timber. The plaintiffs are entitled to the following damage awards:</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$16,239.60 for the cost of debris removal and initial restoration plus court ordered interest on that amount. The sum received from the sale of the logs is to be credited against that amount so the net award is $12,012.08;</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$17,500 for the cost of purchasing and planting trees and shrubs for restoration of the site;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$5,125 for future plant restoration and establishment costs;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$25,000 for the plaintiffs' loss of amenities; and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$20,000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have been substantially successful and are entitled to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Best News Enterprises Corp. v. Tai Li Enterprises Ltd. (c.o.b. Popular Video), [2003] B.C.J. No. 686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Joyce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11,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26,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S010771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686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460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23 C.P.C. (6th) 66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151 A.C.W.S. (3d) 347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CarswellBC 689</w:t>
      </w:r>
    </w:p>
    <w:p>
      <w:pPr>
        <w:spacing w:before="120" w:line="260" w:lineRule="atLeast"/>
        <w:rPr>
          <w:lang w:val="en-US" w:eastAsia="en-US" w:bidi="ar-SA"/>
        </w:rPr>
      </w:pPr>
      <w:r>
        <w:rPr>
          <w:rFonts w:ascii="arial" w:eastAsia="arial" w:hAnsi="arial" w:cs="arial"/>
          <w:color w:val="000000"/>
          <w:sz w:val="20"/>
          <w:lang w:val="en-US" w:eastAsia="en-US" w:bidi="ar-SA"/>
        </w:rPr>
        <w:t>Between Best News Enterprises Corp., plaintiff, and Tai Li Enterprises Ltd. doing business as Popular Video and Hing Cheung Wong,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3" style="position:absolute;z-index:2516736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6" w:name="Keywords_14"/>
      <w:bookmarkEnd w:id="96"/>
      <w:r>
        <w:rPr>
          <w:rFonts w:ascii="arial" w:eastAsia="arial" w:hAnsi="arial" w:cs="arial"/>
          <w:b/>
          <w:color w:val="000000"/>
          <w:sz w:val="20"/>
          <w:lang w:val="en-US" w:eastAsia="en-US" w:bidi="ar-SA"/>
        </w:rPr>
        <w:t>Civil procedure — Appeals — From Masters' decisions — Extension of time — Application by plaintiff to extend time to appeal master's dismissal of its application to add new defendant, Wang, dismissed — Wang was manager of corporate defendant, and allegedly one of its operating minds — Master correctly dismissed application on basis that there were no allegations against Wang separate and apart from the company — It was irrelevant whether the conduct complained of was negligent or an intentional tort — Since there was no merit in appeal, application must be dismissed.</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Corporations and associations law — Corporations — Officers and agents — Liability — Application by plaintiff to extend time to appeal master's dismissal of its application to add new defendant, Wang, dismissed — Wang was manager of corporate defendant, and allegedly one of its operating minds — Master correctly dismissed application on basis that there were no allegations against Wang separate and apart from the company — It was irrelevant whether the conduct complained of was negligent or an intentional tort — Since there was no merit in appeal, application must be dismissed.</w:t>
      </w:r>
    </w:p>
    <w:p>
      <w:pPr>
        <w:jc w:val="both"/>
        <w:rPr>
          <w:lang w:val="en-US" w:eastAsia="en-US" w:bidi="ar-SA"/>
        </w:rPr>
      </w:pPr>
      <w:bookmarkStart w:id="97" w:name="Legislation Cited_6"/>
      <w:bookmarkEnd w:id="9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94" style="position:absolute;z-index:2517248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Rules of Court, Rule 53(7)</w:t>
      </w:r>
      <w:r>
        <w:rPr>
          <w:lang w:val="en-US" w:eastAsia="en-US" w:bidi="ar-SA"/>
        </w:rPr>
        <w:cr/>
      </w:r>
    </w:p>
    <w:p>
      <w:pPr>
        <w:keepNext/>
        <w:spacing w:before="240" w:line="340" w:lineRule="atLeast"/>
        <w:rPr>
          <w:lang w:val="en-US" w:eastAsia="en-US" w:bidi="ar-SA"/>
        </w:rPr>
      </w:pPr>
      <w:bookmarkStart w:id="98" w:name="Counsel_14"/>
      <w:bookmarkEnd w:id="9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5" style="position:absolute;z-index:2517760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J.A. Henshall, for the plaintiff. R. Pedersen, for the defendants and for Janice Wang.</w:t>
      </w:r>
      <w:r>
        <w:rPr>
          <w:lang w:val="en-US" w:eastAsia="en-US" w:bidi="ar-SA"/>
        </w:rPr>
        <w:cr/>
      </w:r>
    </w:p>
    <w:p>
      <w:pPr>
        <w:spacing w:after="240"/>
        <w:rPr>
          <w:lang w:val="en-US" w:eastAsia="en-US" w:bidi="ar-SA"/>
        </w:rPr>
      </w:pPr>
      <w:bookmarkStart w:id="99" w:name="Judgment_14"/>
      <w:bookmarkEnd w:id="99"/>
      <w:r>
        <w:pict>
          <v:line id="_x0000_s1096" style="position:absolute;z-index:25182720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00" w:name="JOYCE J."/>
            <w:bookmarkEnd w:id="100"/>
            <w:r>
              <w:rPr>
                <w:rFonts w:ascii="arial" w:eastAsia="arial" w:hAnsi="arial" w:cs="arial"/>
                <w:b/>
                <w:color w:val="000000"/>
                <w:sz w:val="30"/>
                <w:lang w:val="en-US" w:eastAsia="en-US" w:bidi="ar-SA"/>
              </w:rPr>
              <w:t>JOYCE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sues the defendants for damages for infringement of copyright and an injunction in respect of the rental, distribution and possession for the purpose of rental of certain videotapes.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commenced the action on February 8, 2001. On January 14, 2003, a master dismissed the plaintiff's application to add Janice Wang as a defendant. The plaintiff wanted to appeal but failed to file its notice of appeal by January 28, 2003, as required by Rule 53(7). It seeks an extension of time within which it may bring the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Pridham v. Wickham </w:t>
      </w:r>
      <w:hyperlink r:id="rId255" w:history="1">
        <w:r>
          <w:rPr>
            <w:rFonts w:ascii="arial" w:eastAsia="arial" w:hAnsi="arial" w:cs="arial"/>
            <w:i/>
            <w:color w:val="0077CC"/>
            <w:sz w:val="20"/>
            <w:u w:val="single"/>
            <w:shd w:val="clear" w:color="auto" w:fill="FFFFFF"/>
            <w:lang w:val="en-US" w:eastAsia="en-US" w:bidi="ar-SA"/>
          </w:rPr>
          <w:t>[1993] B.C.J. No. 1796</w:t>
        </w:r>
      </w:hyperlink>
      <w:r>
        <w:rPr>
          <w:rFonts w:ascii="arial" w:eastAsia="arial" w:hAnsi="arial" w:cs="arial"/>
          <w:color w:val="000000"/>
          <w:sz w:val="20"/>
          <w:lang w:val="en-US" w:eastAsia="en-US" w:bidi="ar-SA"/>
        </w:rPr>
        <w:t>, Master Wilson, as he then was, dealt with the applicable principles relating to an application to extend the time to appeal from a decision of a master. At paragraphs 26-30, Master Wilson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Appeals to the Court of Appeal must be taken within a prescribed time. In Newson v. Newson </w:t>
      </w:r>
      <w:hyperlink r:id="rId256" w:history="1">
        <w:r>
          <w:rPr>
            <w:rFonts w:ascii="arial" w:eastAsia="arial" w:hAnsi="arial" w:cs="arial"/>
            <w:i/>
            <w:color w:val="0077CC"/>
            <w:sz w:val="20"/>
            <w:u w:val="single"/>
            <w:shd w:val="clear" w:color="auto" w:fill="FFFFFF"/>
            <w:lang w:val="en-US" w:eastAsia="en-US" w:bidi="ar-SA"/>
          </w:rPr>
          <w:t>[1980] 3 W.W.R. 741</w:t>
        </w:r>
      </w:hyperlink>
      <w:r>
        <w:rPr>
          <w:rFonts w:ascii="arial" w:eastAsia="arial" w:hAnsi="arial" w:cs="arial"/>
          <w:color w:val="000000"/>
          <w:sz w:val="20"/>
          <w:lang w:val="en-US" w:eastAsia="en-US" w:bidi="ar-SA"/>
        </w:rPr>
        <w:t xml:space="preserve"> (B.C.C.A.), Lambert J.A., made the following observations concerning the time limits for appeals to the Court of Appeal, at page 745:</w:t>
      </w:r>
    </w:p>
    <w:p>
      <w:pPr>
        <w:spacing w:before="120" w:line="260" w:lineRule="atLeast"/>
        <w:ind w:left="1080"/>
        <w:rPr>
          <w:lang w:val="en-US" w:eastAsia="en-US" w:bidi="ar-SA"/>
        </w:rPr>
      </w:pPr>
      <w:r>
        <w:rPr>
          <w:rFonts w:ascii="arial" w:eastAsia="arial" w:hAnsi="arial" w:cs="arial"/>
          <w:color w:val="000000"/>
          <w:sz w:val="20"/>
          <w:lang w:val="en-US" w:eastAsia="en-US" w:bidi="ar-SA"/>
        </w:rPr>
        <w:t>The concept of finality of litigation underlies the strict view that is taken by this court in considering whether to exercise its discretion to extend the time for filing a notice of appeal. Once a dispute has been submitted to litigation, and has been decided, and the time for appeal has expired, then the parties should be able to pursue their affairs on the basis that the dispute has been finally put to rest, for better or worse. They may make irrevocable decisions based on that assumption. They ought to be able to do so.</w:t>
      </w:r>
    </w:p>
    <w:p>
      <w:pPr>
        <w:spacing w:before="120" w:line="260" w:lineRule="atLeast"/>
        <w:ind w:left="720"/>
        <w:rPr>
          <w:lang w:val="en-US" w:eastAsia="en-US" w:bidi="ar-SA"/>
        </w:rPr>
      </w:pPr>
      <w:r>
        <w:rPr>
          <w:rFonts w:ascii="arial" w:eastAsia="arial" w:hAnsi="arial" w:cs="arial"/>
          <w:color w:val="000000"/>
          <w:sz w:val="20"/>
          <w:lang w:val="en-US" w:eastAsia="en-US" w:bidi="ar-SA"/>
        </w:rPr>
        <w:t>It is clear that the ultimate finality, in appeals to the Court of Appeal, is not present in appeals from the order or decision of a master. Nevertheless, I think that the notions expressed by Mr. Justice Lambert are relevant, albeit to a lesser degree, to an appeal from an interim order.</w:t>
      </w:r>
    </w:p>
    <w:p>
      <w:pPr>
        <w:spacing w:before="120" w:line="260" w:lineRule="atLeast"/>
        <w:ind w:left="720"/>
        <w:rPr>
          <w:lang w:val="en-US" w:eastAsia="en-US" w:bidi="ar-SA"/>
        </w:rPr>
      </w:pPr>
      <w:r>
        <w:rPr>
          <w:rFonts w:ascii="arial" w:eastAsia="arial" w:hAnsi="arial" w:cs="arial"/>
          <w:color w:val="000000"/>
          <w:sz w:val="20"/>
          <w:lang w:val="en-US" w:eastAsia="en-US" w:bidi="ar-SA"/>
        </w:rPr>
        <w:t>Accordingly, I have applied the principles defined for the determination of an application for an order extending the time for an appeal to the Court of Appeal to this application concerning an appeal from the order of a master.</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I have taken those principles from Davies v. C.I.B.C. </w:t>
      </w:r>
      <w:hyperlink r:id="rId257" w:history="1">
        <w:r>
          <w:rPr>
            <w:rFonts w:ascii="arial" w:eastAsia="arial" w:hAnsi="arial" w:cs="arial"/>
            <w:i/>
            <w:color w:val="0077CC"/>
            <w:sz w:val="20"/>
            <w:u w:val="single"/>
            <w:shd w:val="clear" w:color="auto" w:fill="FFFFFF"/>
            <w:lang w:val="en-US" w:eastAsia="en-US" w:bidi="ar-SA"/>
          </w:rPr>
          <w:t>(1987) 15 B.C.L.R. (2d) 256</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At page 259, Seaton J.A. wrote:</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...In Re Flair Construction Ltd.; Venables v. Bank of Montreal </w:t>
      </w:r>
      <w:hyperlink r:id="rId258" w:history="1">
        <w:r>
          <w:rPr>
            <w:rFonts w:ascii="arial" w:eastAsia="arial" w:hAnsi="arial" w:cs="arial"/>
            <w:i/>
            <w:color w:val="0077CC"/>
            <w:sz w:val="20"/>
            <w:u w:val="single"/>
            <w:shd w:val="clear" w:color="auto" w:fill="FFFFFF"/>
            <w:lang w:val="en-US" w:eastAsia="en-US" w:bidi="ar-SA"/>
          </w:rPr>
          <w:t>(1981), 38 C.B.R. (N.S.) 292</w:t>
        </w:r>
      </w:hyperlink>
      <w:r>
        <w:rPr>
          <w:rFonts w:ascii="arial" w:eastAsia="arial" w:hAnsi="arial" w:cs="arial"/>
          <w:color w:val="000000"/>
          <w:sz w:val="20"/>
          <w:lang w:val="en-US" w:eastAsia="en-US" w:bidi="ar-SA"/>
        </w:rPr>
        <w:t xml:space="preserve"> (B.C.C.A.), five questions are set out that I think are the proper questions to consider in this case. First, was there a bona fide intention to appeal? Second, when were the respondents informed of the intention? Third, would the respondents be unduly prejudiced by an extension? Fourth, is there merit in the appeal? And, fifth, is it in the interest of justice that an extension be granted?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agree that the forgoing questions are relevant to the consideration of an application for extension of time to appeal from a master, bearing in mind that the decision that the plaintiff wants to appeal does not have the finality of a trial judgment. That fact, in my view, has particular significance to the consideration of the third question - whether the respondent would be unduly prejudiced by an extension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am satisfied there was a bona fide intention to appeal. The plaintiff's solicitor took a brief time to review the law then sought and obtained instructions to appeal on January 29. Shortly thereafter, he advised counsel for the defendants and Ms. Wang of his instructions. It was then he realized that the appeal was to a judge of this Court, not to the Court of Appeal, and that the appeal had to be launched within 14 days rather than the 30 days within which a party must seek leave from the Court of Appeal to appeal an interlocutory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do not consider the defendants or Ms. Wang would suffer undue prejudice if an extension were granted. There is no evidence she has taken any particular course of action or made any decisions based on any feeling of certainty that the passing of January 28th might have brought. Furthermore, there is no suggestion in this case of any limitation issue. Accordingly, if the plaintiff is precluded from bringing its appeal, it can issue a separate writ, containing the same allegations, and have the issue re-visited in that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my view, the nub of this application is whether there is any merit in the appeal. If there is no reasonable likelihood that the appeal would succeed, then I should refuse an extension of time. If the appeal has merit, an extension of time is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necessary to set out briefly the nature of the plaintiff's claim. The plaintiff alleges it is the owner of the copyright and/or the exclusive right to distribute certain Chinese language videotapes.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corporate defendant operates a retail video store in Vancouver from which it rents Chinese language videotapes. The defendant Wong is the sole shareholder, director and officer of the corporate defendant and, the plaintiff alleges one of its operating minds.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alleges the defendants infringed the plaintiff's copyright in the videotapes by renting copies of them to the public.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further alleges Janice Wang is the manager of the corporate defendant's business and one of the operating minds of the corporation. The plaintiff seeks to join Ms. Wang as a defendant and to amend its statement of claim to allege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 Defendants or one or more of them infringed and continue to infringe the Plaintiff's copyright in and or exclusive right to distribute [the videotapes]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dismissing the application the learned master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important to look at the proposed amendments themselves. The ones with respect to Ms. Wang start particularly at paragraph 7 and go through to paragraph 11. In each case, the allegations are against the defendants as existing with the inclusion of Ms. Wang but not separately. What I mean by that is that she is not named separately in paragraphs 7 through 11 of the proposed Amended Statement of Claim.</w:t>
      </w:r>
    </w:p>
    <w:p>
      <w:pPr>
        <w:spacing w:before="120" w:line="260" w:lineRule="atLeast"/>
        <w:ind w:left="720"/>
        <w:rPr>
          <w:lang w:val="en-US" w:eastAsia="en-US" w:bidi="ar-SA"/>
        </w:rPr>
      </w:pPr>
      <w:r>
        <w:rPr>
          <w:rFonts w:ascii="arial" w:eastAsia="arial" w:hAnsi="arial" w:cs="arial"/>
          <w:color w:val="000000"/>
          <w:sz w:val="20"/>
          <w:lang w:val="en-US" w:eastAsia="en-US" w:bidi="ar-SA"/>
        </w:rPr>
        <w:t>The allegations are against all of the defendant, and the evidence and the argument before me was that Ms. Wang should be added because she is, to all intents and purposes, the operation mind of the company. In addition, the allegations are that she was an employee of the company either paid full-time or part-time. There is no allegation that she did any act separate and apart from the company in any of the proposed amendments to the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master referred to and quoted from Insurance Corporation of British Columbia v. Leland </w:t>
      </w:r>
      <w:hyperlink r:id="rId259" w:history="1">
        <w:r>
          <w:rPr>
            <w:rFonts w:ascii="arial" w:eastAsia="arial" w:hAnsi="arial" w:cs="arial"/>
            <w:i/>
            <w:color w:val="0077CC"/>
            <w:sz w:val="20"/>
            <w:u w:val="single"/>
            <w:shd w:val="clear" w:color="auto" w:fill="FFFFFF"/>
            <w:lang w:val="en-US" w:eastAsia="en-US" w:bidi="ar-SA"/>
          </w:rPr>
          <w:t>[1999] B.C.J. No. 2073</w:t>
        </w:r>
      </w:hyperlink>
      <w:r>
        <w:rPr>
          <w:rFonts w:ascii="arial" w:eastAsia="arial" w:hAnsi="arial" w:cs="arial"/>
          <w:color w:val="000000"/>
          <w:sz w:val="20"/>
          <w:lang w:val="en-US" w:eastAsia="en-US" w:bidi="ar-SA"/>
        </w:rPr>
        <w:t xml:space="preserve"> (S.C.), Rafiki Properties Ltd. v. Integrated Housing Development Ltd. </w:t>
      </w:r>
      <w:hyperlink r:id="rId260" w:history="1">
        <w:r>
          <w:rPr>
            <w:rFonts w:ascii="arial" w:eastAsia="arial" w:hAnsi="arial" w:cs="arial"/>
            <w:i/>
            <w:color w:val="0077CC"/>
            <w:sz w:val="20"/>
            <w:u w:val="single"/>
            <w:shd w:val="clear" w:color="auto" w:fill="FFFFFF"/>
            <w:lang w:val="en-US" w:eastAsia="en-US" w:bidi="ar-SA"/>
          </w:rPr>
          <w:t>[1999] B.C.J. No. 243</w:t>
        </w:r>
      </w:hyperlink>
      <w:r>
        <w:rPr>
          <w:rFonts w:ascii="arial" w:eastAsia="arial" w:hAnsi="arial" w:cs="arial"/>
          <w:color w:val="000000"/>
          <w:sz w:val="20"/>
          <w:lang w:val="en-US" w:eastAsia="en-US" w:bidi="ar-SA"/>
        </w:rPr>
        <w:t xml:space="preserve"> (S.C.) and The Owners Strata Plan LMS 1965 v. 450526 B.C. Ltd., </w:t>
      </w:r>
      <w:hyperlink r:id="rId261" w:history="1">
        <w:r>
          <w:rPr>
            <w:rFonts w:ascii="arial" w:eastAsia="arial" w:hAnsi="arial" w:cs="arial"/>
            <w:i/>
            <w:color w:val="0077CC"/>
            <w:sz w:val="20"/>
            <w:u w:val="single"/>
            <w:shd w:val="clear" w:color="auto" w:fill="FFFFFF"/>
            <w:lang w:val="en-US" w:eastAsia="en-US" w:bidi="ar-SA"/>
          </w:rPr>
          <w:t>[2002] B.C.J. No. 407</w:t>
        </w:r>
      </w:hyperlink>
      <w:r>
        <w:rPr>
          <w:rFonts w:ascii="arial" w:eastAsia="arial" w:hAnsi="arial" w:cs="arial"/>
          <w:color w:val="000000"/>
          <w:sz w:val="20"/>
          <w:lang w:val="en-US" w:eastAsia="en-US" w:bidi="ar-SA"/>
        </w:rPr>
        <w:t xml:space="preserve"> (S.C.), which dealt with the question of when principals or employees of a company may be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addition to the company of which they are a principals or employees.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paragraph 10, the learned master said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based on the Rafiki Properties and The Owners Strata Plan LMS 1965, and based on the fact that I do not see any allegations in the Statement of Claim of any allegations separate and apart from the company, I deny the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master also referred to the delay in applying and the prejudice referred to by Ms. Wang but rested his decision primarily on the foregoing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Counsel for the plaintiff seeks to advance the argument on appeal that the learned master erred in principle in relying on the law set out in the two decisions cited above. He submits those cases are distinguishable because they dealt with situations where the plaintiff sought to hold the individual defendants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there was no separate identity or interest from that of the company, i.e. no acts independent of those of the company. Counsel for the plaintiff says the present case deals not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with an intentional tort or breach of statute (Copyright Act). He seeks to argue that Ms. Wang is liable, in her own right, for having rented the copyrighted videotape.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court in Insurance Corporation of British Columbia v. Leland, Rafiki Properties Ltd. v. Integrated Housing Development Ltd. and The Owners Strata Plan LMS 1965 v. 450526 B.C. Ltd. referred to ADGA Systems International Ltd. v. Valcom Ltd., </w:t>
      </w:r>
      <w:hyperlink r:id="rId262" w:history="1">
        <w:r>
          <w:rPr>
            <w:rFonts w:ascii="arial" w:eastAsia="arial" w:hAnsi="arial" w:cs="arial"/>
            <w:i/>
            <w:color w:val="0077CC"/>
            <w:sz w:val="20"/>
            <w:u w:val="single"/>
            <w:shd w:val="clear" w:color="auto" w:fill="FFFFFF"/>
            <w:lang w:val="en-US" w:eastAsia="en-US" w:bidi="ar-SA"/>
          </w:rPr>
          <w:t>(1999), 43 O.R. (3d) 101</w:t>
        </w:r>
      </w:hyperlink>
      <w:r>
        <w:rPr>
          <w:rFonts w:ascii="arial" w:eastAsia="arial" w:hAnsi="arial" w:cs="arial"/>
          <w:color w:val="000000"/>
          <w:sz w:val="20"/>
          <w:lang w:val="en-US" w:eastAsia="en-US" w:bidi="ar-SA"/>
        </w:rPr>
        <w:t xml:space="preserve"> (C.A.) which canvassed the law of personal liability of directors, officers and employees of corporations including the following proposition drawn from Montreal Trust Co. of Canada v. ScotiaMcLeod Inc. </w:t>
      </w:r>
      <w:hyperlink r:id="rId263" w:history="1">
        <w:r>
          <w:rPr>
            <w:rFonts w:ascii="arial" w:eastAsia="arial" w:hAnsi="arial" w:cs="arial"/>
            <w:i/>
            <w:color w:val="0077CC"/>
            <w:sz w:val="20"/>
            <w:u w:val="single"/>
            <w:shd w:val="clear" w:color="auto" w:fill="FFFFFF"/>
            <w:lang w:val="en-US" w:eastAsia="en-US" w:bidi="ar-SA"/>
          </w:rPr>
          <w:t>(1995), 129 D.L.R. (4th) 711</w:t>
        </w:r>
      </w:hyperlink>
      <w:r>
        <w:rPr>
          <w:rFonts w:ascii="arial" w:eastAsia="arial" w:hAnsi="arial" w:cs="arial"/>
          <w:color w:val="000000"/>
          <w:sz w:val="20"/>
          <w:lang w:val="en-US" w:eastAsia="en-US" w:bidi="ar-SA"/>
        </w:rPr>
        <w:t xml:space="preserve"> (Ont. C.A.):</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officers or employees of limited companies are protected from personal liability unless it can be shown that their actions are themselves tortious or exhibit a separate identity or interest from that of the company so as to make the act or conduct complained of their 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my opinion, the master was correct in concluding that the law as stated above is applicable in the circumstances of this case. In my view, counsel for the plaintiff puts the matter too narrowly when he suggests that a distinction must be drawn between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conduct alleged by Ms. Wang in this case. The master concluded that the allegations the plaintiff seeks to make against Ms. Wang did not exhibit a separate interest or identity. In my view, he was correct. Ms. Wang did not rent the videos; the company rented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opinion, there is no merit in the appeal and I dismiss the application.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JOYCE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Biggar v. Felker, [2002] B.C.J. No. 1528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Kirkpatrick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17 - 20,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M001602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1528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998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1149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Amanda Biggar, plaintiff, and Robert John Felker,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1" w:name="Keywords_15"/>
      <w:bookmarkEnd w:id="10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Respecting pedestrians and bicyclists — Motor vehicle, pedestrians and bicyclists — Travelling on wrong side of road — Damages — General damages — Elements of general damages — Loss of opportunity — General damages for personal injury — Pre-trial loss of wages or earnings — Matters of speculation.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2" w:name="Case Summary_13"/>
            <w:bookmarkEnd w:id="1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Biggar against Felker arising out of a motor vehicle accident. Biggar was walking on the wrong side of a winding road with a friend. Felker was driving along the road in his truck. He approached a hill when he noticed the tops of the heads of Biggar and her friend. He decided not to brake but instead aimed his truck to the left, hoping to hit a tree on an embankment to avoid the pedestrians. Biggar ran across the road and onto the embankment. Felker missed the tree and hit Biggar, dragging her under the truck. Biggar suffered contusions, abrasions, lacerations and a left ankle fracture which required surgery. She was left with a scar on her chin and continued to experience pain in her ankle, although it had healed well. She also became irritable, angry, tearful and belligerent and her relationship with her mother deteriorated. She moved away from home to live with her aunt and was working full-time as a cashier. She was 18 years old and before the accident had hoped to enroled in a recreational sports program. She sought damages for past wage loss based on a part-time job she had at her mother's restaurant and a waitressing job that she had secured but was denied, due to problems with her ankle. She also claimed damages for the lost opportunity to apply for various types of work.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3" w:name="Holdings of Court_12"/>
            <w:bookmarkEnd w:id="10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Biggar was awarded $50,000 for non-pecuniary damages, $7,500 for past wage loss, $20,000 for loss of opportunity and special damages for orthotics and cosmetic surgery. Felker had demonstrated a lack of due care in failing to sound the horn to alert Biggar to his approach, in deciding not to brake when he first noticed the pedestrians and in failing to take reasonable steps to steer his truck around the hazard posed. The evidence indicated that Felker would have been able to brake safely at the speed he was travelling. In assessing the liability for the accident, it was important that Biggar had managed to retreat to a place of safety before she was hit. However, Biggar was 10 percent responsible, as she had breached her statutory duty to walk on the left side of the road. Biggar was awarded less than she claimed for past wage loss and loss of opportunity. Although she had clearly suffered some loss under these heads, the claims were speculative. In particular, it was not clear how long she would have been employed or how much she would have earned in gratuities from the waitressing job. The amount claimed was also not consistent with her historical earning pattern. Further, the medical evidence did not support her concerns regarding future job opportunities. She had not entirely lost the capital asset allowing her to perform physically or athletically challenging work. There was also some doubt that she would have qualified for the college program.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4" w:name="Legislation Cited_7"/>
      <w:bookmarkEnd w:id="1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9"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71" w:history="1">
        <w:r>
          <w:rPr>
            <w:rFonts w:ascii="arial" w:eastAsia="arial" w:hAnsi="arial" w:cs="arial"/>
            <w:i/>
            <w:color w:val="0077CC"/>
            <w:sz w:val="20"/>
            <w:u w:val="single"/>
            <w:shd w:val="clear" w:color="auto" w:fill="FFFFFF"/>
            <w:lang w:val="en-US" w:eastAsia="en-US" w:bidi="ar-SA"/>
          </w:rPr>
          <w:t>R.S.B.C. 1996, c. 318, ss. 181</w:t>
        </w:r>
      </w:hyperlink>
      <w:r>
        <w:rPr>
          <w:rFonts w:ascii="arial" w:eastAsia="arial" w:hAnsi="arial" w:cs="arial"/>
          <w:color w:val="000000"/>
          <w:sz w:val="20"/>
          <w:lang w:val="en-US" w:eastAsia="en-US" w:bidi="ar-SA"/>
        </w:rPr>
        <w:t>, 182(2).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5" w:name="Counsel_15"/>
      <w:bookmarkEnd w:id="1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Raynier, for plaintiff. S.J. Oliver, for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6" w:name="Judgment_15"/>
      <w:bookmarkEnd w:id="106"/>
      <w:r>
        <w:pict>
          <v:line id="_x0000_s1101" style="position:absolute;z-index:2518282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7" w:name="KIRKPATRICK J."/>
            <w:bookmarkEnd w:id="107"/>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mid-afternoon on March 27, 1999 Amanda Biggar, then 18 years of age, and her friend Danielle Trellenberg, walked down the driveway of Ms. Trellenberg's home and turned right onto Back Valley Road. Their plan was to walk the 10 or 12 kilometres on Back Valley Road west toward Highway 97 where they had arranged to meet another friend, Janel Wright.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Back Valley Road is a dead end, two lane, country back road. The homes along the road are infrequently situated. The road surface is gravel and, on that day, had been recently graded. The road is winding, hilly, and has numerous blind corners. A sign at the entrance to Back Valley Road, posted by the rancher who owns the properties on either side of the entrance to the road, cautions users: "This road has many dangerous blind corners and it can be very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no posted speed limit on Back Valley Road. The speed limit, according to the police constable called to give evidence for the defence, is likely 80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Ms. Biggar and Ms. Trellenberg, for reasons they could not explain, other than convenience, chose to walk west on the road on the right side, in contravention of s. 182(2)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which obliges pedestrians walking along a highway with no sidewalks to walk only on the extreme left side of the roadway or the shoulder of the highway, facing traffic approaching from the opposite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Approximately 15 to 20 minutes after Ms. Biggar and Ms. Trellenberg began their walk, the defendant, Robert Felker, then 25 years of age, passed them as he drove east on Back Valley Road in his 1973 Ford pick-up truck. Mr. Felker was driving to Ms. Trellenberg's home to finalize the purchase of a vehicle from her father. Mr. Felker had not driven on Back Valley Road before that day. Ms. Biggar and Ms. Trellenberg exchanged waves with Mr. Felker and continued on their way. Ms. Biggar noted nothing unusual about Mr. Felker's driving, except that she thought he might have been driving too fast. The Felker truck was the only vehicle that the young women noted on the road up to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Felker was at the Trellenberg home for about 10 minutes. He then left and travelled west on Back Valley Road, heading to Highway 97, and eventually to his home in Forrest Grove near 100 Mile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Biggar and Ms. Trellenberg continued walking on the right side of the road, with Ms. Trellenberg on Ms. Biggar's right side. The road surface was clear of snow, but there was snow at the sides off of the road. The sides of the road were muddy, likely from melting snow. The travelled portion of the road was generally dry. The weather conditions were moderately sunny. The young women walked to the left of the muddy portion of the road but to the right of the centre of the road. As the young women approached the bottom of a hill located in an S curve in the road, Ms. Biggar heard the sound of Mr. Felker's truck. She looked over her shoulder and saw the roof, windshield, grill and top of the truck's tires as it crested the hill behind them. Ms. Biggar's impression was that the truck was heading straight toward her and Ms. Trellenberg. Her instinctive response was to run to the left out of the way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Trellenberg did not hear the truck before she saw it. She first felt Ms. Biggar move. She turned to see the truck in full view. She saw the truck heading to the left side of the road. Ms. Trellenberg took one or two steps to the right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Felker approached the rise in the hill, but did not realize it was in an S curve. He could see the tops of the heads of the young women at the side of the road. He removed his foot from the accelerator and eased his truck to the centre of the road. As he crested the hill, he realized that the pedestrians posed a problem. He believed that if he, in his words, "slammed on his brakes", the truck would go sideways and he would hit both pedestrians. He decided instead to aim his truck to the left where he saw a bank in the road with a tree that he hoped to hit in his attempt to avoid the pedestrians who he assumed would run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seconds that followed, Ms. Biggar managed to run to the left side of the road and up onto the embankment. Mr. Felker executed his manoeuvre to the left side of the road. However, he missed the tree, and instead travelled along the embankment where his truck hit Ms. Biggar, dragging her under his truck for a distance of about six or eight metres until he managed to bring the truck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Biggar was trapped beneath Mr. Felker's truck for about 45 minutes until ambulance personnel arrived to safely remove and transport her to the hospital at 100 Mile House. She suffered facial contusions and abrasions; laceration of the buccal mucosa; laceration of her left leg; and a bimalleolar left ankle fracture. She was transferred to the Kamloops Royal Inland Hospital and underwent an operation on March 27 in which the ankle fractures were internally reduced and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action was commenced on April 7, 2000. Both liability for the accident and the quantum of any damages for Ms. Biggar's injuries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I have noted, Ms. Biggar did not follow her statutory duty to walk on the left side of the road. She was aware that pedestrians are required to walk on the left side. She was also familiar with Back Valley Road, and the fact that it has many twists, turns, and hills.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Felker was obliged by s. 181 of the Motor Vehicle Act to:</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law is clear that statutory provisions and regulations are supplementary to the common law duty that rests upon all persons using the highways to exercise due care for their own safety and the safety of others: Cook v. Teh &amp; Township of Richmond </w:t>
      </w:r>
      <w:hyperlink r:id="rId272" w:history="1">
        <w:r>
          <w:rPr>
            <w:rFonts w:ascii="arial" w:eastAsia="arial" w:hAnsi="arial" w:cs="arial"/>
            <w:i/>
            <w:color w:val="0077CC"/>
            <w:sz w:val="20"/>
            <w:u w:val="single"/>
            <w:shd w:val="clear" w:color="auto" w:fill="FFFFFF"/>
            <w:lang w:val="en-US" w:eastAsia="en-US" w:bidi="ar-SA"/>
          </w:rPr>
          <w:t>(1990), 45 B.C.L.R. (2d) 194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evidence establishes that Ms. Biggar had succeeded in reaching the left or south bank off the roadway before Mr. Felker drove his truck off the road and up onto the embankment. I accept Ms. Biggar's testimony that, in the moment before impact, she turned to see the truck's Ford insignia immediately behind her head. There is no doubt that she was on the embankment before Mr. Felker left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further establishes that Mr. Felker was travelling at between 40 to 60 k.p.h. as he approached the hill, on the other side of which Ms. Biggar and Ms. Trellensberg were walking. I accept that he removed his foot from the accelerator when he noticed the heads of the pedestrians, thereby reducing the truck's speed to about 40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clear that Mr. Felker did not sound the truck's horn when he first noticed the pedestrians on the road or later when he realized the significance of the hazard that they posed. He was apparently unaware of his statutory duty to sound the horn as a warning. Further, although he may have gently tapped the brakes, at no time did he apply the brakes in an effort to bring the truck to a stop. Instead, he opted to drive off the road to avoid colliding with the pedestrians. The evidence of the R.C.M.P. constable makes clear that no yaw marks or skid marks were located on the road for a distance of a quarter of a kilometre on either side of the hill crest.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evidence of the plaintiff's accident reconstruction expert suggests that at a speed of 40 k.p.h., the pedestrians would have been visible for about seven seconds prior to impact from the point in time when Mr. Felker saw the pedestrians' heads over the vertical curve in the road. The expert opined that Mr. Felker could have brought his pick-up truck to a stop about seven to 16 metres short of impact if he perceived the pedestrians as a hazard when they were fully visible on the road from 38.8 metres away and reacted by applying the truck's brakes from a speed of 40 k.p.h. Even at 60 k.p.h., the impact could have been avoided if Mr. Felker perceived the pedestrians as hazards from where they were visible from the waist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Constable Lynch testified that the driver training he had received as an R.C.M.P. constable has taught him to respond to an obstacle in the line of travel by steering around the obstacle. He would not favour "slamming on the brakes" on a gravel road because of the difficulty in maintaining control of the vehicle on gravel. He agreed, under cross-examination by plaintiff's counsel, that the decision to brake versus obstacle avoidance at 40 k.p.h. depends on the driver's experience, although he conceded that it would be possible to brake to a stop with safety at that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Felker acknowledged that he was aware that the pedestrians were on the road, having seen them on the east bound part of his journey on Back Valley Road. Mr. Felker grew up in the area and most of his driving has been on back country roads. Although he had only driven on Back Valley Road once before on his eastbound trip to the Trellenberg home, he was aware that it was winding and hilly and that the road surface was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determining liability for the accident, I conclude that Mr. Felker must bear the greater responsibility. I find that Mr. Felker failed to sound the truck's horn to alert the pedestrians to his approach, knowing that they were facing away from him. I also find that Mr. Felker's decision not to brake in an effort to bring his truck to a stop demonstrates a lack of due care. It is inexplicable that he would not do so while travelling at 40 k.p.h. Furthermore, the decision not to brake, but instead to aim his truck to the side of the road at which the pedestrians should have been lawfully walking, compounds his lack of care. Lastly, and most significantly, Ms. Biggar had managed to retreat to a place that in most circumstances could be regarded as a place of safety - well off the road and up an embankment. It was the decision of Mr. Felker to essentially crash his truck into a tree to avoid colliding with pedestrians which ultimately led his truck off the road and along the embankment until it hit Ms. Biggar.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the whole of the evidence, I find that the accident happened because the defendant failed to apply his brakes from the moment he first noticed the pedestrians in the portion of the roadway in which he was to travel; by failing to sound the horn to warn the pedestrians; and by failing to take reasonable steps to steer his truck around the hazard 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am, however, mindful that the pedestrians created the hazard which confronted Mr. Felker. He did not and could not have known the directions in which the pedestrians would move. His actions, however unreasonable, were forced upon him by the pedestrians walking on the wrong side of the road. However, I consider the fault of the plaintiff contributed only marginally to the accident. I assess her fault at 10 percent. Lang v. Porter </w:t>
      </w:r>
      <w:hyperlink r:id="rId273" w:history="1">
        <w:r>
          <w:rPr>
            <w:rFonts w:ascii="arial" w:eastAsia="arial" w:hAnsi="arial" w:cs="arial"/>
            <w:i/>
            <w:color w:val="0077CC"/>
            <w:sz w:val="20"/>
            <w:u w:val="single"/>
            <w:shd w:val="clear" w:color="auto" w:fill="FFFFFF"/>
            <w:lang w:val="en-US" w:eastAsia="en-US" w:bidi="ar-SA"/>
          </w:rPr>
          <w:t>(1991), 57 B.C.L.R. (2nd) 253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time of the accident, Ms. Biggar was taking courses to upgrade her marks at the high school from which she had graduated in June 1998. She hoped to enrol in a recreation sports program at Douglas College with the aim of obtaining a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Her mother and friends described Ms. Biggar before the accident as "bubbly", out-going, funny, involved in sports, and generally involved with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noted, she suffered numerous injuries in the accident, the most significant of which, from the perspective of on-going pain and suffering, are the injuries to her ankle and scarring to an area on her chin.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Biggar was hospitalized for four days after the March 27 surgery to repair the ankle fractures. Her leg was in a cast for four weeks. She was generally confined to bed for three weeks. She walked with the aid of crutches for six weeks. She continued to have pain in her ankle. In May 2000, Dr. Beaton, the orthopaedic surgeon who performed the surgery in March 1997, removed the lateral malleolar plate and screws.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addition to the ankle injury, Ms. Biggar suffered abrasions in her mouth which caused her lips to be swollen and resulted in drooling and difficulty with chewing. Her mouth healed after two or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has been left with a residual traumatic tattooing under her chin which has caused her significant cosmetic concern. She has been advised of procedures which may alleviate or remove the scar, but she is concerned that the procedures leave the skin tender and sore for months, and there are no guarantees that the procedures will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Biggar experienced other injuries - bruising to her thigh, a puncture wound on her left leg, scrapes on her hands and scars on her ankle. She stated quite candidly (and I thought, fairly) that those injuries did not cause her much pain, if any, and that she is not troubled by them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a result of the injuries which did trouble her, however, she became irritable, angry, tearful, belligerent with her family and friends, and generally miserable to herself and others. She resented her incapacity to return to the full, active life she had known before the accident. Relations between herself and her mother, which had been excellent, deteriorated to the point that her mother arranged in February 2000 for Ms. Biggar to move to live with her aunt in White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removal of the malleolar plate and screws in May 2000 marked the beginning of Ms. Biggar's return to relative normality. Although she described herself at that time as "still bitter and hostile", by October 2000 she returned again to live with her aunt in White Rock and found work at a Zellers store at which time she said life started to look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Biggar continues to experience some pain in her ankle, notwithstanding Dr. Beaton's opinion that her ankle has healed solidly. Her family physician, Dr. Janz, testified that she could have a perfect surgical result and yet still have pain. Dr. Janz last saw Ms. Biggar on September 11, 2001 at which time she continued to complain of discomfort in the left ankle and left lower leg with activity. He noted that she had a full range of motion in the involved ankle and no obvious swelling in the joint. He recommended orthotics to support the injured ankle. She has obtained the orthotics and finds that they have helped alleviate the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Janz's conclusion, which I accept, is that Ms. Biggar will likely have some discomfort for years to come. He believes that orthotics and specific exercises will lessen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Having regard to the nature and extent of Ms. Biggar's injuries, particularly those to her ankle and face, the length of time which they have caused her pain and suffering and are likely to do so in the future, I assess her non-pecuniary damages to be $50,000. This award falls within the range of damages suggested by counsel for the plaintiff, although slightly above the range provided by counsel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Biggar advances a past wage loss claim of $14,217 calculated on the basis of part-time work she had at her mother's restaurant prior to the accident and work that she had secured at a pub in 100 Mile House which was then denied her because the owner was concerned that her ankle injury might impede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difficulty posed by this claim is that it is more speculative than usual. Ms. Biggar was only 18 years of age at the time of the accident. Her employment to that time had consisted of a part-time job in the summer of 1998 at a local Dairy Queen and occasional work at her mother's restaurant, for which she was paid $50 per week plus about $15 per week in tips. She testified that prior to the accident she planned to work only part-time in the summer of 1999 while she figured out whether to go to college in September or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most significant component of the past wage loss claim concerns the lost job at the pub. Ms. Biggar testified that she would have worked as a waitress part-time from Thursdays to Sundays for which she would have been paid about $7.50 per hour together with tips that she was told could reach $150 to $180 per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are several speculative aspects to that employment, including the length of time she would have been employed and the actual amount of gratuities she would have received. Ms. Biggar has not achieved that level of income since she returned full-time to the work force in October 2000. It does not appear to be consistent with her historical earning pattern which is understandably short having regard to her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Although I do not doubt that Ms. Biggar lost some wages as a result of the accident, I do not hold as optimistic a view as to the quantum. Taking into account the earnings she did achieve, I assess her past wage loss at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Biggar advances a claim of $42,000 for her lost opportunity to apply for all types of work due to the restriction caused by her left ankle weakness. There is no doubt that Ms. Biggar is concerned about the strength of her ankle. However, the medical evidence does not wholly support her concern. When Dr. Beaton last saw her in May 2000, he believed that Ms. Biggar's ankle was quite stable. After the removal of the hardware, he said that she needed to be careful with the ankle for six to eight weeks to avoid re-fracture. However, after that time, he expected that she would be able to return to full work and recreational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Janz, her family physician, respects Dr. Beaton's opinion and at that point in time (i.e. May 2000) accepted his opinion. Since then, Dr. Janz, who last saw Ms. Biggar in September 2001, believes that Ms. Biggar continued to be troubled by pain and disability. Since September 2001, although her ankle is still painful, she is able to work full-time and only occasionally (twice a month) takes Tylenol 3 to relieve the pain. Thus, it appears that it is the pain that she experiences that contributes to her fear that her ankle will prevent her from returning to the level of athletic and other activity she enjoyed prior to the accident. However, as Dr. Janz noted, orthotics and specific exercises will lessen her pain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am not convinced that Ms. Biggar has entirely lost the capital asset that would permit her to perform physically or athletically challenging work. She is a young woman with an interest in children and recreational programs. Her scholastic performance in high school was below average, leaving some doubt as to whether she would qualify for entry to the program at Douglas College. She has secured full-time employment as a cashier at a gas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Nevertheless, applying the factors set out in Brown v. Golaiy </w:t>
      </w:r>
      <w:hyperlink r:id="rId27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it is reasonably clear that Ms. Biggar has been rendered less capable overall from earning income from all types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Having regard to the difficulties posed by this inherently speculative exercise, I assess Ms. Biggar's loss of opportunity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Biggar is entitled to special damages for the orthotics prescribed by Dr. Janz, which I understand cost between $600 - $700.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there is some question whether Ms. Biggar is willing to undergo cosmetic surgery to remove the traumatic tattooing on her chin, it is apparent that the scar causes her considerable concern. In my view, she is entitled to recover all reasonable costs for such treatment. The treatment options and their cost vary. I am unable to fix the amount payable in the absence of evidence as to which treatment option Ms. Biggar is likely to select. In these circumstances, I leave it to counsel to agree as to the amounts payable under this head of damage. If they are unable to agree, they may apply to the court for directions as to the amount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that the defendant is 90 percent liable for the damages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damages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2405"/>
        <w:gridCol w:w="177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481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$ 7,500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1359"/>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opportunity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be determined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$77,500 @ 90% = $69,750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Unless there are facts of which I am unaware, Ms. Biggar is entitled to her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Century Services Corp. v. LeRoy, [2017] B.C.J. No. 2128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Duncan and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21-25, 28-30, December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 2016; February 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S12043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Duncan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2128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1880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2923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285 A.C.W.S. (3d) 417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53 C.B.R. (6th) 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Century Services Corp., Plaintiff, and Cynthia Rebecca Delores LeRoy,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3"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8" w:name="Keywords_16"/>
      <w:bookmarkEnd w:id="108"/>
      <w:r>
        <w:rPr>
          <w:rFonts w:ascii="arial" w:eastAsia="arial" w:hAnsi="arial" w:cs="arial"/>
          <w:b/>
          <w:color w:val="000000"/>
          <w:sz w:val="20"/>
          <w:lang w:val="en-US" w:eastAsia="en-US" w:bidi="ar-SA"/>
        </w:rPr>
        <w:t>Contracts — Misrepresentation — What constitutes — Fraudulent misrepresentation — Action by Century Services for the standard relief to enforce a mortgage dismissed — The mortgage was granted in March 2008 to the defendant LeRoy against her home — LeRoy provided the mortgage and a limited recourse guarantee as security for the indebtedness of Ted LeRoy Trucking (TLT) to Century — TLT's principal was LeRoy's husband and its indebtedness to Century arose under a loan agreement — TLT defaulted on its obligations to Century — LeRoy established a fraudulent misrepresentation that vitiated the guarantee and rendered the mortgage unenforceable.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Mortgages — Mortgage agreement — Validity — Mortgagee's remedies — Foreclosure order — Action by Century Services for the standard relief to enforce a mortgage dismissed — The mortgage was granted in March 2008 to the defendant LeRoy against her home — LeRoy provided the mortgage and a limited recourse guarantee as security for the indebtedness of Ted LeRoy Trucking (TLT) to Century — TLT's principal was LeRoy's husband and its indebtedness to Century arose under a loan agreement — TLT defaulted on its obligations to Century — LeRoy established a fraudulent misrepresentation that vitiated the guarantee and rendered the mortgage unenforceable.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9" w:name="Case Summary_14"/>
            <w:bookmarkEnd w:id="1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Century Services for the standard relief to enforce a mortgage. Century was seeking to foreclose on the mortgage granted in March 2008 to the defendant LeRoy against her home. LeRoy provided the mortgage and a limited recourse guarantee as security for the indebtedness of Ted LeRoy Trucking (TLT) to Century. TLT was a private logging contractor and its principal was LeRoy's husband. TLT's indebtedness to Century arose under a loan agreement, pursuant to which Century advanced the principal amount of $14,000,250. LeRoy's liability was limited to $2,000,000 plus interest. Soon after LeRoy provided the guarantee and mortgage, TLT's financial circumstances worsened. TLT defaulted on its obligations to Century and Century issued demands for payment to TLT and LeRoy. Although Century received significant funds from the realization of TLT's assets, TLT remained indebted to Century for more than $2 million. LeRoy took the position that she was relieved of her obligations under the guarantee and mortgage because she was induced to enter the documents by Century's fraudulent misrepresentation or because of Century's dishonest performance in posting unauthorized charges to TLT's loan account.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0" w:name="Holdings of Court_13"/>
            <w:bookmarkEnd w:id="11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 the time when LeRoy agreed to guarantee TLT's indebtedness, Century represented to her that it intended to conduct itself in accordance with the terms of the TLT Loan Agreement. However, that representation was false. Century was indifferent about whether it complied with the terms of the TLT Loan Agreement and it intended to post charges to the TLT loan account in accordance with its standard practices, irrespective of whether those practices conflicted with the provisions of the TLT Loan Agreement. Century was reckless with respect to the truth of the representation. LeRoy relied on the representation and suffered a loss as a result of entering into the guarantee because it rendered her liable for the shortfall on TLT's loan and exposed her home to foreclosure. LeRoy therefore established a fraudulent misrepresentation that vitiated the guarantee and rendered the mortgage unenforceable.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1" w:name="Legislation Cited_8"/>
      <w:bookmarkEnd w:id="1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4"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282" w:history="1">
        <w:r>
          <w:rPr>
            <w:rFonts w:ascii="arial" w:eastAsia="arial" w:hAnsi="arial" w:cs="arial"/>
            <w:i/>
            <w:color w:val="0077CC"/>
            <w:sz w:val="20"/>
            <w:u w:val="single"/>
            <w:shd w:val="clear" w:color="auto" w:fill="FFFFFF"/>
            <w:lang w:val="en-US" w:eastAsia="en-US" w:bidi="ar-SA"/>
          </w:rPr>
          <w:t>R.S.C. 1985, c. B-3, s. 81.3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Companies' Creditors Arrangement Act, </w:t>
      </w:r>
      <w:hyperlink r:id="rId283"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Timber Harvesting Contract and Subcontract Regulation, </w:t>
      </w:r>
      <w:hyperlink r:id="rId284" w:history="1">
        <w:r>
          <w:rPr>
            <w:rFonts w:ascii="arial" w:eastAsia="arial" w:hAnsi="arial" w:cs="arial"/>
            <w:i/>
            <w:color w:val="0077CC"/>
            <w:sz w:val="20"/>
            <w:u w:val="single"/>
            <w:shd w:val="clear" w:color="auto" w:fill="FFFFFF"/>
            <w:lang w:val="en-US" w:eastAsia="en-US" w:bidi="ar-SA"/>
          </w:rPr>
          <w:t>B.C. Reg. 22/96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Wage Earner Protection Program Act, </w:t>
      </w:r>
      <w:hyperlink r:id="rId285" w:history="1">
        <w:r>
          <w:rPr>
            <w:rFonts w:ascii="arial" w:eastAsia="arial" w:hAnsi="arial" w:cs="arial"/>
            <w:i/>
            <w:color w:val="0077CC"/>
            <w:sz w:val="20"/>
            <w:u w:val="single"/>
            <w:shd w:val="clear" w:color="auto" w:fill="FFFFFF"/>
            <w:lang w:val="en-US" w:eastAsia="en-US" w:bidi="ar-SA"/>
          </w:rPr>
          <w:t>S.C. 2005, c. 47, s. 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2" w:name="Counsel_16"/>
      <w:bookmarkEnd w:id="1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5"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Mary Buttery, Morgan L. Burris.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Andrew G. LaCroix, Steven F. Leichter.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3" w:name="Judgment_16"/>
      <w:bookmarkEnd w:id="113"/>
      <w:r>
        <w:pict>
          <v:line id="_x0000_s1106"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4" w:name="L.A. WARREN J."/>
            <w:bookmarkEnd w:id="114"/>
            <w:r>
              <w:rPr>
                <w:rFonts w:ascii="arial" w:eastAsia="arial" w:hAnsi="arial" w:cs="arial"/>
                <w:b/>
                <w:color w:val="000000"/>
                <w:sz w:val="30"/>
                <w:lang w:val="en-US" w:eastAsia="en-US" w:bidi="ar-SA"/>
              </w:rPr>
              <w:t>L.A.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foreclosure proceeding was commenced by petition in November 2008 and subsequently referred to the trial list by Goepel J. (as he then was), with reasons for judgment indexed as </w:t>
      </w:r>
      <w:r>
        <w:rPr>
          <w:rFonts w:ascii="arial" w:eastAsia="arial" w:hAnsi="arial" w:cs="arial"/>
          <w:i/>
          <w:color w:val="000000"/>
          <w:sz w:val="20"/>
          <w:lang w:val="en-US" w:eastAsia="en-US" w:bidi="ar-SA"/>
        </w:rPr>
        <w:t>Century Services Inc. v. LeRoy</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2010 BCSC 328</w:t>
        </w:r>
      </w:hyperlink>
      <w:r>
        <w:rPr>
          <w:rFonts w:ascii="arial" w:eastAsia="arial" w:hAnsi="arial" w:cs="arial"/>
          <w:color w:val="000000"/>
          <w:sz w:val="20"/>
          <w:lang w:val="en-US" w:eastAsia="en-US" w:bidi="ar-SA"/>
        </w:rPr>
        <w:t>. The initial plaintiff was Century Services Inc. During the trial, I granted an order substituting Century Services Corp. as plaintiff as a result of the acquisition by Century Services Corp. of all the assets of Century Services Inc., including this claim. The entity involved in the matters that gave rise to this dispute was Century Services Inc. and a reference in this judgment to "Century" is a reference to that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seeks to foreclose on a mortgage granted in March 2008 by the defendant, Cynthia Rebecca Delores LeRoy, against her home on Maple Bay Road in Duncan. Ms. LeRoy provided the mortgage, together with a limited recourse guarantee, as security for the indebtedness of Ted LeRoy Trucking Ltd. ("TLT") to Century. The principal of TLT was Ms. LeRoy's husband, Ted LeRoy.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TLT's indebtedness to Century arose under a loan agreement (the "TLT Loan Agreement"), pursuant to which Century advanced the principal amount of $14,250,000. Ms. LeRoy's liability was limited to $2 million plus interest from the date of demand at rates as specified in the TLT Loan Agreement, and costs and expenses payable under the guarantee and mortgage. Century's recourse under the guarantee was limited to realizing on the Maple Bay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TLT defaulted on its obligations to Century. Century issued a demand for payment to TLT, appointed a receiver to realize on the collateral, and issued a demand to Ms. LeRoy under the guarantee. Century eventually received significant funds from the realization of TLT's assets but, even after accounting for those funds, TLT remains indebted to Century for more than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seeks the standard relief to enforce the mortgage including declarations that Ms. LeRoy has defaulted and setting the amount owing; orders setting a one-day redemption period and providing that, if not redeemed, the home be sold, subject to court approval, with the plaintiff having conduct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LeRoy advances two fraud-based defences, each of which she says nullifies the guarantee or, in other words, discharges her from any obligation to Century and renders the mortgage unenforceable. First, she says she was induced to enter into the guarantee as a result of Century's fraudulent misrepresentation that it intended to administer the loan in accordance with the terms of the TLT Loan Agreement. Second, she says that Century performed its obligations under the TLT Loan Agreement in a fraudulent manner so as to entitle her to be discharged of her obligations under the guarantee. Underlying both of these defences is Century's conduct in posting interest and expense charges to TLT's loan account that Ms. LeRoy says were not authorized by the TLT Loan Agreement. She says that this was not inadvertent and did not result from an honest but mistaken interpretation of the TLT Loan Agreement. Rather, she says Century was indifferent to the terms of the TLT Loan Agreement, ignored its provisions, and posted the unauthorized charges in accordance with its standard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alternative to the fraud-based defences, Ms. LeRoy claims that Century negligently realized on some of TLT's assets, for which she pleads the principles of set-off and equitable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LeRoy seeks the dismissal of the claim or, in the alternative, a declaration that her liability is reduced as a result of Century's improvident realization.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not disputed that even if every possible disputed charge was backed out of TLT's loan account and the balance recalculated, there would still be more than $2 million owing. (Century's unchallenged expert evidence established that if every charge except direct cash advances and certain undisputed fees was backed out there would have been more than $4,880,687 owing as of November 9, 2015, the date of the expert report, much of which is accrued interest.) Accordingly, to avoid liability Ms. LeRoy must prove that the guarantee is void and/or that the balance owing by TLT would have been satisfied but for the improvident realization of TLT's assets by Century. Century says she has failed to prove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are very few material facts in dispute. A consolidated statement of admitted facts was entered into evidence by agreement. The following summary draws heavily from that statement and is supplemented by other uncontroversial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TLT was, for many years, one of British Columbia's largest private logging contractors. Its primary business was located on Vancouver Island, where it provided logging services to three main customers: TimberWest Forest Products Ltd. ("TimberWest"); Western Forest Products Inc. ("WFP"); and Island Timberlands GP Ltd. Most of its work was performed pursuant to what are referred to as "Bill 13 Contracts", which are replaceable logging contracts made pursuant to the </w:t>
      </w:r>
      <w:r>
        <w:rPr>
          <w:rFonts w:ascii="arial" w:eastAsia="arial" w:hAnsi="arial" w:cs="arial"/>
          <w:i/>
          <w:color w:val="000000"/>
          <w:sz w:val="20"/>
          <w:lang w:val="en-US" w:eastAsia="en-US" w:bidi="ar-SA"/>
        </w:rPr>
        <w:t>Timber Harvesting Contract and Subcontract Regulation</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B.C. Reg. 22/96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LeRoy was the sole director and shareholder of TLT. Ms. LeRoy was employed by TLT for many years. She had responsibility for accounts receivable and payable, managing the secretarial staff, and running a catering business that supplied food to TLT's camps. However, she did not make significant business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TLT had a long-standing banking relationship with Royal Bank of Canada ("RBC"). However, in September 2007, RBC assigned TLT's account to RBC's Special Loans Division because TLT had encountered a number of problems that attracted RBC's attention. In particular, RBC had determined that TLT was undercapitalized with a debt to capital ratio of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By the end of September 2007, RBC recommended that TLT retain either PricewaterhouseCoopers ("PWC") or KPMG to provide professional advice with respect to a "go forward business plan". TLT complied with that recommendation and retained PWC to prepare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Michael Vermette is a partner with PWC, a chartered accountant, a chartered professional accountant, a chartered insolvency and restructuring professional ("CIRP") and a licensed insolvency trustee. He heads PWC's Corporate Advisory and Restructuring Group in Vancouver and had primary responsibility for PWC's dealings with TLT.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early December 2007, RBC called TLT's loans, which, at the time, stood at approximately $18,000,000. TLT had pledged all of its present and after-acquired property as security for the loans pursuant to a general security agreement with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On December 14, 2007, TLT sought and obtained a stay of proceedings (the "Stay Order") pursuant to the </w:t>
      </w:r>
      <w:r>
        <w:rPr>
          <w:rFonts w:ascii="arial" w:eastAsia="arial" w:hAnsi="arial" w:cs="arial"/>
          <w:i/>
          <w:color w:val="000000"/>
          <w:sz w:val="20"/>
          <w:lang w:val="en-US" w:eastAsia="en-US" w:bidi="ar-SA"/>
        </w:rPr>
        <w:t>Companies' Creditors Arrangement Act</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Pursuant to the Stay Order, PWC was appointed as monitor.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 December 28, 2007, in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 TLT obtained an order permitting it to hire Norman Slavik of Norcon Forestry Ltd. for additional operational management expertise. In about January 2008, TLT hired Mr. Slavik to act as a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January 11, 2008, TLT sought and obtained an extension of the Stay Order to February 15, 2008 to permit it to finalize an operating plan for 2008. PWC supported the extension because it considered that TLT had made progress in addressing RBC's concerns. This included the addition of three professionals to TLT's senior management team (Ray Moore, Marty Eakins and Norman Slavik); efforts to obtain auction proposals from Ritchie Bros. Auctioneers ("Ritchie Bros.") and Maynard's Industries in anticipation of a spring 2008 auction to facilitate permanent reductions to TLT's RBC debt from surplus equipment sales; and ongoing meetings with TLT's three main customers to determine production volumes for 2008 in light of difficult market conditions for the Coastal forest sector, with a view to verifying its 2008 production schedule, preparing and operational analysis based on these volumes and identifying additional surplus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TLT finalized its 2008 operational and financial plans during the week of February 4, 2008. Mr. Vermette and Mr. Slavik travelled from Vancouver to Toronto to present and discuss these plans with RBC on February 7, 2008. However, RBC was not prepared to continue financing TLT in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LeRoy and Ms. LeRoy were both aware that if TLT did not obtain financing to pay out RBC's debt, it would be forced into bankruptcy and liquidated.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Throughout this period, TLT was investigating alternative financing options. By February 12, 2008, it anticipated obtaining bridge financing from Century to permit it to substantially pay out RBC's debt and complete its operational and financial restructuring. By about February 13, 2008, TLT had paid Century a due diligence fee of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March 14, 2008, TLT and Century reached an agreement in principle that would allow TLT to replace RBC with Century as TLT's primary lender.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March 27, 2008, Century and TLT entered into the TLT Loan Agreement pursuant to which Century advanced $14,250,000 to RBC to acquire TLT's indebtedness to RBC and an assignment of the security held by RBC in respect of that indebtedness.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was a condition of Century's loan to TLT that Ms. LeRoy provide the guarantee and the mortgage over the Maple Bay home, which was then unencumbered. The guarantee was entered into by Ms. LeRoy as of March 27, 2008, and the mortgage was granted on March 28, 2008. Ms. LeRoy received independent legal advice in connection with the guarantee and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TLT Loan Agreement defined the "Loan" as the sum of the principal of $14,250,000 and the commitment fee of $725,000, and provided for interest of 24% per annum payable on the Loan. It was a term of the TLT Loan Agreement that TLT would pay "all reasonable out-of-pocket costs and expenses" of Century incurred in relation to the loan and security. The TLT Loan Agreement also provided that upon the occurrence of an event of default (including TLT's assignment into bankruptcy), all obligations shall at Century's option become due and payable, the security, including the mortgage, shall become immediately enforceable, and a "success fee" in the amount of $435,000 shall become due and payable by TLT.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Pursuant to the guarantee, Ms. LeRoy agreed that if an event of default occurred under the TLT Loan Agreement, which was not waived by Century, she "as a primary obligor and not merely as surety shall forthwith, on demand pay to Century the full amount of [TLT's indebtedness to Century]". However, the guarantee also provided that Ms. LeRoy's liability under the guarantee was limited to $2 million together with interest from the date of demand for payment at the rate specified in the TLT Loan Agreement in effect from time to time and all costs and expenses payable under the guarantee and the mortgage, and that Century's sole recourse against Ms. LeRoy was limited to realization on the Maple Bay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Pursuant to the mortgage, Ms. LeRoy mortgaged her interest in the Maple Bay home, limited to the principal amount of $2,000,000, plus interest at the rate of 24% per annum from the date of demand and all costs, charges and expenses incurred by Century in the enforcement of the mortgage. The mortgage provides that it is payable on demand and is security for all present and future indebtedness and liability of Ms. LeRoy to Century under the guarantee and all costs, expenses and other monies payable to Century under the guarantee, whether or not referred to in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Unfortunately, soon after TLT entered into the TLT Loan Agreement and Ms. LeRoy provided the guarantee and mortgage, TLT's financial circumstances worsened. In particular, WFP and TimberWest temporarily suspended substantially all of their Vancouver Island operations, which had a significant impact on TLT's cash flow. Fuel costs were also higher than forecast and poor weather in April 2008 reduced productivity and revenues. TLT's South Island operations remained unprofitable. TLT's insurer denied its claim relating to the sinking of a barge, in 2007, with hundreds of thousands of dollars' worth of logging equipment on board. The insurer's position was that the barge was unseaworthy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On May 31, 2008, TLT defaulted under the TLT Loan Agreement by failing to make its first payment. Nevertheless, in a report to the Court in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 dated June 13, 2008, PWC advised that:</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believed that it would still be possible for TLT to maintain its operating strategy and achieve a cash-flow positive forecast of $1.2 million over the balance of 2008 if there were no further material adverse events;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for TLT to focus on achieving this forecast, PWC and TLT had agreed that changes were required to TLT's organization structure and management team;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effective June 12, 2008, TLT had made the following management changes: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Slavik became the Chief Restructuring Officer;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LeRoy would redirect his entire efforts to the North Island operations;</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Moore would continue to fulfill the role of senior financial manager;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TLT had reduced its head office staff by five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reduction in head office staff included the termination of Ms. LeRoy's employment with TLT and the termination of the employment of Jason LeRoy, the son of Mr. LeRoy and Ms. LeRoy.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Unfortunately, things got worse for TLT. By early July 2008, TLT's cash losses from March through June began to limit its ability to operate in the normal course. TLT expected that by the week of July 4, 2008, it would become difficult to meet its obligations. It embarked upon a full-scale liquidation and developed a plan to conduct an orderly windup of virtually all of its operations to repay the Century debt. Among other things, the plan contemplated the sale of TLT's tools and equipment, primarily by public auction, and the sale of TLT's Bill 13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TLT entered into an agreement with Ritchie Bros. dated July 30, 2008 (the "Auction Contract") for the sale by auction of most of its equipment. Pursuant to the Auction Contract, Ritchie Bros. agreed to offer the equipment for sale at unreserved public auction on or about September 22, 2008, and to guarantee minimum gross proceeds of $9,312,000. Subsequently, some equipment originally intended to be sold at the auction was removed from the Auction Contract to be sold separately and, ultimately, the Auction Contract was revised to reduce the minimum guaranteed gross proceeds to $7,234,650.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July 2008, TLT also began trying to sell its Bill 13 Contracts and related assets. Specifically:</w:t>
      </w:r>
      <w:r>
        <w:rPr>
          <w:rFonts w:ascii="arial" w:eastAsia="arial" w:hAnsi="arial" w:cs="arial"/>
          <w:sz w:val="20"/>
          <w:lang w:val="en-US" w:eastAsia="en-US" w:bidi="ar-SA"/>
        </w:rPr>
        <w:cr/>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advertised the sale of its Bill 13 Contracts in industry publications;</w:t>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LeRoy contacted Ron Coulson, Donald Hayes and Pat Young to canvas their potential interest in purchasing TLT's Bill 13 Contract with TimberWest for the Johnston Straits;</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LeRoy communicated with Lyle Newton regarding his potential interest in purchasing TLT's Bill 13 Contract with WFP for the North Island;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Slavik communicated with Ted Arkell regarding his potential interest in purchasing TLT's Bill 13 Contract with WFP for the North Island;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Slavik, Mr. LeRoy and Tammy Kemp, who was then Century's Director of Risk and Compliance, communicated with Roga Contracting regarding its potential interest in purchasing TLT's Bill 13 Contract with WFP for the North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By August 5, 2008, TLT reached an agreement with TimberWest, which included:</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TimberWest would purchase the Bill 13 Contract related to Johnston Straits from TLT for $3 million (based on a purchase price of $7.50 per m3);</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TimberWest would discharge its claim to a set-off of $750,000 against TLT's assets in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TLT would agree to terminate some other contracts with TimberWest;</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TimberWest would transfer an existing contract related to the Shoal Island Dryland Sort from TLT to a new company to be controlled by Ms. LeRoy;</w:t>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TimberWest would pay $150,000 to TLT; and</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TimberWest would make a payment in excess of $500,000 to be used to pay employee obligations of TLT relating to work done for TimberWest.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On September 3, 2008, TLT applied for and obtained an order in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 permitting it to assign itself into bankruptcy, authorizing the sale of its equipment by Ritchie Bros. at the auction, and authorizing the sale of the Johnston Straits Bill 13 Contract to TimberWest. As of that date, TLT had not received any offers to purchase that Bill 13 Contract for a higher price than reflected in the August 5, 2008 agreement with TimberWest.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noted, TLT's assignment into bankruptcy was an event of default under the TLT Loan Agreement. Century immediately issued to TLT a demand for payment, a notice of its intention to enforce its security, and notice of the appointment of PWC as receiver. TLT failed to pay in response to Century's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Century appointed PWC as receiver and agent of TLT to realize on the collateral pledged as security for the Loan Agreement. PWC then finalized the liquidation of TLT's remaining assets, which included the equipment sold at the auction, the WFP Bill 13 Contracts, and TLT's head office property located in Chemainus.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Ritchie Bros. conducted the TLT auction on Monday, September 22, 2008. The equipment to be sold was made available for preview commencing on August 22, 2008. Ritchie Bros. undertook an advertising campaign, and its sales representative ensured its customers were aware of the auction. However, TLT takes issue with the manner in which the equipment was organized and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gross proceeds of the auction were $9,081,225, which exceeded the guaranteed minimum. After accounting for the costs incurred by Ritchie Bros. and the commission due to Ritchie Bros., the net proceeds generated by the auction were about $7,280,000.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November 26, 2008, PWC sought and obtained an order approving the sale of the WFP Bill 13 Contracts to 0836793 B.C. Ltd. and Strathcona Contracting Ltd. for the total amount of $627,760.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December 3, 2008, PWC sought and obtained an order approving the sale of TLT's head office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meantime, on September 23, 2008, Century issued to Ms. LeRoy demand for payment in the amount of $2 million as at that date together with accruing interest and costs, and a notice of its intention to enforce its security, being the mortgage on the Maple Bay home. Ms. LeRoy failed or refused to pay in response to Century's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Century commenced these foreclosure proceedings on November 12, 2008. On May 13, 2009, a master granted an </w:t>
      </w:r>
      <w:r>
        <w:rPr>
          <w:rFonts w:ascii="arial" w:eastAsia="arial" w:hAnsi="arial" w:cs="arial"/>
          <w:i/>
          <w:color w:val="000000"/>
          <w:sz w:val="20"/>
          <w:lang w:val="en-US" w:eastAsia="en-US" w:bidi="ar-SA"/>
        </w:rPr>
        <w:t>order nisi</w:t>
      </w:r>
      <w:r>
        <w:rPr>
          <w:rFonts w:ascii="arial" w:eastAsia="arial" w:hAnsi="arial" w:cs="arial"/>
          <w:color w:val="000000"/>
          <w:sz w:val="20"/>
          <w:lang w:val="en-US" w:eastAsia="en-US" w:bidi="ar-SA"/>
        </w:rPr>
        <w:t xml:space="preserve"> (the "May 13 Order"). The May 13 Order did not definitively determine the amount necessary to redeem, although it did set November 13, 2009 as the last date for redemption. At the hearing before the master, counsel advised that the parties were not in agreement as to the amount owing, as Ms. LeRoy had a possible claim against Century that could impact on the redemption amount. The master was asked to set a redemption amount that, by its terms, would be subject to further order of the court. The master ultimately acceded to the parties' request and granted the order in the terms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January 2010, the time for redemption having expired, Century applied, before Justice Goepel, for an order for sale, among other things. Ms. LeRoy claimed that as a result of Century's negligent realization of its equipment at the auction, the amount owing was less than that claimed by Century. She applied for an order that the petition be referred to the trial list to determine the amount owing. Justice Goepel concluded, among other things, that Ms. LeRoy had raised a triable issue as to the amount owing and that this issue could not be determined summarily. He set aside the May 13 Order and referred the matter to the trial list to determine the redemption amount and the last date for redemption.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LeRoy's claim subsequently expanded. The negligent realization aspect of it now extends beyond the equipment auction to include the sale of the Bill 13 Contracts. In addition, through the discovery process she learned about the posting of what she says are unauthorized charges and, as a result, she now advances the fraud-based defences that she says nullify the guarantee and render the mortgage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mortgagee, Century must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entitlement to an </w:t>
      </w:r>
      <w:r>
        <w:rPr>
          <w:rFonts w:ascii="arial" w:eastAsia="arial" w:hAnsi="arial" w:cs="arial"/>
          <w:i/>
          <w:color w:val="000000"/>
          <w:sz w:val="20"/>
          <w:lang w:val="en-US" w:eastAsia="en-US" w:bidi="ar-SA"/>
        </w:rPr>
        <w:t>order nisi</w:t>
      </w:r>
      <w:r>
        <w:rPr>
          <w:rFonts w:ascii="arial" w:eastAsia="arial" w:hAnsi="arial" w:cs="arial"/>
          <w:color w:val="000000"/>
          <w:sz w:val="20"/>
          <w:lang w:val="en-US" w:eastAsia="en-US" w:bidi="ar-SA"/>
        </w:rPr>
        <w:t xml:space="preserve"> of foreclosure. As mortgagor, Ms. LeRoy then bears the burden of proving any defences to displace Century's entitlement. Walter Traub puts it this way in </w:t>
      </w:r>
      <w:r>
        <w:rPr>
          <w:rFonts w:ascii="arial" w:eastAsia="arial" w:hAnsi="arial" w:cs="arial"/>
          <w:i/>
          <w:color w:val="000000"/>
          <w:sz w:val="20"/>
          <w:lang w:val="en-US" w:eastAsia="en-US" w:bidi="ar-SA"/>
        </w:rPr>
        <w:t>Falconbridge on Mortgages</w:t>
      </w:r>
      <w:r>
        <w:rPr>
          <w:rFonts w:ascii="arial" w:eastAsia="arial" w:hAnsi="arial" w:cs="arial"/>
          <w:color w:val="000000"/>
          <w:sz w:val="20"/>
          <w:lang w:val="en-US" w:eastAsia="en-US" w:bidi="ar-SA"/>
        </w:rPr>
        <w:t>, loose-leaf 5th ed. (Toronto, Ont: Thompson Reuters Canada, 2016), ch. 26 at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of a mortgagee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proved in the master's office by the production of the duplicate mortgage or a certified copy thereof, and the filing of an affidavit verifying the mortgagee's claim and stating the amount due for moneys advanced to the mortgagor and secured by the mortgage; the onus of reducing the amount rests 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respect to defences, Mr. Traub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Basic defences in a foreclosure action include: (i) no monies owing; (ii) no default; (iii) no right of foreclosure for the particular default; (iv) set off; (v) agreement not to foreclose (known as forbearance); (vi) unconscionable mortgage; (vii) breach of the </w:t>
      </w:r>
      <w:r>
        <w:rPr>
          <w:rFonts w:ascii="arial" w:eastAsia="arial" w:hAnsi="arial" w:cs="arial"/>
          <w:i/>
          <w:color w:val="000000"/>
          <w:sz w:val="20"/>
          <w:lang w:val="en-US" w:eastAsia="en-US" w:bidi="ar-SA"/>
        </w:rPr>
        <w:t>Interest Act</w:t>
      </w:r>
      <w:r>
        <w:rPr>
          <w:rFonts w:ascii="arial" w:eastAsia="arial" w:hAnsi="arial" w:cs="arial"/>
          <w:color w:val="000000"/>
          <w:sz w:val="20"/>
          <w:lang w:val="en-US" w:eastAsia="en-US" w:bidi="ar-SA"/>
        </w:rPr>
        <w:t xml:space="preserve">, R.S.C. 1985, c. l-15; (viii)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(ix) void mortgage; (x) limitation period; and (xi) failure to comply with the preconditions found in the </w:t>
      </w:r>
      <w:r>
        <w:rPr>
          <w:rFonts w:ascii="arial" w:eastAsia="arial" w:hAnsi="arial" w:cs="arial"/>
          <w:i/>
          <w:color w:val="000000"/>
          <w:sz w:val="20"/>
          <w:lang w:val="en-US" w:eastAsia="en-US" w:bidi="ar-SA"/>
        </w:rPr>
        <w:t>Farm Debt Mediation Act</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S.C. 1997, c.21</w:t>
        </w:r>
      </w:hyperlink>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this case there is no issue with respect to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enforceability of the guarantee and the mortgage. The documents were executed, the funds were advanced, and Ms. LeRoy had independent legal advice. Rather, Ms. LeRoy raises the defences of no money owing and set-off. She says she is relieved of her obligations under the guarantee and mortgage because she was induced to enter into the documents by Century's fraudulent misrepresentation or because of Century's dishonest performance in posting the unauthorized charges to TLT's loan account. Alternatively, she says that the sale of TLT's assets was conducted improvidently and this resulted in losses sufficient to set-off or significantly reduce the amount owing under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issues that arose at the trial are:</w:t>
      </w:r>
      <w:r>
        <w:rPr>
          <w:rFonts w:ascii="arial" w:eastAsia="arial" w:hAnsi="arial" w:cs="arial"/>
          <w:sz w:val="20"/>
          <w:lang w:val="en-US" w:eastAsia="en-US" w:bidi="ar-SA"/>
        </w:rPr>
        <w:cr/>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Ms. LeRoy entitled to rescission of the guarantee and mortgage because of a fraudulent misrepresentation by Century that induced her to enter into the guarantee or because of Century's dishonest performance in posting unauthorized charges to TLT's loan account?</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guarantee and mortgage are enforceable, how much does Ms. LeRoy owe Century? Specifically, was Century improvident in realizing on TLT's assets and, if so, do the principles of set-off and equitable set-off apply to reduce Ms. LeRoy's obligations?</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guarantee and mortgage are enforceable, what is the appropriate redemption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Because of the conclusion I have reached on the first issue, it is not necessary to deal with the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As discussed in more detail below, it is clear from the Supreme Court of Canada's decision in </w:t>
      </w:r>
      <w:r>
        <w:rPr>
          <w:rFonts w:ascii="arial" w:eastAsia="arial" w:hAnsi="arial" w:cs="arial"/>
          <w:i/>
          <w:color w:val="000000"/>
          <w:sz w:val="20"/>
          <w:lang w:val="en-US" w:eastAsia="en-US" w:bidi="ar-SA"/>
        </w:rPr>
        <w:t>Pax Management Ltd. v. Canadian Imperial Bank of Commerce</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[1992] 2 S.C.R. 998</w:t>
        </w:r>
      </w:hyperlink>
      <w:r>
        <w:rPr>
          <w:rFonts w:ascii="arial" w:eastAsia="arial" w:hAnsi="arial" w:cs="arial"/>
          <w:color w:val="000000"/>
          <w:sz w:val="20"/>
          <w:lang w:val="en-US" w:eastAsia="en-US" w:bidi="ar-SA"/>
        </w:rPr>
        <w:t>, that there is a fundamental difference between the effect on the validity of a guarantee of a misrepresentation made at the time of the formation of the guarantee contract and the effect on the validity of a guarantee of subsequent misconduct by the creditor. Where a creditor has knowingly made a misrepresentation at the time of formation of the guarantee the fundamental question is whether the misrepresentation induced the guarantor to provide the guarantee. If so, the guarantee will be vitiated. Where the courts have vitiated guarantees as a result of the creditor's performance of the underlying loan agreement (as opposed to misrepresentation at the time of contracting), the misconduct has materially increased the risk of the guarantor being called upon to pay. I will deal first with misrepresentation and then subsequent misconduct.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Supreme Court of Canada described the requisite elements for the tort of civil fraud in </w:t>
      </w:r>
      <w:r>
        <w:rPr>
          <w:rFonts w:ascii="arial" w:eastAsia="arial" w:hAnsi="arial" w:cs="arial"/>
          <w:i/>
          <w:color w:val="000000"/>
          <w:sz w:val="20"/>
          <w:lang w:val="en-US" w:eastAsia="en-US" w:bidi="ar-SA"/>
        </w:rPr>
        <w:t>Bruno Appliance and Furniture, Inc. v. Hryniak</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2014 SCC 8</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(1) a false representation made by the defendant; (2) some level of knowledge of the falsehood of the representation on the part of the defendant (whether through knowledge or recklessness); (3) the false representation caused the plaintiff to act; and (4) the plaintiff's actions resulted in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burden is on the plaintiff to prove these elements on a balance of probabilities, "having due regard to the seriousness of the allegations made": </w:t>
      </w:r>
      <w:r>
        <w:rPr>
          <w:rFonts w:ascii="arial" w:eastAsia="arial" w:hAnsi="arial" w:cs="arial"/>
          <w:i/>
          <w:color w:val="000000"/>
          <w:sz w:val="20"/>
          <w:lang w:val="en-US" w:eastAsia="en-US" w:bidi="ar-SA"/>
        </w:rPr>
        <w:t>Wellesley Lake Trophy Lodge Inc. v. BLD Silviculture Ltd.</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2006 BCCA 328</w:t>
        </w:r>
      </w:hyperlink>
      <w:r>
        <w:rPr>
          <w:rFonts w:ascii="arial" w:eastAsia="arial" w:hAnsi="arial" w:cs="arial"/>
          <w:color w:val="000000"/>
          <w:sz w:val="20"/>
          <w:lang w:val="en-US" w:eastAsia="en-US" w:bidi="ar-SA"/>
        </w:rPr>
        <w:t xml:space="preserve"> at para. 10. Put another way, there must be evidence that provides "clear and convincing proof of the elements of fraud, including the mental element": </w:t>
      </w:r>
      <w:r>
        <w:rPr>
          <w:rFonts w:ascii="arial" w:eastAsia="arial" w:hAnsi="arial" w:cs="arial"/>
          <w:i/>
          <w:color w:val="000000"/>
          <w:sz w:val="20"/>
          <w:lang w:val="en-US" w:eastAsia="en-US" w:bidi="ar-SA"/>
        </w:rPr>
        <w:t>Anderson v. British Columbia (Securities Commission)</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2004 BCCA 7</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Having said that, if a false representation is reckless, it is not necessary that there be an intention to deceive, just a wanton disregard as to whether it will deceive: </w:t>
      </w:r>
      <w:r>
        <w:rPr>
          <w:rFonts w:ascii="arial" w:eastAsia="arial" w:hAnsi="arial" w:cs="arial"/>
          <w:i/>
          <w:color w:val="000000"/>
          <w:sz w:val="20"/>
          <w:lang w:val="en-US" w:eastAsia="en-US" w:bidi="ar-SA"/>
        </w:rPr>
        <w:t>Century Services Inc. v. LeRoy</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2014 BCSC 702</w:t>
        </w:r>
      </w:hyperlink>
      <w:r>
        <w:rPr>
          <w:rFonts w:ascii="arial" w:eastAsia="arial" w:hAnsi="arial" w:cs="arial"/>
          <w:color w:val="000000"/>
          <w:sz w:val="20"/>
          <w:lang w:val="en-US" w:eastAsia="en-US" w:bidi="ar-SA"/>
        </w:rPr>
        <w:t xml:space="preserve"> at para. 57, citing </w:t>
      </w:r>
      <w:r>
        <w:rPr>
          <w:rFonts w:ascii="arial" w:eastAsia="arial" w:hAnsi="arial" w:cs="arial"/>
          <w:i/>
          <w:color w:val="000000"/>
          <w:sz w:val="20"/>
          <w:lang w:val="en-US" w:eastAsia="en-US" w:bidi="ar-SA"/>
        </w:rPr>
        <w:t>WS Leasing Ltd. v. Platinum Equipment Ltd.</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2012 BCSC 558</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Further, while reliance must be proved as a matter of fact, where a false representation is "one which was calculated or which would naturally tend to induce" the other party to act on it, reliance may be inferred, and the onus then shifts to the representor to rebut the inference: </w:t>
      </w:r>
      <w:r>
        <w:rPr>
          <w:rFonts w:ascii="arial" w:eastAsia="arial" w:hAnsi="arial" w:cs="arial"/>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(1997), 89 B.C.A.C. 288</w:t>
        </w:r>
      </w:hyperlink>
      <w:r>
        <w:rPr>
          <w:rFonts w:ascii="arial" w:eastAsia="arial" w:hAnsi="arial" w:cs="arial"/>
          <w:color w:val="000000"/>
          <w:sz w:val="20"/>
          <w:lang w:val="en-US" w:eastAsia="en-US" w:bidi="ar-SA"/>
        </w:rPr>
        <w:t xml:space="preserve"> at paras. 98-103. The Court of Appeal has recently said that in such cases, the party to whom the representation was made must establish that the misrepresentation is at least one factor that induced it to act to its detriment and that "its reliance was objectively reasonable" (</w:t>
      </w:r>
      <w:r>
        <w:rPr>
          <w:rFonts w:ascii="arial" w:eastAsia="arial" w:hAnsi="arial" w:cs="arial"/>
          <w:i/>
          <w:color w:val="000000"/>
          <w:sz w:val="20"/>
          <w:lang w:val="en-US" w:eastAsia="en-US" w:bidi="ar-SA"/>
        </w:rPr>
        <w:t>Soprema Inc. v. Wolridge Mahon LLP</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2016 BCCA 471</w:t>
        </w:r>
      </w:hyperlink>
      <w:r>
        <w:rPr>
          <w:rFonts w:ascii="arial" w:eastAsia="arial" w:hAnsi="arial" w:cs="arial"/>
          <w:color w:val="000000"/>
          <w:sz w:val="20"/>
          <w:lang w:val="en-US" w:eastAsia="en-US" w:bidi="ar-SA"/>
        </w:rPr>
        <w:t xml:space="preserve"> at para. 17), which is another way of saying that the representation was one that "would naturally tend to induce".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To be actionable, an alleged misrepresentation must pertain to a matter of present or past fact; a representation as to future conduct, which may create a collateral contract the breach of which could found a claim in damages, is insufficient: </w:t>
      </w:r>
      <w:r>
        <w:rPr>
          <w:rFonts w:ascii="arial" w:eastAsia="arial" w:hAnsi="arial" w:cs="arial"/>
          <w:i/>
          <w:color w:val="000000"/>
          <w:sz w:val="20"/>
          <w:lang w:val="en-US" w:eastAsia="en-US" w:bidi="ar-SA"/>
        </w:rPr>
        <w:t>PD Management Ltd. v. Chemposite Inc.</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2006 BCCA 489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MacMillan v. Kaiser Equipment Ltd.</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2003 BCSC 672</w:t>
        </w:r>
      </w:hyperlink>
      <w:r>
        <w:rPr>
          <w:rFonts w:ascii="arial" w:eastAsia="arial" w:hAnsi="arial" w:cs="arial"/>
          <w:color w:val="000000"/>
          <w:sz w:val="20"/>
          <w:lang w:val="en-US" w:eastAsia="en-US" w:bidi="ar-SA"/>
        </w:rPr>
        <w:t xml:space="preserve"> at para.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However, a representation as to an existing intention is itself a present fact that is capable of grounding an action for fraudulent misrepresentation, although proving that the representor did not have the stated intention at the time the representation was made may be difficult. The distinction is explained well by Hollingsworth J. in </w:t>
      </w:r>
      <w:r>
        <w:rPr>
          <w:rFonts w:ascii="arial" w:eastAsia="arial" w:hAnsi="arial" w:cs="arial"/>
          <w:i/>
          <w:color w:val="000000"/>
          <w:sz w:val="20"/>
          <w:lang w:val="en-US" w:eastAsia="en-US" w:bidi="ar-SA"/>
        </w:rPr>
        <w:t>Datile Financial Corp. v. Royal Trust Corp. of Canada</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[1991] O.J. No. 1859</w:t>
        </w:r>
      </w:hyperlink>
      <w:r>
        <w:rPr>
          <w:rFonts w:ascii="arial" w:eastAsia="arial" w:hAnsi="arial" w:cs="arial"/>
          <w:color w:val="000000"/>
          <w:sz w:val="20"/>
          <w:lang w:val="en-US" w:eastAsia="en-US" w:bidi="ar-SA"/>
        </w:rPr>
        <w:t xml:space="preserve"> at para. 42 (Ont.S.C.), rev'd on different grounds </w:t>
      </w:r>
      <w:hyperlink r:id="rId300" w:history="1">
        <w:r>
          <w:rPr>
            <w:rFonts w:ascii="arial" w:eastAsia="arial" w:hAnsi="arial" w:cs="arial"/>
            <w:i/>
            <w:color w:val="0077CC"/>
            <w:sz w:val="20"/>
            <w:u w:val="single"/>
            <w:shd w:val="clear" w:color="auto" w:fill="FFFFFF"/>
            <w:lang w:val="en-US" w:eastAsia="en-US" w:bidi="ar-SA"/>
          </w:rPr>
          <w:t>[1992] O.J. No. 3680</w:t>
        </w:r>
      </w:hyperlink>
      <w:r>
        <w:rPr>
          <w:rFonts w:ascii="arial" w:eastAsia="arial" w:hAnsi="arial" w:cs="arial"/>
          <w:color w:val="000000"/>
          <w:sz w:val="20"/>
          <w:lang w:val="en-US" w:eastAsia="en-US" w:bidi="ar-SA"/>
        </w:rPr>
        <w:t xml:space="preserve"> (Ont.C.A.):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this juncture, the second issue is to determine whether these representations are actionable as misrepresentations. As stated above, representations as to the future are not actionable. </w:t>
      </w:r>
      <w:r>
        <w:rPr>
          <w:rFonts w:ascii="arial" w:eastAsia="arial" w:hAnsi="arial" w:cs="arial"/>
          <w:i/>
          <w:color w:val="000000"/>
          <w:sz w:val="20"/>
          <w:lang w:val="en-US" w:eastAsia="en-US" w:bidi="ar-SA"/>
        </w:rPr>
        <w:t>Halsbury's Laws of England, supra</w:t>
      </w:r>
      <w:r>
        <w:rPr>
          <w:rFonts w:ascii="arial" w:eastAsia="arial" w:hAnsi="arial" w:cs="arial"/>
          <w:color w:val="000000"/>
          <w:sz w:val="20"/>
          <w:lang w:val="en-US" w:eastAsia="en-US" w:bidi="ar-SA"/>
        </w:rPr>
        <w:t>, provides an accurate statement of the law on this point at page 618: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statement of intention is not a representation as to the matter said to be intended, because that belongs to the future and is not a matter of present or past fact. On the other hand, a statement of intention involves a representation as to the existence of the intention which is itself a present fact. However, the difficulty of proving the non existence of the intention diminishes the value of such representations. The mere circumstance of the expressed intention if not fulfilled does not by itself establish the non existence of the intention at the time when it was expressed, although the non fulfilment of the intention may be some evidence, strong or weak according to the circumstances of the individual case, that the intention never existed at all.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promise that something will or will not be done or occur in the future is in itself not a statement of a matter of present or past fact and therefore not a representation. However, it may happen that language which contains promissory expressions can be shown, nevertheless, to have been intended as a statement of an existing intention. Conversely, although a party used words expressive of intention, it may be apparent from other expressions or the surrounding circumstances, that what he really meant, and the other party understood to be conveyed, was a promise or offer and nothing else (emphasis mine).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above, it is clear that no action will lie for misrepresentation unless it is a statement of an existing fact. Put another way, only representations of fact can give rise to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the other hand, representations as to future occurrences do not form a ground for legal relief as negligent misrepresentation unless they import by implication a misstatement of an existing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It is necessary to start by clearly identifying the specific representation Ms. LeRoy relies upon as the foundation of this defence. As stated by Justice McIntyre for the court in </w:t>
      </w:r>
      <w:r>
        <w:rPr>
          <w:rFonts w:ascii="arial" w:eastAsia="arial" w:hAnsi="arial" w:cs="arial"/>
          <w:i/>
          <w:color w:val="000000"/>
          <w:sz w:val="20"/>
          <w:lang w:val="en-US" w:eastAsia="en-US" w:bidi="ar-SA"/>
        </w:rPr>
        <w:t>Bauer v. Bank of Montreal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[1980] 2 S.C.R. 102</w:t>
        </w:r>
      </w:hyperlink>
      <w:r>
        <w:rPr>
          <w:rFonts w:ascii="arial" w:eastAsia="arial" w:hAnsi="arial" w:cs="arial"/>
          <w:color w:val="000000"/>
          <w:sz w:val="20"/>
          <w:lang w:val="en-US" w:eastAsia="en-US" w:bidi="ar-SA"/>
        </w:rPr>
        <w:t xml:space="preserve"> at 111: "In each case there is a clear finding of a specific misrepresentation which led to the formation of the contract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Part 1 of Ms. LeRoy's Amended Response to Civil Claim describes the representation in paragraph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spring of 2008, prior to entering into the Guarantee Contract with the Defendant, the plaintiff forwarded a copy of the Guarantee and Loan Agreement to the Defendant and represented to her that if she entered into the Guarantee, her liability, if any, would be limited,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to amounts payable pursuant to the Loan Agreement (the "Representation").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her written argument at trial, Ms. LeRoy characterized the representation in slightly different terms, focussing not only on Ms. LeRoy's liability but also on Century's performance. Paragraph 23 of her written submission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fraudulent misrepresentation defence, the defendant says the following:</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Century made a representation which was false. At the time the defendant entered into the guarantee contract Century represented to the defendant that her obligations, ergo its performance of the contract, would flow from the obligations in the loan agreement.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Similarly, in oral argument, Ms. LeRoy's counsel characterized the representation in these terms: Century "will perform the loan agreement according to its terms and you, guarantor, will be liable, if at all, based on those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written argument characterized the representation in similar terms at paragraph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LeRoy claims that Century misrepresented the terms of the Guarantee by representing (in the terms of the Guarantee document) that her obligations would be defined by the TLT Loan Agreement, when Century did not in fact intend to comply with the TLT Loan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LeRoy acknowledged that she had no communications with anyone from Century regarding the terms of the TLT Loan Agreement, the guarantee or the mortgage; she admitted she did not read the documents before executing the guarantee and the mortgage; and she said she relied on her husband to read the documents. Mr. LeRoy did not testify about discussing the terms of the TLT Loan Agreement with anyone from Century, but he did read it. In the circumstances, any representation arose by implication from Century's conduct in proffering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clear from the foregoing that both parties understood that Ms. LeRoy's theory is that Century's act of proffering the TLT Loan Agreement and the guarantee gave rise to a representation, by implication, that Ms. LeRoy's liability would be limited to amounts payable by TLT under the TLT Loan Agreement or, in other words, that Century intended to administer the loan in accordance with the terms of the TLT Loan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Nevertheless, the plaintiff submits that there is no evidence of any misrepresentation which "could have caused Ms. LeRoy to misunderstand the nature or effect of either the Guarantee or the TLT Loan Agreement". This misses the point. Ms. LeRoy does not claim to have misunderstood the nature or effect of the documents. The plaintiff also submits that an allegation that Century failed to disclose its billing practice cannot ground the defence because "as a general rule, mere silence cannot form the basis for a misrepresentation". This too misses the point. Ms. LeRoy relies on an affirmative representation, albeit one that arises by implication; that is, Century intended to administer the loan in accordance with the TLT Loan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Again, to ground a claim of fraudulent misrepresentation giving rise to rescission, an alleged misrepresentation must pertain to a matter of present or past fact. It is not enough to find that by proffering the documents Century represented that it would in the future administer the loan in accordance with the TLT Loan Agreement. The question is whether, by proffering the documents, Century represented that, at the time of contracting, it had the intention of administering the loan in accordance with the TLT Loan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have no difficulty concluding that a stated willingness to enter into a particular contract amounts to a representation, by implication, of an existing intention to comply with the contract. Of course, after the contract is entered into a contracting party may breach the contract and face the consequences of doing so, and there is always the possibility of disputes over the interpretation of the contract. However, the focus here is on the parties' intentions at the time they agreed to enter into the contract. At that time, they impliedly, if not expressly, represented to each other an existing intention to fulfill the obligations imposed on them by the contract. This is fundamental and consistent with the "basic level of honest conduct" that the Supreme Court of Canada recognized in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2014 SCC 71</w:t>
        </w:r>
      </w:hyperlink>
      <w:r>
        <w:rPr>
          <w:rFonts w:ascii="arial" w:eastAsia="arial" w:hAnsi="arial" w:cs="arial"/>
          <w:color w:val="000000"/>
          <w:sz w:val="20"/>
          <w:lang w:val="en-US" w:eastAsia="en-US" w:bidi="ar-SA"/>
        </w:rPr>
        <w:t xml:space="preserve"> at paras. 59-62, as "necessary to the proper functioning of commerce". For these reasons, I find that Century's act of proffering the TLT Loan Agreement and the guarantee to Ms. LeRoy gave rise to a representation, by implication, that Century intended to administer the loan in accordance with the terms of the TLT Loan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It is more difficult to determine whether Ms. LeRoy has established that Century's representation was false or, in other words, that Century did not have the intention of administering the loan in accordance with the terms of the TLT Loan Agreement at the time it proffered the documents to her. As observed in the passage from </w:t>
      </w:r>
      <w:r>
        <w:rPr>
          <w:rFonts w:ascii="arial" w:eastAsia="arial" w:hAnsi="arial" w:cs="arial"/>
          <w:i/>
          <w:color w:val="000000"/>
          <w:sz w:val="20"/>
          <w:lang w:val="en-US" w:eastAsia="en-US" w:bidi="ar-SA"/>
        </w:rPr>
        <w:t>Halsbury's</w:t>
      </w:r>
      <w:r>
        <w:rPr>
          <w:rFonts w:ascii="arial" w:eastAsia="arial" w:hAnsi="arial" w:cs="arial"/>
          <w:color w:val="000000"/>
          <w:sz w:val="20"/>
          <w:lang w:val="en-US" w:eastAsia="en-US" w:bidi="ar-SA"/>
        </w:rPr>
        <w:t xml:space="preserve"> quoted by Hollingsworth J. in </w:t>
      </w:r>
      <w:r>
        <w:rPr>
          <w:rFonts w:ascii="arial" w:eastAsia="arial" w:hAnsi="arial" w:cs="arial"/>
          <w:i/>
          <w:color w:val="000000"/>
          <w:sz w:val="20"/>
          <w:lang w:val="en-US" w:eastAsia="en-US" w:bidi="ar-SA"/>
        </w:rPr>
        <w:t>Datile</w:t>
      </w:r>
      <w:r>
        <w:rPr>
          <w:rFonts w:ascii="arial" w:eastAsia="arial" w:hAnsi="arial" w:cs="arial"/>
          <w:color w:val="000000"/>
          <w:sz w:val="20"/>
          <w:lang w:val="en-US" w:eastAsia="en-US" w:bidi="ar-SA"/>
        </w:rPr>
        <w:t>, the mere fact that the expressed intention was not fulfilled does not by itself establish the non-existence of the intention at the time it was expressed, although the non-fulfilment of the intention may be some evidence that the intention never existed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start then by determining whether the intention was fulfilled; in other words, whether Century posted charges to TLT's loan account that were not authorized by the TLT Loan Agreement. There are four categories of charges in issue, which I refer to collectively as the "Contested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First, Ms. LeRoy contests $95,375 that Century posted to TLT's loan account for time spent by two of its employees on realization activities (activities directed at recovering assets that secure a loan that has gone into default) (the "Contested Employee Charges"). This was referred to by Century's witnesses as "capitalization". Tammy Kemp's time was capitalized at $375 an hour and Gene Harmeson's time was capitalized at $250 an hour. Century acknowledges that these rates significantly exceeded the cost to Century of paying Ms. Kemp and Mr. Harmeson to do the work (which was estimated at no more than $75 per hour), with the difference reflecting a profit margin for Century. It was Century's standard practice to charge its employees' time spent on realization activities at rates that included a profit margin. Century concedes that the TLT Loan Agreement did not permit it to do so in relation to the TLT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Rod Hudson was the chief financial officer at Century at the time of the events in question. His job included supervising the accounting staff responsible for administering the TLT loan account. He testified that Century "capitalizes" its employees' time because realization is a time-consuming process. Although Mr. Hudson referred to capitalizing employee time as a standard practice at Century, he also said that Century does not bother capitalizing its employees' time if there are insufficient assets to satisfy the debt because there is no chance of recovering any additional amounts. He acknowledged that when a decision has been made to capitalize employee time to a loan account, the employees submit to Century's accounting department a capitalization request setting out the hours to be billed and there is no management oversight of the reasonableness of the number of hours being charged. He also acknowledged that Century did not, as a matter of practice, send any statement or notification to its borrowers when employee time was capitalized and that such information would only be sent to a borrower in the event of a specific request by the borrower.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noted, Tammy Kemp was Century's Director of Risk and Compliance at the time of the events in question. Her duties included the day-to-day administration of the TLT loan such as keeping track of payments in and out and conducting margin assessments on an ongoing basis. She confirmed that the Contested Employee Charges were posted to TLT's loan account in accordance with Century's standard practice to capitalize employee time spent on realization activities at rates that included a profit margin. She identified documents that were submitted to Century's accounting department on her behalf and on behalf of Mr. Harmeson to cause the time to be posted to TLT's account. Those documents indicate the number of hours to be charged and the hourly rate but they provide virtually no detail as to what Ms. Kemp and Mr. Harmeson were actually doing during the time that was charged to TLT's account. No timesheets or itemized billing records were tendered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Second, Ms. LeRoy contests more than $180,000 in legal fees that Century charged TLT's loan account (the "Contested Legal Fees"), which were incurred by Century litigating two priority disputes in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 One of these disputes concerned whether the protection provided to wages pursuant to the </w:t>
      </w:r>
      <w:r>
        <w:rPr>
          <w:rFonts w:ascii="arial" w:eastAsia="arial" w:hAnsi="arial" w:cs="arial"/>
          <w:i/>
          <w:color w:val="000000"/>
          <w:sz w:val="20"/>
          <w:lang w:val="en-US" w:eastAsia="en-US" w:bidi="ar-SA"/>
        </w:rPr>
        <w:t>Wage Earner Protection Program Act</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S.C. 2005, c. 47, s. 1</w:t>
        </w:r>
      </w:hyperlink>
      <w:r>
        <w:rPr>
          <w:rFonts w:ascii="arial" w:eastAsia="arial" w:hAnsi="arial" w:cs="arial"/>
          <w:color w:val="000000"/>
          <w:sz w:val="20"/>
          <w:lang w:val="en-US" w:eastAsia="en-US" w:bidi="ar-SA"/>
        </w:rPr>
        <w:t xml:space="preserve"> and s. 81.3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extends to payments, such as union dues, made by an employer to third parties on behalf of employees. Century took the position that the protection extends only to funds payable directly to employees. The chambers judge disagreed and determined that the protection did extend to third-party payments (</w:t>
      </w:r>
      <w:hyperlink r:id="rId303" w:history="1">
        <w:r>
          <w:rPr>
            <w:rFonts w:ascii="arial" w:eastAsia="arial" w:hAnsi="arial" w:cs="arial"/>
            <w:i/>
            <w:color w:val="0077CC"/>
            <w:sz w:val="20"/>
            <w:u w:val="single"/>
            <w:shd w:val="clear" w:color="auto" w:fill="FFFFFF"/>
            <w:lang w:val="en-US" w:eastAsia="en-US" w:bidi="ar-SA"/>
          </w:rPr>
          <w:t>2009 BCSC 41</w:t>
        </w:r>
      </w:hyperlink>
      <w:r>
        <w:rPr>
          <w:rFonts w:ascii="arial" w:eastAsia="arial" w:hAnsi="arial" w:cs="arial"/>
          <w:color w:val="000000"/>
          <w:sz w:val="20"/>
          <w:lang w:val="en-US" w:eastAsia="en-US" w:bidi="ar-SA"/>
        </w:rPr>
        <w:t>). The Court of Appeal dismissed Century's appeal (</w:t>
      </w:r>
      <w:hyperlink r:id="rId304" w:history="1">
        <w:r>
          <w:rPr>
            <w:rFonts w:ascii="arial" w:eastAsia="arial" w:hAnsi="arial" w:cs="arial"/>
            <w:i/>
            <w:color w:val="0077CC"/>
            <w:sz w:val="20"/>
            <w:u w:val="single"/>
            <w:shd w:val="clear" w:color="auto" w:fill="FFFFFF"/>
            <w:lang w:val="en-US" w:eastAsia="en-US" w:bidi="ar-SA"/>
          </w:rPr>
          <w:t>2010 BCCA 223</w:t>
        </w:r>
      </w:hyperlink>
      <w:r>
        <w:rPr>
          <w:rFonts w:ascii="arial" w:eastAsia="arial" w:hAnsi="arial" w:cs="arial"/>
          <w:color w:val="000000"/>
          <w:sz w:val="20"/>
          <w:lang w:val="en-US" w:eastAsia="en-US" w:bidi="ar-SA"/>
        </w:rPr>
        <w:t>). Century's application for leave to appeal to the Supreme Court of Canada was dismissed (</w:t>
      </w:r>
      <w:hyperlink r:id="rId305" w:history="1">
        <w:r>
          <w:rPr>
            <w:rFonts w:ascii="arial" w:eastAsia="arial" w:hAnsi="arial" w:cs="arial"/>
            <w:i/>
            <w:color w:val="0077CC"/>
            <w:sz w:val="20"/>
            <w:u w:val="single"/>
            <w:shd w:val="clear" w:color="auto" w:fill="FFFFFF"/>
            <w:lang w:val="en-US" w:eastAsia="en-US" w:bidi="ar-SA"/>
          </w:rPr>
          <w:t>[2010] S.C.C.A. No. 259</w:t>
        </w:r>
      </w:hyperlink>
      <w:r>
        <w:rPr>
          <w:rFonts w:ascii="arial" w:eastAsia="arial" w:hAnsi="arial" w:cs="arial"/>
          <w:color w:val="000000"/>
          <w:sz w:val="20"/>
          <w:lang w:val="en-US" w:eastAsia="en-US" w:bidi="ar-SA"/>
        </w:rPr>
        <w:t xml:space="preserve">). The other priority dispute concerned whether the Crown has priority, in bankruptcy, for unremitted GST. Century took the position that any priority the Crown had for GST was lost in bankruptcy. The chambers judge agreed. The Crown's appeal was allowed ( </w:t>
      </w:r>
      <w:hyperlink r:id="rId306" w:history="1">
        <w:r>
          <w:rPr>
            <w:rFonts w:ascii="arial" w:eastAsia="arial" w:hAnsi="arial" w:cs="arial"/>
            <w:i/>
            <w:color w:val="0077CC"/>
            <w:sz w:val="20"/>
            <w:u w:val="single"/>
            <w:shd w:val="clear" w:color="auto" w:fill="FFFFFF"/>
            <w:lang w:val="en-US" w:eastAsia="en-US" w:bidi="ar-SA"/>
          </w:rPr>
          <w:t>2009 BCCA 205</w:t>
        </w:r>
      </w:hyperlink>
      <w:r>
        <w:rPr>
          <w:rFonts w:ascii="arial" w:eastAsia="arial" w:hAnsi="arial" w:cs="arial"/>
          <w:color w:val="000000"/>
          <w:sz w:val="20"/>
          <w:lang w:val="en-US" w:eastAsia="en-US" w:bidi="ar-SA"/>
        </w:rPr>
        <w:t xml:space="preserve">). Century sought and obtained leave to appeal to the Supreme Court of Canada and its position was ultimately upheld ( </w:t>
      </w:r>
      <w:hyperlink r:id="rId307" w:history="1">
        <w:r>
          <w:rPr>
            <w:rFonts w:ascii="arial" w:eastAsia="arial" w:hAnsi="arial" w:cs="arial"/>
            <w:i/>
            <w:color w:val="0077CC"/>
            <w:sz w:val="20"/>
            <w:u w:val="single"/>
            <w:shd w:val="clear" w:color="auto" w:fill="FFFFFF"/>
            <w:lang w:val="en-US" w:eastAsia="en-US" w:bidi="ar-SA"/>
          </w:rPr>
          <w:t>2010 SCC 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is not disputed that the Contested Legal Fees significantly exceeded the maximum amount Century would have recovered had it been successful in both priority disputes. When pressed in cross-examination, to explain why Century pursued uneconomic litigation, Ms. Kemp acknowledged that Century did so to set legal precedents that would be of assistance to Century in future loan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Third, Ms. LeRoy contests a charge of $1,500 that Century paid to Tom Capital Associates Inc. for due diligence carried out by that company in the course of considering whether to purchase, from TLT, a chose in action in relation to TLT's barge loss insurance claim (the "Contested Tom Capital Charge"). Tom Capital was in the business of buying litigation claims. During TLT's insolvency, Tom Capital considered purchasing the barge chose in action for $10,000. While Tom Capital ultimately did not purchase the chose in action, it billed Century $1,500 for due diligence it carried out regarding the possibility. Century then passed on that charge to TLT by posting it to TLT's loan account. At the time, Century and Tom Capital had a common owner; a person who was an owner or the owner of Tom Capital was also a passive investor in Century.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Fourth, Ms. LeRoy contests interest Century charged on certain expenses and fees that were posted to its loan account (the "Contested Interest"). She says that the TLT Loan Agreement provided for interest payable on only the principal cash advance of $14,250,000 and the commitment fee of $725,000. It is not disputed that Century charged interest on all amounts posted to TLT's loan account, including the Contested Employee Charges, the Contested Legal Fees and the Contested Tom Capital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noted, Century admits that the TLT Loan Agreement did not permit it to charge its employees' time at rates that included a profit margin, but submits that the TLT Loan Agreement did permit it to charge its employees' time at cost. It characterizes the posting of the Employee Charges as a mistake that resulted in an overcharge of approximately $74,000. Century did not specifically address, in its final submission, whether the posting of the Contested Legal Fees, the Contested Tom Capital Charge or the Contested Interest to the TLT loan account contravened the TLT Loan Agreement. Rather, Century submitted that even if the posting of the Contested Charges was a breach of the TLT Loan Agreement, this had no impact on the magnitude or likelihood of the materialization of the risk undertaken by Ms. LeRoy in entering into the guarantee and that even if all of the Contested Charges were removed and the outstanding loan balance recalculated, TLT's indebtedness to Century would exceed Ms. LeRoy's maximum liability of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For the reasons set out below, I conclude that none of the Contested Charges were permitted by the Loan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 is no provision in the TLT Loan Agreement that imposes on TLT the obligation to pay for time spent by Century's employees on any activities, including realization activities, at rates that included a profit margin for Century. Pursuant to clause 9.11 of the TLT Loan Agreement, TLT was required to pay "all reasonable out-of-pocket costs and expenses" of Century incurred in relation to the loan and security. The material portions of clause 9.11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9.11 Expenses and Indemnity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Borrower shall pay on demand all reasonable out-of-pocket costs and expenses of the Lender ... incurred in connection with:</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Lender's acquisition of the RBC Security and the RBC Indebtedness;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preparation, negotiation, execution, delivery, administration, periodic review, modification or amendment of the Credit Documents;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Lender's participation in the CCAA Proceedings and all legal advice and attendances in respect thereof;</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enforcement of the Credit Documents;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obtaining advice as to its rights and responsibilities in connection with the Loan and Credit Documents;</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reviewing, inspecting and appraising the collateral that is the subject of the Security in connection with the enforcement of its rights under the Security; and</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matters relating to the Loan and Credit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Borrower shall indemnify the Lender against any liability, obligation, loss or expense which it may sustain or incur as a consequence of:</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representation or warranty made by the Borrower or any Guarantor which was incorrect at the time it was made or deemed to have been made;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default by the Borrower in the payment of any sum due from it;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default by the Borrower or any Guarantor under any Credit Document.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the Borrower shall indemnify the Lender and its directors, officers, employees and representatives (the "Indemnified Parties") from any against any and all actions, proceedings, claims, losses, damages, liabilities, expenses and obligations of any kind that may be incurred by or asserted against any of them as a result of or in connection with the Loan and the Lender taking, holding and enforcing the Security, other than arising from the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willful misconduct of the Lender or any other Indemnified Party.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agreements in this Section 9.11 shall survive the termination of this Agreement and repayment of the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 meaning of this provision is that TLT, as borrower, must absorb all reasonable costs and expenses incurred by Century, and all liabilities, losses or obligations asserted against or sustained by Century, as a result of granting the loan. It does not permit Century to generate a profit at TLT's expense. Century was therefore not authorized by the TLT Loan Agreement to post the Contested Employee Charges to TLT's loan account. Further, and in any event, it was not reasonable for Century to post any charges for employee time, even if the charges had reflected only Century's costs, without documenting what, specifically, the employees were doing and without some management oversight of the time being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As noted, clause 9.11 of the TLT Loan Agreement expressly limits TLT's obligation for legal costs incurred by Century in relation to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to those that are "reasonable". The Contested Legal Fees were not reasonable. It may have been reasonable, from Century's perspective, for it to incur litigation costs that substantially exceeded the potential recovery for the purpose of setting precedents for future use, but it was not reasonable to do so at TLT's expense. Century was not authorized by the TLT Loan Agreement to post the Contested Legal Fees to TLT's loan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Similarly, I am not persuaded that the Contested Tom Capital Charge was reasonable. On its face, the payment of a fee in the amount of 15% of the estimated value of an asset, to a related party, for the purpose of the related party deciding whether to purchase the asset, seems unreasonable. Century did not establish what was actually done by Tom Capital to earn the fee. An invoice from Tom Capital in the amount of $4,900 plus GST was tendered by Century. The invoice had handwritten notations on it indicating that $1,500 of that amount had been allocated to TLT but the basis for the allocation was not explained. In the circumstances, the Contested Tom Capital Charge was not reasonable and, accordingly, Century was not authorized by the TLT Loan Agreement to post it to TLT's loan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turn now to the Contested Interest. As noted, it is not disputed that Century charged interest on all amounts posted to TLT's loan account, including the Contested Employee Charges, the Contested Legal Fees and the Contested Tom Capital Charge. The material provisions of the TLT Loan Agreement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4.1 Commitment Fee and Loan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consideration of the Lender entering into this Agreement ... the Borrower and the Guarantors acknowledge that the Lender has earned a non-refundable commitment fee in the amount of $725,000 (the "Commitment Fee") and that the Commitment Fee is now owing by the Borrower to the Lender. </w:t>
      </w:r>
      <w:r>
        <w:rPr>
          <w:rFonts w:ascii="arial" w:eastAsia="arial" w:hAnsi="arial" w:cs="arial"/>
          <w:color w:val="000000"/>
          <w:sz w:val="20"/>
          <w:u w:val="single"/>
          <w:lang w:val="en-US" w:eastAsia="en-US" w:bidi="ar-SA"/>
        </w:rPr>
        <w:t>The Commitment Fee shall be added to the principal amount of the Secured Loan [defined, in clause 3.1, as the principal amount of $14,275,000] resulting in an aggregate loan in the principal amount of $14,975,000 (the "Loan") payable by the Borrower to the Lender in accordance with the terms of this Agreement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4.2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outstanding daily balance </w:t>
      </w:r>
      <w:r>
        <w:rPr>
          <w:rFonts w:ascii="arial" w:eastAsia="arial" w:hAnsi="arial" w:cs="arial"/>
          <w:color w:val="000000"/>
          <w:sz w:val="20"/>
          <w:u w:val="single"/>
          <w:lang w:val="en-US" w:eastAsia="en-US" w:bidi="ar-SA"/>
        </w:rPr>
        <w:t>of the Loan</w:t>
      </w:r>
      <w:r>
        <w:rPr>
          <w:rFonts w:ascii="arial" w:eastAsia="arial" w:hAnsi="arial" w:cs="arial"/>
          <w:color w:val="000000"/>
          <w:sz w:val="20"/>
          <w:lang w:val="en-US" w:eastAsia="en-US" w:bidi="ar-SA"/>
        </w:rPr>
        <w:t xml:space="preserve"> shall bear interest at the rate of 24% per annum both before and after maturity, default and judgment. Interest shall accrue daily from and after the date of this Agreement and shall be calculated, compounded and payable monthly, not in advance, on the last day of each month commencing April 30, 2008 and continuing until the principal amount of the Loan is fully paid and satisfied. Interest on arrears of interest will be calculated at the same rate and in the same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the TLT Loan Agreement expressly provided that interest was payable on the "Loan", which was defined as the sum of the principal of $14,250,000 and the commitment fee of $725,000. Century was not authorized by the TLT Loan Agreement to post the Contested Interest to TLT's loan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already alluded to, the fact that Century posted charges to TLT's account that were not authorized by the TLT Loan Agreement does not by itself establish that Century did not have the intention to comply with the TLT Loan Agreement at the time the representation was made. However, when this fact is considered together with the other circumstances outlined below, I am satisfied that Century did not have the intention to comply with the TLT Loan Agreement at the time it proffered the guarantee to Ms. LeRoy.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was no consideration by any Century employee of the actual language of the TLT Loan Agreement before the Contested Charges were posted to TLT's account. Rather than checking the actual language of the TLT Loan Agreement, Century simply followed its standard practices and was indifferent as to whether those practices conflicted with the terms of the TLT Loan Agreement. Under cross-examination, Ms. Kemp admitted that she could not recall if she checked the TLT Loan Agreement to determine whether it permitted Century to capitalize employees' time. She emphasized that capitalizing employee time was Century's standard practice. She also acknowledged that she did not refer to the TLT Loan Agreement to determine how interest on the TLT loan was to be calculated. She confirmed that Century followed its standard practice of charging interest on the entire loan balance, including any fees and expenses that had been charged to the account. She said she could not recall if she considered whether the Contested Legal Fees were reasonable before posting them to TLT's account, but that posting legal fees to debtors' accounts was in accordance with Century's standard practice. She did not mention whether she considered the reasonableness of the Contested Tom Capital Charge. Mr. Hudson testified that he was not aware of any Century employee reviewing the TLT Loan Agreement to see whether its language permitted Century to capitalize employee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No one from Century testified about Century having any standard practice or system directed at ensuring that its employees administer its loans in accordance with the actual terms of its loan agreements. In other words, there was no suggestion that Century had such a practice or system but that a mistake had been made in the administration of the TLT loan. To the contrary, Mr. Hudson said Century's standard practice in relation to capitalizing employee time did not include checking the language of the loan agreement in question because on "most" files Century's counsel was instructed to include language in the loan agreement to permit the capitalization of employee time. As a result, he said "we roll ahead on a policy basis that we've got the right to charge those expenses". Similarly, with respect to interest charges, Mr. Hudson testified that Century uses proprietary software to run interest calculations and that Century's employees refer to the loan agreements only to ascertain the applicable interest rate but that no further inquiry is made to determine whether there are any specific provisions related to the manner in which interest is to be 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Century's failure to ensure that the language of the TLT Loan Agreement was checked before posting charges to TLT's loan account might be understandable if Century used a standard form loan agreement. However, the evidence falls far short of establishing that Century did so. No Century witness testified that Century used a standard form loan agreement. Mr. Hudson testified that Century had different law firms preparing different agreements with different debtors and he acknowledged that some debtors negotiate specific terms to be included in their particular loan agreements. Although he said that on "most" files Century's counsel was instructed to include language that permitted the capitalization of employee time, this implies that on some files Century's counsel was not instructed to do so. In the circumstances, his assertion that they simply "roll ahead on a policy basis" is troubling.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Kemp testified that around the time that Century entered into the TLT Loan Agreement, it had loan agreements with other borrowers that expressly permitted Century to recover from the borrower its internal costs incurred in preserving or enforcing its security "at its regular billing rates". She identified two such agreements and referred to each of them as "a form of loan agreement" that Century was using at the time. She testified that one of these was "likely created" by Century's Calgary counsel "to use as a precedent document" but she did not say that it was in fact used as a precedent. She did not say anything about whether and to what extent Century actually used precedent loan agreements. Both of the example agreements that Ms. Kemp testified about appear to be copies of actual loan agreements entered into by Century. Both of the example documents are dated, both appear to have had the borrowers' particulars included but those portions are obscured in the copies tendered at trial, and both are signed on behalf of Century. The point is that neither of these particular documents appears itself to be a precedent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Although Century submits that the language permitting Century to recover from the borrower its internal costs incurred in preserving or enforcing its security "at its regular billing rates" was most likely omitted from the TLT Loan Agreement by mistake or oversight, the evidence does not support the drawing of that inference. Mr. Hudson's evidence to the effect that Century had different law firms preparing different agreements with different debtors and that its counsel was instructed to include language that permitted the capitalization of employee time on "most" files is more consistent with the inference that for some reason, on this file, the language was intentionally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summary, I find that:</w:t>
      </w:r>
      <w:r>
        <w:rPr>
          <w:rFonts w:ascii="arial" w:eastAsia="arial" w:hAnsi="arial" w:cs="arial"/>
          <w:sz w:val="20"/>
          <w:lang w:val="en-US" w:eastAsia="en-US" w:bidi="ar-SA"/>
        </w:rPr>
        <w:cr/>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Century posted the Contested Charges to TLT's account and was not authorized by the TLT Loan Agreement to do so;</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consideration of the actual language of the TLT Loan Agreement before the Contested Charges were posted to TLT's account and, rather than checking the actual language of the TLT Loan Agreement, Century simply followed its standard practices concerning the posting of charges and was indifferent as to whether those practices conflicted with the terms of the TLT Loan Agreement;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Century had no standard practice or system directed at ensuring that its employees administered its loans in accordance with the actual terms of its loan agreements;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Century did not use a standard form loan agreement; and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language of the TLT Loan Agreement with respect to the charging of interest and expenses, which did not authorize Century to post the Contested Charges, was not the result of oversight or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These findings compel the conclusion that at the time Century presented the documents to Ms. LeRoy, it was indifferent about whether it would comply with the terms of the TLT Loan Agreement and, specifically, that it intended to post charges to the TLT loan account in accordance with its standard practices irrespective of whether those practices conflicted with the provisions of the TLT Loan Agreement. Accordingly, Century's representation to Ms. LeRoy that it intended to administer the TLT loan in accordance with the terms of the TLT Loan Agreement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turn now to consider whether Century made the false representation knowing it to be untrue, without belief in its truth, or reckless as to whether it was true or false. Again, if a false representation is reckless, it is not necessary that there be an intention to deceive, just a wanton disregard as to whether it will deceive. As is apparent from the findings I have already made, Century had no system directed at ensuring that its employees would administer the TLT loan in accordance with the provisions of the TLT Loan Agreement. Instead, it simply administered the loan in accordance with standard practices, indifferent as to whether those practices conflicted with the terms of the TLT Loan Agreement. The Contested Charges were not posted to TLT's loan account as a result of an honest but mistaken belief that they were authorized by the TLT Loan Agreement, but rather because Century was intent on following its standard practices and was indifferent to the actual terms of the TLT Loan Agreement. In the circumstances, I find that Century was reckless with respect to the truth of the representation and displayed a wanton disregard as to whether Ms. LeRoy would be deceived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next question is whether Ms. LeRoy has established that the misrepresentation induced her to provide the guarantee and mortgage and that her reliance on the misrepresentation was objectively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LeRoy testified that she and Mr. LeRoy have lived in the Maple Bay home since 1984 and prior to granting the mortgage in question there had never been a mortgage on the home. She testified that she understood she was guaranteeing TLT's obligations under the TLT Loan Agreement. She said she did not read the TLT Loan Agreement but that Mr. LeRoy did read it and she relied on him. She testified that she did not know that Century was going to charge TLT for its employees' time. When asked whether she would have done anything differently had she known, she said "most definitely". She also said that another party was interested (presumably another lender) and that she had never had to pay such charges before. She complained about the fact that no documentation had been provided and instead the charges had been "buried" by Century. She also said she would not have signed the guarantee or granted a mortgage on her home. She was not cross-examined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Although it was Ms. LeRoy who provided the guarantee and granted the mortgage, I accept her evidence that she relied entirely on Mr. LeRoy in deciding whether to do so. Accordingly, Mr. LeRoy's evidence concerning the inducement factor is relevant. He testified that he first learned that Century had charged TLT's loan account for its employees' time through documents produced in this proceeding. When he was asked whether he would have done anything differently, he said he "wouldn't have been prepared to give someone an open ticket to charge us whatever they liked" and that "we weren't going to get into a position of putting our house up if someone could inflate fees or charge fees - we would have been better off to cut our losses, keep our house that had no mortgage on it and let the company go down". He was not cross-examined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is no doubt that at the time Ms. LeRoy signed the guarantee and mortgage, TLT's options were limited. RBC had made clear it did not believe the company was viable. TLT had to either find replacement financing or liquidate its assets. Mr. LeRoy and Ms. LeRoy both knew that TLT's only chance of survival was to obtain new financing. Mr. Vermette testified that it was his assessment at the time that Century was the only viable potential replacement lender available to TLT. I accept that evidence. Further, Mr. LeRoy had been advised by TLT's counsel that unless TLT was able to achieve a high level of efficiency, its restructuring would likely fail and they would lose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Century submits that in these circumstances the LeRoys' evidence that they would have rejected Century's offer of financing if they had known about its billing practice is not credible given the magnitude of the risk they were both willing to assume for the opportunity to save TLT. In my view, this submission characterizes the evidence relevant to the inducement element too narrowly. The question is not whether Ms. LeRoy would have granted the guarantee and mortgage if the TLT Loan Agreement had expressly permitted Century to charge its employees' time for realization activities at billing rates that included a profit margin. The question is whether she would have done so had she known that Century did not intend to administer the TLT loan in accordance with the terms of the TLT Loan Agreement, but rather intended to post charges to the TLT loan account in accordance with its standard, and undisclosed, practices irrespective of whether those practices conflicted with the provisions of TLT Loan Agreement. I am satisfied that, considered together, Mr. LeRoy's evidence and Ms. LeRoy's evidence on this point establishes that she would not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is clear from Ms. LeRoy's evidence that her complaint was not just about the magnitude of the billing rates for the employees' time but also arose from Century's failure to provide documentation and Century's conduct in "burying" unauthorized charges, which she clearly found repugnant. I accept that she would not have granted Century a mortgage over her home, which had never been encumbered, had she known Century intended to conduct itself in the manner in which it did; specifically, ignoring the actual terms of the TLT Loan Agreement, imposing charges in accordance with its standard practice irrespective of whether doing so contravened the TLT Loan Agreement, and failing to advise TLT that it had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is clear from Mr. LeRoy's evidence that his complaint was that Century acted as if it had an "open ticket to charge" whatever it liked. I accept that he would not have advised his wife to grant a mortgage over their family home to Century had he known Century intended to conduct itself as if it had an open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Century's misrepresentation that it had the intention, at the time it proffered the guarantee and the TLT Loan Agreement to Ms. LeRoy, to administer the loan in accordance with the TLT Loan Agreement is one that would naturally tend to induce. In fact, a reasonable commercial person would demand no less. While the LeRoys were admittedly prepared to risk the family home for the chance of saving TLT, it would be unreasonable to find they would have done so irrespective of the terms or, in other words, with a lender that was going to act as if it had "an open ticket". They were prepared to do so on the terms proffered by Century and in reliance on Century's representation that it intended to conduct itself in accordance with those terms. I am satisfied that Century's misrepresentation is a significant factor that induced Ms. LeRoy to provide the guarantee and grant the mortgage and that her reliance was objectively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final question is whether Ms. LeRoy has established that she suffered a loss as a result of providing the guarantee and granting the mortgage. Century submits there was no loss because Ms. LeRoy has failed to establish that TLT would have obtained alternative financing from a lender that did not require her to grant a mortgage over her home as security. I disagree with that submission because it ignores the LeRoys' other option of liquidating TLT's assets to pay off the RBC debt, letting the company go, and keeping their home. I accept Mr. LeRoy's evidence that had he known Century was going to treat TLT's loan as an "open ticket" he would have taken that option. The loss that Ms. LeRoy suffered is the fact that she entered into the guarantee, which rendered her liable for the shortfall on TLT's loan and exposed her home to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LeRoy has established a fraudulent misrepresentation that vitiates the guarantee and renders the mortgage unenforceable. Although this conclusion is sufficient to dismiss the claim, I will briefly address Ms. LeRoy's alternative argument in support of rescission.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Subsequent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LeRoy says that Century's conduct in posting the Contested Charges to the TLT loan account was fraudulent because Century knew TLT was not obliged under the TLT Loan Agreement to pay them or Century was reckless as to whether they were properly payable. She says the fraud "crystallized" when Century issued a demand to her that included the Contested Charges. She submits that in these circumstances her liability under the guarantee is wholly discharged. She relies on various lines of authority in support of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For example, Ms. LeRoy relies on </w:t>
      </w:r>
      <w:r>
        <w:rPr>
          <w:rFonts w:ascii="arial" w:eastAsia="arial" w:hAnsi="arial" w:cs="arial"/>
          <w:i/>
          <w:color w:val="000000"/>
          <w:sz w:val="20"/>
          <w:lang w:val="en-US" w:eastAsia="en-US" w:bidi="ar-SA"/>
        </w:rPr>
        <w:t>First Island Financial Services Ltd. v. True West Construction Ltd.</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1999 CanLII 6554</w:t>
        </w:r>
      </w:hyperlink>
      <w:r>
        <w:rPr>
          <w:rFonts w:ascii="arial" w:eastAsia="arial" w:hAnsi="arial" w:cs="arial"/>
          <w:color w:val="000000"/>
          <w:sz w:val="20"/>
          <w:lang w:val="en-US" w:eastAsia="en-US" w:bidi="ar-SA"/>
        </w:rPr>
        <w:t xml:space="preserve"> (BC SC), which considered whether an agreement that has been physically altered by one party, without the knowledge of the other party, is enforceable in its altered state and, if not, in its original state. (See also </w:t>
      </w:r>
      <w:r>
        <w:rPr>
          <w:rFonts w:ascii="arial" w:eastAsia="arial" w:hAnsi="arial" w:cs="arial"/>
          <w:i/>
          <w:color w:val="000000"/>
          <w:sz w:val="20"/>
          <w:lang w:val="en-US" w:eastAsia="en-US" w:bidi="ar-SA"/>
        </w:rPr>
        <w:t>Canadian Imperial Bank of Commerce v. Skender</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(1986), 67 B.C.L.R. 126</w:t>
        </w:r>
      </w:hyperlink>
      <w:r>
        <w:rPr>
          <w:rFonts w:ascii="arial" w:eastAsia="arial" w:hAnsi="arial" w:cs="arial"/>
          <w:color w:val="000000"/>
          <w:sz w:val="20"/>
          <w:lang w:val="en-US" w:eastAsia="en-US" w:bidi="ar-SA"/>
        </w:rPr>
        <w:t xml:space="preserve"> (C.A.).) That line of authority is based on what is referred to in </w:t>
      </w:r>
      <w:r>
        <w:rPr>
          <w:rFonts w:ascii="arial" w:eastAsia="arial" w:hAnsi="arial" w:cs="arial"/>
          <w:i/>
          <w:color w:val="000000"/>
          <w:sz w:val="20"/>
          <w:lang w:val="en-US" w:eastAsia="en-US" w:bidi="ar-SA"/>
        </w:rPr>
        <w:t>First Island</w:t>
      </w:r>
      <w:r>
        <w:rPr>
          <w:rFonts w:ascii="arial" w:eastAsia="arial" w:hAnsi="arial" w:cs="arial"/>
          <w:color w:val="000000"/>
          <w:sz w:val="20"/>
          <w:lang w:val="en-US" w:eastAsia="en-US" w:bidi="ar-SA"/>
        </w:rPr>
        <w:t xml:space="preserve"> at para. 25 as "the old rule set out in </w:t>
      </w:r>
      <w:r>
        <w:rPr>
          <w:rFonts w:ascii="arial" w:eastAsia="arial" w:hAnsi="arial" w:cs="arial"/>
          <w:i/>
          <w:color w:val="000000"/>
          <w:sz w:val="20"/>
          <w:lang w:val="en-US" w:eastAsia="en-US" w:bidi="ar-SA"/>
        </w:rPr>
        <w:t>Pigot's</w:t>
      </w:r>
      <w:r>
        <w:rPr>
          <w:rFonts w:ascii="arial" w:eastAsia="arial" w:hAnsi="arial" w:cs="arial"/>
          <w:color w:val="000000"/>
          <w:sz w:val="20"/>
          <w:lang w:val="en-US" w:eastAsia="en-US" w:bidi="ar-SA"/>
        </w:rPr>
        <w:t xml:space="preserve"> case (1614) 77 E.R. 1177, that a promisee, who alters a written contract in a material way, cannot enforce the contract against the promisor". The modern application of that rule is summarized succinctly in </w:t>
      </w:r>
      <w:r>
        <w:rPr>
          <w:rFonts w:ascii="arial" w:eastAsia="arial" w:hAnsi="arial" w:cs="arial"/>
          <w:i/>
          <w:color w:val="000000"/>
          <w:sz w:val="20"/>
          <w:lang w:val="en-US" w:eastAsia="en-US" w:bidi="ar-SA"/>
        </w:rPr>
        <w:t>First Island</w:t>
      </w:r>
      <w:r>
        <w:rPr>
          <w:rFonts w:ascii="arial" w:eastAsia="arial" w:hAnsi="arial" w:cs="arial"/>
          <w:color w:val="000000"/>
          <w:sz w:val="20"/>
          <w:lang w:val="en-US" w:eastAsia="en-US" w:bidi="ar-SA"/>
        </w:rPr>
        <w:t xml:space="preserve">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appears that the rule in </w:t>
      </w:r>
      <w:r>
        <w:rPr>
          <w:rFonts w:ascii="arial" w:eastAsia="arial" w:hAnsi="arial" w:cs="arial"/>
          <w:i/>
          <w:color w:val="000000"/>
          <w:sz w:val="20"/>
          <w:lang w:val="en-US" w:eastAsia="en-US" w:bidi="ar-SA"/>
        </w:rPr>
        <w:t>Pigot's</w:t>
      </w:r>
      <w:r>
        <w:rPr>
          <w:rFonts w:ascii="arial" w:eastAsia="arial" w:hAnsi="arial" w:cs="arial"/>
          <w:color w:val="000000"/>
          <w:sz w:val="20"/>
          <w:lang w:val="en-US" w:eastAsia="en-US" w:bidi="ar-SA"/>
        </w:rPr>
        <w:t xml:space="preserve"> case is still the law in this Province, although perhaps further modified by </w:t>
      </w:r>
      <w:r>
        <w:rPr>
          <w:rFonts w:ascii="arial" w:eastAsia="arial" w:hAnsi="arial" w:cs="arial"/>
          <w:i/>
          <w:color w:val="000000"/>
          <w:sz w:val="20"/>
          <w:lang w:val="en-US" w:eastAsia="en-US" w:bidi="ar-SA"/>
        </w:rPr>
        <w:t>Skender</w:t>
      </w:r>
      <w:r>
        <w:rPr>
          <w:rFonts w:ascii="arial" w:eastAsia="arial" w:hAnsi="arial" w:cs="arial"/>
          <w:color w:val="000000"/>
          <w:sz w:val="20"/>
          <w:lang w:val="en-US" w:eastAsia="en-US" w:bidi="ar-SA"/>
        </w:rPr>
        <w:t xml:space="preserve"> which seems to suggest that alteration of an Agreement no longer automatically prevents the person altering the agreement from enforcing the original unaltered Agreement. The penalty is appropriate where there is fraud; and fraud or mischievous purpose is assumed, where there is a material alteration and no acceptable explanation given for it. If the purpose of the alteration is found to be innocent and well-intentioned, then in addition to considering whether there was any alteration in the legal effect of the document, there must be some additional balancing of the interests of justice, some flexibility in the concept of materiality, and some recognition of the principles of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There is no suggestion that Century physically altered the TLT Loan Agreement or the guarantee, but Ms. LeRoy submits that the principles reflected in </w:t>
      </w:r>
      <w:r>
        <w:rPr>
          <w:rFonts w:ascii="arial" w:eastAsia="arial" w:hAnsi="arial" w:cs="arial"/>
          <w:i/>
          <w:color w:val="000000"/>
          <w:sz w:val="20"/>
          <w:lang w:val="en-US" w:eastAsia="en-US" w:bidi="ar-SA"/>
        </w:rPr>
        <w:t>First Island</w:t>
      </w:r>
      <w:r>
        <w:rPr>
          <w:rFonts w:ascii="arial" w:eastAsia="arial" w:hAnsi="arial" w:cs="arial"/>
          <w:color w:val="000000"/>
          <w:sz w:val="20"/>
          <w:lang w:val="en-US" w:eastAsia="en-US" w:bidi="ar-SA"/>
        </w:rPr>
        <w:t xml:space="preserve"> should be extended to cases where a party has attempted to perform a contract fraudulently. However, the applicable line of authority is that which considers the circumstances under which a guarantor may be discharged as a result of the creditor's misconduct in its performance of the underlying loan agreement. As noted, where the courts have vitiated guarantees based on performance of the underlying loan agreement (as opposed to misrepresentation at the time of contracting) the misconduct has materially increased the risk of the guarantor being called upon to pay. Often this is where the misconduct of the creditor causes, or increases the chance of, the principal debtor defaulting. Such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Pax Management</w:t>
      </w:r>
      <w:r>
        <w:rPr>
          <w:rFonts w:ascii="arial" w:eastAsia="arial" w:hAnsi="arial" w:cs="arial"/>
          <w:color w:val="000000"/>
          <w:sz w:val="20"/>
          <w:lang w:val="en-US" w:eastAsia="en-US" w:bidi="ar-SA"/>
        </w:rPr>
        <w:t xml:space="preserve"> is the leading authority. In that case, the creditor had clearly lied to the guarantors, who were shareholders of the debtor company, in order to obtain the company's consent to an investigation of the company's affairs and then it lied again to cause the debtor company to consent to a receivership. The representative of the bank knowingly misrepresented to the guarantors that if the debtor did not consent to the receivership, the bank would commence proceedings the next day. However, the trial judge concluded that the creditor's deceit did not entitle the guarantors to be released from their guarantees. The Court of Appeal refused to interfere with the trial judge's findings of deceit but found that the deceit was sufficient to discharge the guarantors from their obligations under their guarantees. The Supreme Court of Canada declined to interfere with the finding of deceit but found that the Court of Appeal had erred in holding that the effect of the deceitful acts was to discharge the guarantors in the absence of actual prejudice to the guarantors.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Justice Iacobucci, for the Court, noted that the Court of Appeal relied on the judgment of Bingham J. in </w:t>
      </w:r>
      <w:r>
        <w:rPr>
          <w:rFonts w:ascii="arial" w:eastAsia="arial" w:hAnsi="arial" w:cs="arial"/>
          <w:i/>
          <w:color w:val="000000"/>
          <w:sz w:val="20"/>
          <w:lang w:val="en-US" w:eastAsia="en-US" w:bidi="ar-SA"/>
        </w:rPr>
        <w:t>Bank of India v. Trans Continental Commodity Merchants Ltd.</w:t>
      </w:r>
      <w:r>
        <w:rPr>
          <w:rFonts w:ascii="arial" w:eastAsia="arial" w:hAnsi="arial" w:cs="arial"/>
          <w:color w:val="000000"/>
          <w:sz w:val="20"/>
          <w:lang w:val="en-US" w:eastAsia="en-US" w:bidi="ar-SA"/>
        </w:rPr>
        <w:t xml:space="preserve">, [1982] 1 Lloyd's Rep. 506 (Q.B. Com. Ct.), which was also quoted with approval by Wilson J. in </w:t>
      </w:r>
      <w:r>
        <w:rPr>
          <w:rFonts w:ascii="arial" w:eastAsia="arial" w:hAnsi="arial" w:cs="arial"/>
          <w:i/>
          <w:color w:val="000000"/>
          <w:sz w:val="20"/>
          <w:lang w:val="en-US" w:eastAsia="en-US" w:bidi="ar-SA"/>
        </w:rPr>
        <w:t>Bank of Montreal v. Wilder</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[1986] 2 S.C.R. 551</w:t>
        </w:r>
      </w:hyperlink>
      <w:r>
        <w:rPr>
          <w:rFonts w:ascii="arial" w:eastAsia="arial" w:hAnsi="arial" w:cs="arial"/>
          <w:color w:val="000000"/>
          <w:sz w:val="20"/>
          <w:lang w:val="en-US" w:eastAsia="en-US" w:bidi="ar-SA"/>
        </w:rPr>
        <w:t xml:space="preserve"> at p. 567. In </w:t>
      </w:r>
      <w:r>
        <w:rPr>
          <w:rFonts w:ascii="arial" w:eastAsia="arial" w:hAnsi="arial" w:cs="arial"/>
          <w:i/>
          <w:color w:val="000000"/>
          <w:sz w:val="20"/>
          <w:lang w:val="en-US" w:eastAsia="en-US" w:bidi="ar-SA"/>
        </w:rPr>
        <w:t>Pax Management</w:t>
      </w:r>
      <w:r>
        <w:rPr>
          <w:rFonts w:ascii="arial" w:eastAsia="arial" w:hAnsi="arial" w:cs="arial"/>
          <w:color w:val="000000"/>
          <w:sz w:val="20"/>
          <w:lang w:val="en-US" w:eastAsia="en-US" w:bidi="ar-SA"/>
        </w:rPr>
        <w:t xml:space="preserve">, at pp. 1015-1016, Iacobucci J. distinguished </w:t>
      </w:r>
      <w:r>
        <w:rPr>
          <w:rFonts w:ascii="arial" w:eastAsia="arial" w:hAnsi="arial" w:cs="arial"/>
          <w:i/>
          <w:color w:val="000000"/>
          <w:sz w:val="20"/>
          <w:lang w:val="en-US" w:eastAsia="en-US" w:bidi="ar-SA"/>
        </w:rPr>
        <w:t>Bank of India</w:t>
      </w:r>
      <w:r>
        <w:rPr>
          <w:rFonts w:ascii="arial" w:eastAsia="arial" w:hAnsi="arial" w:cs="arial"/>
          <w:color w:val="000000"/>
          <w:sz w:val="20"/>
          <w:lang w:val="en-US" w:eastAsia="en-US" w:bidi="ar-SA"/>
        </w:rPr>
        <w:t xml:space="preserve"> from the case before him on the basis that in </w:t>
      </w:r>
      <w:r>
        <w:rPr>
          <w:rFonts w:ascii="arial" w:eastAsia="arial" w:hAnsi="arial" w:cs="arial"/>
          <w:i/>
          <w:color w:val="000000"/>
          <w:sz w:val="20"/>
          <w:lang w:val="en-US" w:eastAsia="en-US" w:bidi="ar-SA"/>
        </w:rPr>
        <w:t>Bank of India</w:t>
      </w:r>
      <w:r>
        <w:rPr>
          <w:rFonts w:ascii="arial" w:eastAsia="arial" w:hAnsi="arial" w:cs="arial"/>
          <w:color w:val="000000"/>
          <w:sz w:val="20"/>
          <w:lang w:val="en-US" w:eastAsia="en-US" w:bidi="ar-SA"/>
        </w:rPr>
        <w:t xml:space="preserve"> Bingham J. was referring to concealment amounting to misrepresentation at the formation of the contract of guarantee: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neither </w:t>
      </w:r>
      <w:r>
        <w:rPr>
          <w:rFonts w:ascii="arial" w:eastAsia="arial" w:hAnsi="arial" w:cs="arial"/>
          <w:i/>
          <w:color w:val="000000"/>
          <w:sz w:val="20"/>
          <w:lang w:val="en-US" w:eastAsia="en-US" w:bidi="ar-SA"/>
        </w:rPr>
        <w:t>Bank of India</w:t>
      </w:r>
      <w:r>
        <w:rPr>
          <w:rFonts w:ascii="arial" w:eastAsia="arial" w:hAnsi="arial" w:cs="arial"/>
          <w:color w:val="000000"/>
          <w:sz w:val="20"/>
          <w:lang w:val="en-US" w:eastAsia="en-US" w:bidi="ar-SA"/>
        </w:rPr>
        <w:t xml:space="preserve"> nor </w:t>
      </w:r>
      <w:r>
        <w:rPr>
          <w:rFonts w:ascii="arial" w:eastAsia="arial" w:hAnsi="arial" w:cs="arial"/>
          <w:i/>
          <w:color w:val="000000"/>
          <w:sz w:val="20"/>
          <w:lang w:val="en-US" w:eastAsia="en-US" w:bidi="ar-SA"/>
        </w:rPr>
        <w:t>Wilder</w:t>
      </w:r>
      <w:r>
        <w:rPr>
          <w:rFonts w:ascii="arial" w:eastAsia="arial" w:hAnsi="arial" w:cs="arial"/>
          <w:color w:val="000000"/>
          <w:sz w:val="20"/>
          <w:lang w:val="en-US" w:eastAsia="en-US" w:bidi="ar-SA"/>
        </w:rPr>
        <w:t xml:space="preserve"> support the conclusion of the Court of Appeal in the case at bar that, once there is a misrepresentation by the creditor, it is not necessary for there to be any prejudice, actual or potential, to the guarantors for them to be discharged. I find this especially so when one views these decisions in the light of the case law on the discharge of a guarantor's liability resulting from the conduct of the creditor.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w:t>
      </w:r>
      <w:r>
        <w:rPr>
          <w:rFonts w:ascii="arial" w:eastAsia="arial" w:hAnsi="arial" w:cs="arial"/>
          <w:i/>
          <w:color w:val="000000"/>
          <w:sz w:val="20"/>
          <w:lang w:val="en-US" w:eastAsia="en-US" w:bidi="ar-SA"/>
        </w:rPr>
        <w:t>Bank of India</w:t>
      </w:r>
      <w:r>
        <w:rPr>
          <w:rFonts w:ascii="arial" w:eastAsia="arial" w:hAnsi="arial" w:cs="arial"/>
          <w:color w:val="000000"/>
          <w:sz w:val="20"/>
          <w:lang w:val="en-US" w:eastAsia="en-US" w:bidi="ar-SA"/>
        </w:rPr>
        <w:t xml:space="preserve">, looking at the judgment of Bingham J. as a whole, it is clear that, in the emphasized passage of the quotation above, Bingham J. was referring to concealment amounting to misrepresentations </w:t>
      </w:r>
      <w:r>
        <w:rPr>
          <w:rFonts w:ascii="arial" w:eastAsia="arial" w:hAnsi="arial" w:cs="arial"/>
          <w:i/>
          <w:color w:val="000000"/>
          <w:sz w:val="20"/>
          <w:lang w:val="en-US" w:eastAsia="en-US" w:bidi="ar-SA"/>
        </w:rPr>
        <w:t>at the formation of the contract of guarantee</w:t>
      </w:r>
      <w:r>
        <w:rPr>
          <w:rFonts w:ascii="arial" w:eastAsia="arial" w:hAnsi="arial" w:cs="arial"/>
          <w:color w:val="000000"/>
          <w:sz w:val="20"/>
          <w:lang w:val="en-US" w:eastAsia="en-US" w:bidi="ar-SA"/>
        </w:rPr>
        <w:t>. Bingham J. was not concerned with misrepresentations by the creditor subsequent to the formation of the contract. On the page previous to that from which the quotation in question is taken, Bingham J. said this about misrepresentations by the creditor (at p. 514):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Certain principles are well-established ... . Non-disclosure </w:t>
      </w:r>
      <w:r>
        <w:rPr>
          <w:rFonts w:ascii="arial" w:eastAsia="arial" w:hAnsi="arial" w:cs="arial"/>
          <w:i/>
          <w:color w:val="000000"/>
          <w:sz w:val="20"/>
          <w:lang w:val="en-US" w:eastAsia="en-US" w:bidi="ar-SA"/>
        </w:rPr>
        <w:t>at the time when the guarantee is given</w:t>
      </w:r>
      <w:r>
        <w:rPr>
          <w:rFonts w:ascii="arial" w:eastAsia="arial" w:hAnsi="arial" w:cs="arial"/>
          <w:color w:val="000000"/>
          <w:sz w:val="20"/>
          <w:lang w:val="en-US" w:eastAsia="en-US" w:bidi="ar-SA"/>
        </w:rPr>
        <w:t xml:space="preserve"> of facts potentially prejudicial to the surety may be held to amount to and to have the consequences of misrepresentation. (</w:t>
      </w:r>
      <w:r>
        <w:rPr>
          <w:rFonts w:ascii="arial" w:eastAsia="arial" w:hAnsi="arial" w:cs="arial"/>
          <w:i/>
          <w:color w:val="000000"/>
          <w:sz w:val="20"/>
          <w:lang w:val="en-US" w:eastAsia="en-US" w:bidi="ar-SA"/>
        </w:rPr>
        <w:t>Lee v. Jones</w:t>
      </w:r>
      <w:r>
        <w:rPr>
          <w:rFonts w:ascii="arial" w:eastAsia="arial" w:hAnsi="arial" w:cs="arial"/>
          <w:color w:val="000000"/>
          <w:sz w:val="20"/>
          <w:lang w:val="en-US" w:eastAsia="en-US" w:bidi="ar-SA"/>
        </w:rPr>
        <w:t>, (1864) 17 C.B.N.S. 482).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Iacobucci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examination of the case relied upon by Bingham J. to support this proposition, </w:t>
      </w:r>
      <w:r>
        <w:rPr>
          <w:rFonts w:ascii="arial" w:eastAsia="arial" w:hAnsi="arial" w:cs="arial"/>
          <w:i/>
          <w:color w:val="000000"/>
          <w:sz w:val="20"/>
          <w:lang w:val="en-US" w:eastAsia="en-US" w:bidi="ar-SA"/>
        </w:rPr>
        <w:t>Lee v. Jones</w:t>
      </w:r>
      <w:r>
        <w:rPr>
          <w:rFonts w:ascii="arial" w:eastAsia="arial" w:hAnsi="arial" w:cs="arial"/>
          <w:color w:val="000000"/>
          <w:sz w:val="20"/>
          <w:lang w:val="en-US" w:eastAsia="en-US" w:bidi="ar-SA"/>
        </w:rPr>
        <w:t xml:space="preserve"> (1864), 17 C.B.N.S. 482 (Ex. Ch.), 144 E.R. 194, settles the question. In that case, the defendant had executed a guarantee. The plaintiff sued the defendant on the guarantee. The defendant pleaded by way of defence that he had been induced to make the contract of guarantee by the fraudulent concealment by the plaintiff of a material fact. The Exchequer Chamber, by a majority, affirmed the judgment of the court below that the guarantor was discharged by the concealment. The following passage from the judgment of Blackburn J. makes it clear that the issue in </w:t>
      </w:r>
      <w:r>
        <w:rPr>
          <w:rFonts w:ascii="arial" w:eastAsia="arial" w:hAnsi="arial" w:cs="arial"/>
          <w:i/>
          <w:color w:val="000000"/>
          <w:sz w:val="20"/>
          <w:lang w:val="en-US" w:eastAsia="en-US" w:bidi="ar-SA"/>
        </w:rPr>
        <w:t>Lee v. Jones</w:t>
      </w:r>
      <w:r>
        <w:rPr>
          <w:rFonts w:ascii="arial" w:eastAsia="arial" w:hAnsi="arial" w:cs="arial"/>
          <w:color w:val="000000"/>
          <w:sz w:val="20"/>
          <w:lang w:val="en-US" w:eastAsia="en-US" w:bidi="ar-SA"/>
        </w:rPr>
        <w:t xml:space="preserve"> was whether the misrepresentation was such that the guarantor would not have entered into the agreement had he known the truth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improbability that any one could suppose that sureties would have entered into such an agreement if they had known the truth, is so great that the jury might well think that the plaintiffs knew that the defendant was in ignorance of it: and, if the jury so thought, they might from that alone draw the inference that the representation was fraudulently intended to deceive.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contrast to the situation where there has been a misrepresentation at the time of the formation of the contract of guarantee, Iacobucci J. then summarized the law where the wrongful conduct takes place later on at pp. 1016-1018: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Moreover it is clear from the passage excerpted by the British Columbia Court of Appeal that Bingham J.'s main point in </w:t>
      </w:r>
      <w:r>
        <w:rPr>
          <w:rFonts w:ascii="arial" w:eastAsia="arial" w:hAnsi="arial" w:cs="arial"/>
          <w:i/>
          <w:color w:val="000000"/>
          <w:sz w:val="20"/>
          <w:lang w:val="en-US" w:eastAsia="en-US" w:bidi="ar-SA"/>
        </w:rPr>
        <w:t>Bank of India</w:t>
      </w:r>
      <w:r>
        <w:rPr>
          <w:rFonts w:ascii="arial" w:eastAsia="arial" w:hAnsi="arial" w:cs="arial"/>
          <w:color w:val="000000"/>
          <w:sz w:val="20"/>
          <w:lang w:val="en-US" w:eastAsia="en-US" w:bidi="ar-SA"/>
        </w:rPr>
        <w:t xml:space="preserve">, and in fact the basis on which that case was decided, was that there is no general principle that irregular conduct which is prejudicial to the surety discharges him or her from liability. The "irregular" conduct in </w:t>
      </w:r>
      <w:r>
        <w:rPr>
          <w:rFonts w:ascii="arial" w:eastAsia="arial" w:hAnsi="arial" w:cs="arial"/>
          <w:i/>
          <w:color w:val="000000"/>
          <w:sz w:val="20"/>
          <w:lang w:val="en-US" w:eastAsia="en-US" w:bidi="ar-SA"/>
        </w:rPr>
        <w:t>Bank of India</w:t>
      </w:r>
      <w:r>
        <w:rPr>
          <w:rFonts w:ascii="arial" w:eastAsia="arial" w:hAnsi="arial" w:cs="arial"/>
          <w:color w:val="000000"/>
          <w:sz w:val="20"/>
          <w:lang w:val="en-US" w:eastAsia="en-US" w:bidi="ar-SA"/>
        </w:rPr>
        <w:t xml:space="preserve"> which was held not to discharge the guarantor was the creditor bank's delay in delivery of written confirmations of the principal contract. This position was affirmed on appeal, [1983] 2 Lloyd's Rep. 298. Goff L.J. stated (at p. 302):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general principle that "irregular" conduct on the part of the creditor, even if prejudicial to the interests of the surety, discharges the surety, though there are particular circumstances in which the surety may be discharged, of which the instances specified by the learned Judge provide certainly the most significant, and possibly the only, examples ... . </w:t>
      </w:r>
      <w:r>
        <w:rPr>
          <w:rFonts w:ascii="arial" w:eastAsia="arial" w:hAnsi="arial" w:cs="arial"/>
          <w:i/>
          <w:color w:val="000000"/>
          <w:sz w:val="20"/>
          <w:lang w:val="en-US" w:eastAsia="en-US" w:bidi="ar-SA"/>
        </w:rPr>
        <w:t>But that merely irregular conduct on the part of the creditor, even if prejudicial to the interests of the surety, does not discharge the surety, there can in my judgment be no doubt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Iacobucci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Wilder</w:t>
      </w:r>
      <w:r>
        <w:rPr>
          <w:rFonts w:ascii="arial" w:eastAsia="arial" w:hAnsi="arial" w:cs="arial"/>
          <w:color w:val="000000"/>
          <w:sz w:val="20"/>
          <w:lang w:val="en-US" w:eastAsia="en-US" w:bidi="ar-SA"/>
        </w:rPr>
        <w:t>, supra, Wilson J. was faced with the question of the effect on the surety's liability of a breach of the principal contract between the creditor and the debtor. Wilson J. began by observing that a variation in the principal contract which prejudices the guarantor will discharge the guarantor (at p. 562):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trite law that any material variation of the terms of the contract between the creditor and the principal debtor to the prejudice of the guarantor without the guarantor's consent will discharge the guarantor.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Wilson J. emphasized that a guarantor gives his or her guarantee on the basis of the risk inherent in the contract which is being guaranteed, and that equity will intervene if the guarantor's right of subrogation is impaired by a variation by the creditor of the risk assumed by the guarantor without the guarantor's consent (at p. 566):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case of a specific contract it is to be assumed that the guarantor gave his guarantee in contemplation of an ascertainable and clearly identified risk inherent in the contract. The guarantor in such a case is discharged because he is powerless to protect against variation of the principal contract by the parties to that contract. Once he has given his guarantee on the basis of that particular risk equity protects him against any variation of it to which he was not a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Wilson J. held therefore that the question to be asked in determining whether a breach of the principal contract discharges the guarantor is whether the breach materially changed the risk assumed by the guarantor, to the guarantor's detriment (at p. 569):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key question becomes whether the subsequent breach of [the principal contract] by the Bank materially changed the risk assumed by the guarantors to the guarantors' detriment. I think there can be no doubt that it did. I agree with Lambert J.A. that the Bank's breach caused the Company's default. It materially impaired the value of the security it held for the Company's indebtedness by preventing the Company from continuing as a viable commercial operation. As a consequence, the guarantors' equitable rights of subrogation and indemnity were seriously interfered with if not effectively destroyed.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guarantors were discharged in Wilder because of the finding of prejudice to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should now like to turn to a brief discussion of other relevant case law on discharge of sureties. In general, once a contract of guarantee has been made, the surety will be discharged entirely only if the principal contract is varied without the guarantor's consent, in a manner not obviously to the benefit of the guarantor, or if the creditor breaches the contract of guarantee. The surety will be partially discharged from his or her obligation under the guarantee if the creditor impairs the value of the security, but only to the extent that the surety's rights of subrogation under the contract of guarantee are affected. This was the position summarized by Laskin J.A. (as he then was) in </w:t>
      </w:r>
      <w:r>
        <w:rPr>
          <w:rFonts w:ascii="arial" w:eastAsia="arial" w:hAnsi="arial" w:cs="arial"/>
          <w:i/>
          <w:color w:val="000000"/>
          <w:sz w:val="20"/>
          <w:lang w:val="en-US" w:eastAsia="en-US" w:bidi="ar-SA"/>
        </w:rPr>
        <w:t>Rose v. Aftenberger</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[1970] 1 O.R. 547</w:t>
        </w:r>
      </w:hyperlink>
      <w:r>
        <w:rPr>
          <w:rFonts w:ascii="arial" w:eastAsia="arial" w:hAnsi="arial" w:cs="arial"/>
          <w:color w:val="000000"/>
          <w:sz w:val="20"/>
          <w:lang w:val="en-US" w:eastAsia="en-US" w:bidi="ar-SA"/>
        </w:rPr>
        <w:t xml:space="preserve"> (C.A.), at p. 554: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encompassing principle to be applied is that a surety is discharged if either the principal contract to which he gave his guarantee is varied without his consent in a matter (as the Supreme Court of Canada said in Holland-Canada Mortgage Co. v. Hutchings, </w:t>
      </w:r>
      <w:hyperlink r:id="rId312" w:history="1">
        <w:r>
          <w:rPr>
            <w:rFonts w:ascii="arial" w:eastAsia="arial" w:hAnsi="arial" w:cs="arial"/>
            <w:i/>
            <w:color w:val="0077CC"/>
            <w:sz w:val="20"/>
            <w:u w:val="single"/>
            <w:shd w:val="clear" w:color="auto" w:fill="FFFFFF"/>
            <w:lang w:val="en-US" w:eastAsia="en-US" w:bidi="ar-SA"/>
          </w:rPr>
          <w:t>[1936] S.C.R. 165</w:t>
        </w:r>
      </w:hyperlink>
      <w:r>
        <w:rPr>
          <w:rFonts w:ascii="arial" w:eastAsia="arial" w:hAnsi="arial" w:cs="arial"/>
          <w:color w:val="000000"/>
          <w:sz w:val="20"/>
          <w:lang w:val="en-US" w:eastAsia="en-US" w:bidi="ar-SA"/>
        </w:rPr>
        <w:t xml:space="preserve"> at p. 172 ...), not plainly unsubstantial or necessarily beneficial to the guarantor; or, if the terms of the contract of guarantee between the creditor and the surety are breached by the creditor. Where, as here, there is simply a wrongful dealing with the security taken by the creditor, and it is not shown that the taking (and hence the keeping as well) of the security was a condition of the giving of the guarantee, then the surety cannot be relieved beyond the value of the security lost to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same effect is the following summary from K. P. McGuinness, The Law of Guarantee (1986), at p. 282: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surety is entitled to a full release from liability only in two situations: (1) where the effect of the conduct or dealing of the creditor is to vary the risk of default by the principal; and (2) where the creditor violates a condition [page1019] of the surety's liability. Where an act by the creditor merely affects the amount for which the surety will be liable in the event of default, discharge is available only to the extent of the prejudice actually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Justice Iacobucci concluded, at p. 1019, that discharge from liability in respect of misconduct of the creditor (other than at the formation of the contract of guarantee) is based on two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First, that the guarantor has undertaken a particular risk, and should not have a materially different risk imposed upon him or her by the variation or breach of the terms of the principal contract. In such situations, since it should be left to the surety to decide whether to continue as a surety and bear the new risk, he or she is entitled to be discharged absolutely if his or her consent was not obtained. Second, where the surety's risk of being called upon remains the same, but the amount for which he or she will be liable is increased by an act of the creditor, the surety may be entitled to be discharged to the extent of that increase.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where the creditor breaches the principal contract but the breach does not prejudice the guarantor, the guarantor will not be discharged.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Here, Century's conduct in wrongfully posting the Contested Charges to TLT's loan account did not increase the risk imposed upon Ms. LeRoy of being called upon under the guarantee. She did not argue otherwise. It is not disputed that at the time Century issued its demand to her, in September 2008, there was more than $12 million owing on the loan. Had I not concluded that the guarantee was vitiated as a result of Century's misrepresentation at the time the guarantee was entered into, Ms. LeRoy would have been entitled to a proper accounting of the quantum of her liability but the guarantee would have remained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 have not overlooked Ms. LeRoy's submission to the effect that this result would not serve as a sufficient deterrent to wrongful conduct on the part of a creditor but, in my view, the circumstances here are not distinguishable from those in </w:t>
      </w:r>
      <w:r>
        <w:rPr>
          <w:rFonts w:ascii="arial" w:eastAsia="arial" w:hAnsi="arial" w:cs="arial"/>
          <w:i/>
          <w:color w:val="000000"/>
          <w:sz w:val="20"/>
          <w:lang w:val="en-US" w:eastAsia="en-US" w:bidi="ar-SA"/>
        </w:rPr>
        <w:t>Pax Management</w:t>
      </w:r>
      <w:r>
        <w:rPr>
          <w:rFonts w:ascii="arial" w:eastAsia="arial" w:hAnsi="arial" w:cs="arial"/>
          <w:color w:val="000000"/>
          <w:sz w:val="20"/>
          <w:lang w:val="en-US" w:eastAsia="en-US" w:bidi="ar-SA"/>
        </w:rPr>
        <w:t xml:space="preserve"> where, notwithstanding a clear finding of deceit on the part of the creditor, the guarantors were not entitled to be discharged on their guarantees.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LeRoy has established a fraudulent misrepresentation that vitiates the guarantee and renders the mortgage unenforceable. In summary:</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she agreed to guarantee TLT's indebtedness, Century represented to her that it intended to conduct itself and administer the loan in accordance with the terms of the TLT Loan Agreement;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representation was false because, at that time, Century was indifferent about whether it complied with the terms of the TLT Loan Agreement and it intended to post charges to the TLT loan account in accordance with its standard practices irrespective of whether those practices conflicted with the provisions of the TLT Loan Agreement;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Century was reckless with respect to the truth of the representation and displayed a wanton disregard as to whether Ms. LeRoy would be deceived by it;</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LeRoy relied on the representation and would not have agreed to guarantee TLT's indebtedness and provide the mortgage over her home had she known that Century was indifferent to the terms of the TLT Loan Agreement and intended to administer the TLT loan in accordance with its standard practices irrespective of whether those practices conflicted with the terms of the TLT Loan Agreement; and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LeRoy suffered a loss as a result of entering into the guarantee because it rendered her liable for the shortfall on TLT's loan and exposed her home to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action is dismissed. If the parties wish to speak to costs they may do so by contacting the registry for a hearing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7"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Chamberlain v. Jodoin (c.o.b. D Marie Hair Co.), [2011] B.C.J. No. 1029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13-15,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42926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1029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739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1371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 A.C.W.S. (3d) 865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Darin Gary Chamberlain, Plaintiff, and Donna Jodoin doing business as D Marie Hair Company and New Orient Enterprises Ltd., Defendants, and Donna Jodoin doing business as D Marie Hair Company,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8"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5" w:name="Keywords_17"/>
      <w:bookmarkEnd w:id="115"/>
      <w:r>
        <w:rPr>
          <w:rFonts w:ascii="arial" w:eastAsia="arial" w:hAnsi="arial" w:cs="arial"/>
          <w:b/>
          <w:color w:val="000000"/>
          <w:sz w:val="20"/>
          <w:lang w:val="en-US" w:eastAsia="en-US" w:bidi="ar-SA"/>
        </w:rPr>
        <w:t>Tort law — Occupiers' liability — Definitions — Occupier — Dangerous premises — Landlord and tenant — Particular situations — Ice and snow — Action by plaintiff for damages dismissed — Plaintiff slipped on ice in front of commercial building owned by New Orient — New Orient was not an occupier, as it was not in physical possession of business and did not control activities conducted therein — Jodoin had responsibility for sidewalk under lease — She meticulously maintained sidewalk when business was open — Business was closed when fall occurred — It was not reasonably foreseeable pedestrian would use area where fall occurred — It was reasonably foreseeable other tenant visited by plaintiff would clear sidewalk when it was open — Occupiers Liability Act, s. 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6" w:name="Case Summary_15"/>
            <w:bookmarkEnd w:id="1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Chamberlain, against the defendants, Jodoin and New Orient Enterprises, for damages to compensate for injuries suffered in a slip and fall. The plaintiff slipped and fell on an icy sidewalk adjacent to a commercial building owned by New Orient. Jodoin was the commercial tenant adjacent to where the fall occurred. The fall occurred just prior to noon. The plaintiff and his wife had just left a treatment centre office in New Orient's building. The plaintiff took two steps when his feet went out from under him and he fell, breaking his tibia. The plaintiff submitted that the defendants were negligent and were liable under the Occupiers Liability Act. The defendants each denied that they were negligent, or that they were occupiers under the Act. The principal of New Orient testified that he drove by the building once per week to conduct a visual check but was not otherwise permitted in the building unless accompanied by a tenant. A factual issue existed as to whether the plaintiff fell on city property or New Orient property. Also at issue was whether the plaintiff slipped on ice or something else.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7" w:name="Holdings of Court_14"/>
            <w:bookmarkEnd w:id="11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fell on New Orient's property based on photographic and survey evidence. The plaintiff's narrative account corresponded with the location depicted in the photograph and survey evidence, and with a photograph taken by a non-party commercial tenant who assisted the plaintiff post-fall. The plaintiff established that he fell on ice given the nature of his fall, the ice witnessed on the sidewalk by his wife, and the absence of evidence of any other cause of the fall. New Orient was not an occupier of the property under the Act, as it was not in physical possession of the property on which the plaintiff fell and did not have control over entry to the premises, the condition of the premises, or the activities conducted thereon. The lease imposed responsibility for maintenance of common areas, including the sidewalk where the fall occurred. Jodoin was an occupier under the Act and was responsible for the condition of the sidewalk based on the lease, and her use of the sidewalk area in front of her business. The plaintiff failed to establish that Jodoin was negligent. Jodoin was meticulous in keeping the area in front of her business safe for use when she was open for business. The accident occurred on a day on which Jodoin's business was closed. There was no foreseeable reason why a pedestrian would use the sidewalk apron where the fall occurred when the business was closed. In addition, it was reasonable for Jodoin to assume that the treatment centre would keep the area in front of its entrance cleared on days it was open for business. To the extent that the ice was caused by water dripping from the plaintiff's business sign, the resultant loss experienced by the plaintiff was not reasonably foreseeable.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8" w:name="Legislation Cited_9"/>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9"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320" w:history="1">
        <w:r>
          <w:rPr>
            <w:rFonts w:ascii="arial" w:eastAsia="arial" w:hAnsi="arial" w:cs="arial"/>
            <w:i/>
            <w:color w:val="0077CC"/>
            <w:sz w:val="20"/>
            <w:u w:val="single"/>
            <w:shd w:val="clear" w:color="auto" w:fill="FFFFFF"/>
            <w:lang w:val="en-US" w:eastAsia="en-US" w:bidi="ar-SA"/>
          </w:rPr>
          <w:t>RSBC 1996, CHAPTER 337, s. 1</w:t>
        </w:r>
      </w:hyperlink>
      <w:r>
        <w:rPr>
          <w:rFonts w:ascii="arial" w:eastAsia="arial" w:hAnsi="arial" w:cs="arial"/>
          <w:color w:val="000000"/>
          <w:sz w:val="20"/>
          <w:lang w:val="en-US" w:eastAsia="en-US" w:bidi="ar-SA"/>
        </w:rPr>
        <w:t>, s. 3, s. 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9" w:name="Counsel_17"/>
      <w:bookmarkEnd w:id="1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0"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Weatherill,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Donna Jodoin: D.R. Lewthwaite.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New Orient Enterprises Ltd.: S.K. Sidhu.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0" w:name="Judgment_17"/>
      <w:bookmarkEnd w:id="120"/>
      <w:r>
        <w:pict>
          <v:line id="_x0000_s1111"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1" w:name="G. BARROW J."/>
            <w:bookmarkEnd w:id="121"/>
            <w:r>
              <w:rPr>
                <w:rFonts w:ascii="arial" w:eastAsia="arial" w:hAnsi="arial" w:cs="arial"/>
                <w:b/>
                <w:color w:val="000000"/>
                <w:sz w:val="30"/>
                <w:lang w:val="en-US" w:eastAsia="en-US" w:bidi="ar-SA"/>
              </w:rPr>
              <w:t>G. 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slipped and fell on an icy sidewalk adjacent to a commercial building owned by the defendant, New Orient Enterprises Ltd. ("New Orient"). One of the tenants in the building is the defendant, Donna Jodoin.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argues that the defendants are liable both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as a matter of the ordinary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argues that both of the defendants were occupiers of the premises on which he fell. Both defendants deny that they are occupiers and both deny that they were otherwise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With two notable exceptions, the facts relating to liability are not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happened at approximately 11 a.m. on Sunday, December 23, 2007. Mr. Chamberlain and his wife, Ms. Park, had come to Vernon from their home in Vancouver to spend the holidays with Mr. Chamberlain's family. Mr. Chamberlain, accompanied by his wife, went to a group counselling meeting held at the Shuswap-Okanagan Treatment Centre Society. The society's offices are on the second floor of a commercial building at 2810 48th Avenue in downtown Vernon. Mr. Chamberlain and his wife planned to go shopping at a nearby mall after the meeting. To that end, they took the stairs from the second floor to street level and left the building exiting onto the sidewalk on 48th Avenue. Mr. Chamberlain had taken about two steps when his feet went out from under him and he fell. He suffered a displaced fracture of his left tibia, which required surgical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building at 2810 48th Avenue has been owned by New Orient for over 20 years. Throughout that time, Mr. Wong has been the sole shareholder of the company. The building has two storeys and houses three tenants. The top floor is entirely occupied by the treatment centre. They have been tenants in the building since approximately 1997. They are ordinarily open from Monday to Friday, but they also host meetings on weekends. Their premises can be accessed either from a ground-level door on 48th Avenue (the one the plaintiff used when he left the building) or from the rear of the building (the one the plaintiff used when he arrived at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two tenants on the ground floor: a hair salon operated by Ms. Jodoin and a laundromat. If one were to stand on 48th Avenue and face the building, the door that gives access to the second floor recovery centre offices is at the left (or east) end of the building; the hair salon is in the middle; and the laundromat is on the right. The property between the curb on 48th Avenue and the front of the New Orient building is covered by a combination of concrete slabs and decorative bricks. New Orient's property extends out several feet from the front of the building to where it abuts the sidewalk that is owned by the City of Vernon. There is no obvious feature on the ground that marks the boundary between the city's property and New Orient's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Jodoin opened D Marie Hair Salon in the New Orient building in July 2007, about six months before the accident. From its inception, the shop's hours of operation have been from Tuesday to Saturday. On Tuesdays, Wednesdays and Fridays, she is open between 9 a.m. and 5 p.m.; on Thursdays, she is open from 9 a.m. to 7 p.m.; and on Saturdays, she is open from 10 a.m. until 4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Hassard operates the laundromat next door to the hair salon. The laundromat is open seven days per week from 7:30 or 8 a.m. until 6 or 7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first of the two significant factual issues is precisely where the plaintiff fell - on city property or New Orient property. The only two eyewitnesses to the plaintiff's accident were the plaintiff himself and his wife, Ms. Park. They both gave their evidence in a straightforward and forthright manner. No issue was raised as to their credibility; the only issue is as to their reliability in fixing the precise location of Mr. Chamberlain's fall. Ms. Hassard was working in the laundromat when the plaintiff fell. Although she did not see him fall, she came out immediately after to offer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am satisfied that the plaintiff fell while on New Orient's property. Both the plaintiff and Ms. Park marked the location of his fall on a photograph of the area. The plaintiff commissioned a survey of the boundaries of New Orient's property. The surveyor superimposed those boundaries on photographs and when those boundaries are superimposed on the photograph marked by the plaintiff and his wife, the location they identified is on the New Orient property. In addition, the narrative account given by the plaintiff and Ms. Park corresponds with the location they plotted. They both testified that they had planned to go shopping after their meeting and that they left the recovery centre by the front entrance because they intended to cross 48th Avenue and continue on to the nearby shopping mall. The most direct route from the front entrance of the treatment centre to the mall involves travelling at a 45-degree angle to the front of the building and crossing 48th Avenue on that tangent. The plaintiff and his wife tacitly agreed to follow that route. It was cold on December 23, 2007, and it had snowed the night before. Both Mr. Chamberlain and his wife testified that once they were outside, they stopped at the threshold of the door and Mr. Chamberlain adjusted his wife's coat. They then set off at a 45-degree angle. They had taken no more than two paces before Mr. Chamberlain fell. The point that they marked on the photographic exhibit is approximately two paces from the threshold of the treatment centre's front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Hassard also marked a photograph indicating where Mr. Chamberlain was when she saw him lying on the sidewalk. Based on her evidence, the plaintiff came to rest entirely on city property. She very candidly acknowledged that her evidence of where she saw the plaintiff was an estimate and one given long after the fact. She testified that if she was mistaken in her estimate, she was not mistaken to a significant degree because she said that she could see Mr. Chamberlain on the sidewalk from inside the laundromat, and given the position she was in and the location of the windows at the front of her business, had he been significantly closer to the front of the building, she would not have been able to see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noted, I am satisfied that Mr. Chamberlain slipped on New Orient's property. Ms. Hassard was not particularly confident of her evidence as to his eventual location, and she noted that when she saw him, he was trying to get up, and thus it is not entirely clear that where he was when she saw him is where he fell. Indeed, I think it more likely that he fell closer to the recovery centre door than the position where he eventually came to rest. In any event, I am satisfied on a balance of probabilities based primarily on the clear and forthright evidence of the plaintiff and his wife that their estimate of the location at which he fell is the more accurate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second factual issue is whether the plaintiff slipped on ice or something else. I am satisfied that he slipped on ice. I reach that conclusion for three reasons. First, the nature of his fall, as attested to by him and Ms. Park, is consistent with him having stepped on something extremely slippery. Both described his feet as simply and instantly coming out from under him, so quickly in fact that he did not have time to brace for the fall. Second, Ms. Park saw ice on the sidewalk in the area that had been cleared by the action of Mr. Chamberlain's fall. Third, and finally, there is no evidence of anything else on the sidewalk that may account for Mr. Chamberlain's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defines "occupier"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"occupier"</w:t>
      </w:r>
      <w:r>
        <w:rPr>
          <w:rFonts w:ascii="arial" w:eastAsia="arial" w:hAnsi="arial" w:cs="arial"/>
          <w:color w:val="000000"/>
          <w:sz w:val="20"/>
          <w:lang w:val="en-US" w:eastAsia="en-US" w:bidi="ar-SA"/>
        </w:rPr>
        <w:t xml:space="preserve"> means a person who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is in physical possession of premises, or</w:t>
      </w:r>
    </w:p>
    <w:p>
      <w:pPr>
        <w:numPr>
          <w:numId w:val="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defines an occupiers' duty of care. It provides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Both Ms. Jodoin and New Orient argue that they are not "occupiers" as defined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the alternative, they argue that the plaintiff has not established that they were in breach of any duty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will deal with the question of whether either defendant has been proven to be an occupier first and then turn to the issue of liability more generally.</w:t>
      </w:r>
      <w:r>
        <w:rPr>
          <w:rFonts w:ascii="arial" w:eastAsia="arial" w:hAnsi="arial" w:cs="arial"/>
          <w:sz w:val="20"/>
          <w:lang w:val="en-US" w:eastAsia="en-US" w:bidi="ar-SA"/>
        </w:rPr>
        <w:cr/>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Liability of New Orient under the </w:t>
      </w:r>
      <w:r>
        <w:rPr>
          <w:rFonts w:ascii="arial" w:eastAsia="arial" w:hAnsi="arial" w:cs="arial"/>
          <w:b/>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Counsel for New Orient argues that New Orient was not in "physical possession of the premises", nor did it have or assume responsibility for, and control over, the condition of the premises and the persons allowed to enter on those premises and thus was not an occupier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Further, she argues that New Orient is not liable under s. 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will address these issues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"Physical possession" as used in the first definition of "occupier"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not synonymous with mere ownership (</w:t>
      </w:r>
      <w:r>
        <w:rPr>
          <w:rFonts w:ascii="arial" w:eastAsia="arial" w:hAnsi="arial" w:cs="arial"/>
          <w:i/>
          <w:color w:val="000000"/>
          <w:sz w:val="20"/>
          <w:lang w:val="en-US" w:eastAsia="en-US" w:bidi="ar-SA"/>
        </w:rPr>
        <w:t>Wiley v. Tymar Management Inc.</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(1995), 1 B.C.L.R. (3d) 201</w:t>
        </w:r>
      </w:hyperlink>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[1995] 3 W.W.R. 684</w:t>
        </w:r>
      </w:hyperlink>
      <w:r>
        <w:rPr>
          <w:rFonts w:ascii="arial" w:eastAsia="arial" w:hAnsi="arial" w:cs="arial"/>
          <w:color w:val="000000"/>
          <w:sz w:val="20"/>
          <w:lang w:val="en-US" w:eastAsia="en-US" w:bidi="ar-SA"/>
        </w:rPr>
        <w:t xml:space="preserve"> (S.C.) at para. 18; and </w:t>
      </w:r>
      <w:r>
        <w:rPr>
          <w:rFonts w:ascii="arial" w:eastAsia="arial" w:hAnsi="arial" w:cs="arial"/>
          <w:i/>
          <w:color w:val="000000"/>
          <w:sz w:val="20"/>
          <w:lang w:val="en-US" w:eastAsia="en-US" w:bidi="ar-SA"/>
        </w:rPr>
        <w:t>Zavaglia v. Maq Holdings Ltd.</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(1983), 50 B.C.L.R. 204</w:t>
        </w:r>
      </w:hyperlink>
      <w:r>
        <w:rPr>
          <w:rFonts w:ascii="arial" w:eastAsia="arial" w:hAnsi="arial" w:cs="arial"/>
          <w:color w:val="000000"/>
          <w:sz w:val="20"/>
          <w:lang w:val="en-US" w:eastAsia="en-US" w:bidi="ar-SA"/>
        </w:rPr>
        <w:t xml:space="preserve"> (Co. Ct.), aff'd </w:t>
      </w:r>
      <w:hyperlink r:id="rId323" w:history="1">
        <w:r>
          <w:rPr>
            <w:rFonts w:ascii="arial" w:eastAsia="arial" w:hAnsi="arial" w:cs="arial"/>
            <w:i/>
            <w:color w:val="0077CC"/>
            <w:sz w:val="20"/>
            <w:u w:val="single"/>
            <w:shd w:val="clear" w:color="auto" w:fill="FFFFFF"/>
            <w:lang w:val="en-US" w:eastAsia="en-US" w:bidi="ar-SA"/>
          </w:rPr>
          <w:t>(1996), 6 B.C.L.R. (2d) 286</w:t>
        </w:r>
      </w:hyperlink>
      <w:r>
        <w:rPr>
          <w:rFonts w:ascii="arial" w:eastAsia="arial" w:hAnsi="arial" w:cs="arial"/>
          <w:color w:val="000000"/>
          <w:sz w:val="20"/>
          <w:lang w:val="en-US" w:eastAsia="en-US" w:bidi="ar-SA"/>
        </w:rPr>
        <w:t xml:space="preserve"> (C.A.)). It involves more, usually some degree of physical presence on the property. In </w:t>
      </w:r>
      <w:r>
        <w:rPr>
          <w:rFonts w:ascii="arial" w:eastAsia="arial" w:hAnsi="arial" w:cs="arial"/>
          <w:i/>
          <w:color w:val="000000"/>
          <w:sz w:val="20"/>
          <w:lang w:val="en-US" w:eastAsia="en-US" w:bidi="ar-SA"/>
        </w:rPr>
        <w:t>Wiley v. Tymar Management Inc.</w:t>
      </w:r>
      <w:r>
        <w:rPr>
          <w:rFonts w:ascii="arial" w:eastAsia="arial" w:hAnsi="arial" w:cs="arial"/>
          <w:color w:val="000000"/>
          <w:sz w:val="20"/>
          <w:lang w:val="en-US" w:eastAsia="en-US" w:bidi="ar-SA"/>
        </w:rPr>
        <w:t xml:space="preserve">, the plaintiff was injured when a chair he was sitting in collapsed. The accident occurred in a mall owned by Tymar but leased to various charities that held bingos there. The plaintiff was at such a bingo when the accident happened. Tymar had purchased the mall about six weeks before the accident. Its general manager went to the mall roughly one day every other week to remove garbage. He did not have a key to premises and only went inside when in the company of an official from one of the charities. Allen J. held that this occasional attendance was insufficient to amount to "physical possession"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 similar issue arose with respect to the landlord in </w:t>
      </w:r>
      <w:r>
        <w:rPr>
          <w:rFonts w:ascii="arial" w:eastAsia="arial" w:hAnsi="arial" w:cs="arial"/>
          <w:i/>
          <w:color w:val="000000"/>
          <w:sz w:val="20"/>
          <w:lang w:val="en-US" w:eastAsia="en-US" w:bidi="ar-SA"/>
        </w:rPr>
        <w:t>Goldmanis v. Mador</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[1991] B.C.J. No. 3049</w:t>
        </w:r>
      </w:hyperlink>
      <w:r>
        <w:rPr>
          <w:rFonts w:ascii="arial" w:eastAsia="arial" w:hAnsi="arial" w:cs="arial"/>
          <w:color w:val="000000"/>
          <w:sz w:val="20"/>
          <w:lang w:val="en-US" w:eastAsia="en-US" w:bidi="ar-SA"/>
        </w:rPr>
        <w:t xml:space="preserve"> (S.C.). In that case, the plaintiff was injured when he fell into a ditch excavated immediately in front of the door to the defendant Mador's truck repair shop. The excavation was commissioned by the landlord and was on property it owned. The tenant did not lease the portion of property on which the plaintiff fell. As to the landlord's connection to the property, aside from commissioning the sewer work, the evidence was that he tried to go to the property once every three or four weeks and otherwise "as needed". Prowse J. (as she then was) concluded that "this occasional physical presence on the premises" was not sufficient to put the landlord in physical possession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Wong testified that he was not permitted to, and did not go into any of the rented premises in his building unless he was accompanied by a tenant. He said that he drives by the building once a week for the purpose of checking it. In addition, he sometimes visually checks the building if he was in the area on other business (something that occurs with some regularity). He does not enter on any portion of the premises when conducting these inspections; in fact, he does not usually even get out of his vehicle. When he notes a problem with the condition of the premises, he typically telephones the tenant concerned rather than physically going into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Ms. Jodoin had a written lease. In it, the "demised premises" are defined by reference to a plan diagram. That plan diagram extends to and includes the exterior walls of the building but not any property beyond those walls. The property on which Mr. Chamberlain fell was not, therefore, leased to Ms. Jodoin or anyone else for that matter. In this respect, New Orient's position is similar to the position of the landlord in </w:t>
      </w:r>
      <w:r>
        <w:rPr>
          <w:rFonts w:ascii="arial" w:eastAsia="arial" w:hAnsi="arial" w:cs="arial"/>
          <w:i/>
          <w:color w:val="000000"/>
          <w:sz w:val="20"/>
          <w:lang w:val="en-US" w:eastAsia="en-US" w:bidi="ar-SA"/>
        </w:rPr>
        <w:t>Goldmanis v. Mador</w:t>
      </w:r>
      <w:r>
        <w:rPr>
          <w:rFonts w:ascii="arial" w:eastAsia="arial" w:hAnsi="arial" w:cs="arial"/>
          <w:color w:val="000000"/>
          <w:sz w:val="20"/>
          <w:lang w:val="en-US" w:eastAsia="en-US" w:bidi="ar-SA"/>
        </w:rPr>
        <w:t>. I am not satisfied that New Orient was in physical possession of the property on which the plaintiff fell. Driving by once a week or even more frequently without physically entering on any part of the property is not sufficient to amount to physical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next issue is whether New Orient was an occupier on the basis of the second definition of that term. The component elements of that definition are to be read conjunctively (</w:t>
      </w:r>
      <w:r>
        <w:rPr>
          <w:rFonts w:ascii="arial" w:eastAsia="arial" w:hAnsi="arial" w:cs="arial"/>
          <w:i/>
          <w:color w:val="000000"/>
          <w:sz w:val="20"/>
          <w:lang w:val="en-US" w:eastAsia="en-US" w:bidi="ar-SA"/>
        </w:rPr>
        <w:t>Goldmanis v. Mador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v. Mohawk Property Corp.</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[1998] B.C.J. No. 1529</w:t>
        </w:r>
      </w:hyperlink>
      <w:r>
        <w:rPr>
          <w:rFonts w:ascii="arial" w:eastAsia="arial" w:hAnsi="arial" w:cs="arial"/>
          <w:color w:val="000000"/>
          <w:sz w:val="20"/>
          <w:lang w:val="en-US" w:eastAsia="en-US" w:bidi="ar-SA"/>
        </w:rPr>
        <w:t xml:space="preserve"> (S.C.) at para. 15; and </w:t>
      </w:r>
      <w:r>
        <w:rPr>
          <w:rFonts w:ascii="arial" w:eastAsia="arial" w:hAnsi="arial" w:cs="arial"/>
          <w:i/>
          <w:color w:val="000000"/>
          <w:sz w:val="20"/>
          <w:lang w:val="en-US" w:eastAsia="en-US" w:bidi="ar-SA"/>
        </w:rPr>
        <w:t>Hodgson v. Christensen</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[1989] B.C.J. No. 2322</w:t>
        </w:r>
      </w:hyperlink>
      <w:r>
        <w:rPr>
          <w:rFonts w:ascii="arial" w:eastAsia="arial" w:hAnsi="arial" w:cs="arial"/>
          <w:color w:val="000000"/>
          <w:sz w:val="20"/>
          <w:lang w:val="en-US" w:eastAsia="en-US" w:bidi="ar-SA"/>
        </w:rPr>
        <w:t xml:space="preserve"> (S.C.)). Thus, to be an occupier under the second definition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it must be shown that the putative occupier had both responsibility for and control over the three listed aspects or characteristics of occupation, namely, the condition of the premises, the activities conducted on those premises, and the persons allowed to enter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Hodgson v. Christensen</w:t>
      </w:r>
      <w:r>
        <w:rPr>
          <w:rFonts w:ascii="arial" w:eastAsia="arial" w:hAnsi="arial" w:cs="arial"/>
          <w:color w:val="000000"/>
          <w:sz w:val="20"/>
          <w:lang w:val="en-US" w:eastAsia="en-US" w:bidi="ar-SA"/>
        </w:rPr>
        <w:t xml:space="preserve">, the plaintiff was injured when she fell from a deck on a house owned by one of the defendants and leased by another. At issue was the liability of the owner/landlord. The deck from which the plaintiff fell was under repair. The landlord had agreed with the tenant to permit the tenant to undertake the repairs. The repairs had been underway for two or three weeks at the time of the accident. During that time, the landlord had visited the house on two or three occasions and made decisions about the ongoing repairs. Spencer J. held that the landlord did not meet the second definition of "occupier"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He wrote that "he did not have the minute to minute, hour to hour and day to day control over the premises" envisioned by the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New Orient's situation is similar to that of the landlord in </w:t>
      </w:r>
      <w:r>
        <w:rPr>
          <w:rFonts w:ascii="arial" w:eastAsia="arial" w:hAnsi="arial" w:cs="arial"/>
          <w:i/>
          <w:color w:val="000000"/>
          <w:sz w:val="20"/>
          <w:lang w:val="en-US" w:eastAsia="en-US" w:bidi="ar-SA"/>
        </w:rPr>
        <w:t>Goldmanis v. Mador</w:t>
      </w:r>
      <w:r>
        <w:rPr>
          <w:rFonts w:ascii="arial" w:eastAsia="arial" w:hAnsi="arial" w:cs="arial"/>
          <w:color w:val="000000"/>
          <w:sz w:val="20"/>
          <w:lang w:val="en-US" w:eastAsia="en-US" w:bidi="ar-SA"/>
        </w:rPr>
        <w:t>. Prowse J. concluded in that case that the landlord was not an occupier within the second aspect of the definition. She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not only did [the landlord] not have day-to-day control over the premises, but it also did not have control over the persons allowed to enter the premises. The premises were immediately adjacent to the plaintiff's shop, and it was the plaintiff who had control over the customers and others coming to the repair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 similar result was reached by Beames J. in </w:t>
      </w:r>
      <w:r>
        <w:rPr>
          <w:rFonts w:ascii="arial" w:eastAsia="arial" w:hAnsi="arial" w:cs="arial"/>
          <w:i/>
          <w:color w:val="000000"/>
          <w:sz w:val="20"/>
          <w:lang w:val="en-US" w:eastAsia="en-US" w:bidi="ar-SA"/>
        </w:rPr>
        <w:t>Brown v. Mohawk Property Corp.</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[1998] B.C.J. No. 1529</w:t>
        </w:r>
      </w:hyperlink>
      <w:r>
        <w:rPr>
          <w:rFonts w:ascii="arial" w:eastAsia="arial" w:hAnsi="arial" w:cs="arial"/>
          <w:color w:val="000000"/>
          <w:sz w:val="20"/>
          <w:lang w:val="en-US" w:eastAsia="en-US" w:bidi="ar-SA"/>
        </w:rPr>
        <w:t xml:space="preserve"> at para. 18. Even if it might be said that New Orient exercised some control over the activities in Ms. Jodoin's shop, there is no evidence it exercised any control over who went in the shop and thus who passed over the apron in front of it. Those were matters entirely within Ms. Jodoin's purview.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Thus, I am not satisfied that New Orient was an occupier under the second definition of that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 landlord may be liable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even if it is not an occupier. That is so because s. 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imposes a duty on landlords "if premises are occupied or used under a tenancy under which a landlord is responsible for the maintenance or repair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leases that New Orient had with the other two tenants in the building specifically addressed the responsibility of those tenants to maintain common areas of the building and the surrounding property. The lease that Ms. Jodoin entered into is silent on responsibility for the maintenance and repair of common areas. It imposes an obligation on Ms. Jodoin "to repair", and although that obligation is not specifically limited to the "demised premises", that is the only reasonable interpretation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Wong testified that when he negotiated the terms of Ms. Jodoin's lease, he dealt both with her and with her husband. He said that they asked about their responsibilities and that he emphasized to them, their obligation to attend to snow removal. He said that he told them that, like the other tenants, they had to keep the sidewalks in front of and behind the portion of the building that they leased clear of snow. He was not sure if he specifically communicated this requirement to Ms. Jodoin, but he did communicate to her husband. For her part, Ms. Jodoin testified that she could not recall discussing snow removal with Mr. Wong; she did not, however, rule out that possibility. Further, she testified that her husband may well have had such discussions with Mr. Wong; in fact, she assumed that he did. In part based on that assumption, she said that she did not raise the issue of clearing snow from the sidewalks but rather simply assumed that responsibility. According to all of the witnesses, Ms. Jodoin regularly shovelled the sidewalk in front of her premises, and there is no evidence that Mr. Wong or anyone else on behalf of New Orient ever shovelled the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accept the evidence of both Mr. Wong and Ms. Jodoin. They both impressed me as honest witnesses. From their evidence, I conclude that it was a term of Ms. Jodoin's tenancy, albeit an oral term, that she was responsible for clearing snow and other debris from the sidewalk in front of her store. I note in passing that the lease does not contain an entire contract clause or any similar provision. It follows that New Orient is not liable by operation of s. 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summary, I am not satisfied that New Orient is liable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Liability of Ms. Jodoin under the </w:t>
      </w:r>
      <w:r>
        <w:rPr>
          <w:rFonts w:ascii="arial" w:eastAsia="arial" w:hAnsi="arial" w:cs="arial"/>
          <w:b/>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argues that Ms. Jodoin was an occupier of the area on which he fell. In the alternative, the plaintiff argues that Ms. Jodoin is liable for the injuries he suffered on the basis of the ordinary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is, whether she was an occupier of the premises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Counsel for Ms. Jodoin argues that she was not an occupier of the premises in that she was neither in physical possession of the area nor did she have responsibility for and control over the three characteristics of occupation listed in the second part of the definition of that term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Counsel likens Ms. Jodoin's position to that of the tenant in </w:t>
      </w:r>
      <w:r>
        <w:rPr>
          <w:rFonts w:ascii="arial" w:eastAsia="arial" w:hAnsi="arial" w:cs="arial"/>
          <w:i/>
          <w:color w:val="000000"/>
          <w:sz w:val="20"/>
          <w:lang w:val="en-US" w:eastAsia="en-US" w:bidi="ar-SA"/>
        </w:rPr>
        <w:t>Gardner v. Unimet Investments Ltd.</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(1996), 19 B.C.L.R. (3d) 196</w:t>
        </w:r>
      </w:hyperlink>
      <w:r>
        <w:rPr>
          <w:rFonts w:ascii="arial" w:eastAsia="arial" w:hAnsi="arial" w:cs="arial"/>
          <w:color w:val="000000"/>
          <w:sz w:val="20"/>
          <w:lang w:val="en-US" w:eastAsia="en-US" w:bidi="ar-SA"/>
        </w:rPr>
        <w:t xml:space="preserve"> (C.A.). For the reasons already given, I am satisfied that Ms. Jodoin was responsible for the condition of the walkway or apron where Mr. Chamberlain fell, by virtue of the terms of her lease with New Orient. Further, I am satisfied that she also had control over and responsibility for activities on the apron. In addition to shovelling and otherwise maintaining the area, she routinely put a sandwich board style advertising sign on the walkway, inviting walk-in customers to her business. Finally, I am satisfied that she had some control over the people who were allowed to enter on the walkway.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circumstances in </w:t>
      </w:r>
      <w:r>
        <w:rPr>
          <w:rFonts w:ascii="arial" w:eastAsia="arial" w:hAnsi="arial" w:cs="arial"/>
          <w:i/>
          <w:color w:val="000000"/>
          <w:sz w:val="20"/>
          <w:lang w:val="en-US" w:eastAsia="en-US" w:bidi="ar-SA"/>
        </w:rPr>
        <w:t>Gardner v. Unimet</w:t>
      </w:r>
      <w:r>
        <w:rPr>
          <w:rFonts w:ascii="arial" w:eastAsia="arial" w:hAnsi="arial" w:cs="arial"/>
          <w:color w:val="000000"/>
          <w:sz w:val="20"/>
          <w:lang w:val="en-US" w:eastAsia="en-US" w:bidi="ar-SA"/>
        </w:rPr>
        <w:t xml:space="preserve"> were different. In that case, the plaintiff was walking on a city sidewalk in front of commercial premises rented by one of the defendants. He fell through the plate glass window of the tenant's store after slipping on snow or ice on the sidewalk. The tenant was found not to be an occupier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at trial. The plaintiff appealed and the issue on appeal was limited to whether the tenant was an occupier within the second component of the definition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court dismissed the appeal, noting that even if by unilaterally assuming responsibility for clearing the sidewalk and therefore assuming some responsibility over its condition, there was no basis to conclude that the tenant had control over persons using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Goldmanis</w:t>
      </w:r>
      <w:r>
        <w:rPr>
          <w:rFonts w:ascii="arial" w:eastAsia="arial" w:hAnsi="arial" w:cs="arial"/>
          <w:color w:val="000000"/>
          <w:sz w:val="20"/>
          <w:lang w:val="en-US" w:eastAsia="en-US" w:bidi="ar-SA"/>
        </w:rPr>
        <w:t xml:space="preserve"> was referred to in </w:t>
      </w:r>
      <w:r>
        <w:rPr>
          <w:rFonts w:ascii="arial" w:eastAsia="arial" w:hAnsi="arial" w:cs="arial"/>
          <w:i/>
          <w:color w:val="000000"/>
          <w:sz w:val="20"/>
          <w:lang w:val="en-US" w:eastAsia="en-US" w:bidi="ar-SA"/>
        </w:rPr>
        <w:t>Gardner v. Unimet</w:t>
      </w:r>
      <w:r>
        <w:rPr>
          <w:rFonts w:ascii="arial" w:eastAsia="arial" w:hAnsi="arial" w:cs="arial"/>
          <w:color w:val="000000"/>
          <w:sz w:val="20"/>
          <w:lang w:val="en-US" w:eastAsia="en-US" w:bidi="ar-SA"/>
        </w:rPr>
        <w:t xml:space="preserve"> and it is instructive on the issue of whether Ms. Jodoin is an occupier. In </w:t>
      </w:r>
      <w:r>
        <w:rPr>
          <w:rFonts w:ascii="arial" w:eastAsia="arial" w:hAnsi="arial" w:cs="arial"/>
          <w:i/>
          <w:color w:val="000000"/>
          <w:sz w:val="20"/>
          <w:lang w:val="en-US" w:eastAsia="en-US" w:bidi="ar-SA"/>
        </w:rPr>
        <w:t>Goldmanis</w:t>
      </w:r>
      <w:r>
        <w:rPr>
          <w:rFonts w:ascii="arial" w:eastAsia="arial" w:hAnsi="arial" w:cs="arial"/>
          <w:color w:val="000000"/>
          <w:sz w:val="20"/>
          <w:lang w:val="en-US" w:eastAsia="en-US" w:bidi="ar-SA"/>
        </w:rPr>
        <w:t xml:space="preserve">, the tenant made use of the property in front of its shop; property owned by the landlord but not leased to the tenant. The trial judge in </w:t>
      </w:r>
      <w:r>
        <w:rPr>
          <w:rFonts w:ascii="arial" w:eastAsia="arial" w:hAnsi="arial" w:cs="arial"/>
          <w:i/>
          <w:color w:val="000000"/>
          <w:sz w:val="20"/>
          <w:lang w:val="en-US" w:eastAsia="en-US" w:bidi="ar-SA"/>
        </w:rPr>
        <w:t>Gardner</w:t>
      </w:r>
      <w:r>
        <w:rPr>
          <w:rFonts w:ascii="arial" w:eastAsia="arial" w:hAnsi="arial" w:cs="arial"/>
          <w:color w:val="000000"/>
          <w:sz w:val="20"/>
          <w:lang w:val="en-US" w:eastAsia="en-US" w:bidi="ar-SA"/>
        </w:rPr>
        <w:t xml:space="preserve"> described the tenant in </w:t>
      </w:r>
      <w:r>
        <w:rPr>
          <w:rFonts w:ascii="arial" w:eastAsia="arial" w:hAnsi="arial" w:cs="arial"/>
          <w:i/>
          <w:color w:val="000000"/>
          <w:sz w:val="20"/>
          <w:lang w:val="en-US" w:eastAsia="en-US" w:bidi="ar-SA"/>
        </w:rPr>
        <w:t>Goldmanis</w:t>
      </w:r>
      <w:r>
        <w:rPr>
          <w:rFonts w:ascii="arial" w:eastAsia="arial" w:hAnsi="arial" w:cs="arial"/>
          <w:color w:val="000000"/>
          <w:sz w:val="20"/>
          <w:lang w:val="en-US" w:eastAsia="en-US" w:bidi="ar-SA"/>
        </w:rPr>
        <w:t xml:space="preserve"> as having "effectively appropriated" the area where the plaintiff fell. The tenant in </w:t>
      </w:r>
      <w:r>
        <w:rPr>
          <w:rFonts w:ascii="arial" w:eastAsia="arial" w:hAnsi="arial" w:cs="arial"/>
          <w:i/>
          <w:color w:val="000000"/>
          <w:sz w:val="20"/>
          <w:lang w:val="en-US" w:eastAsia="en-US" w:bidi="ar-SA"/>
        </w:rPr>
        <w:t>Goldmanis</w:t>
      </w:r>
      <w:r>
        <w:rPr>
          <w:rFonts w:ascii="arial" w:eastAsia="arial" w:hAnsi="arial" w:cs="arial"/>
          <w:color w:val="000000"/>
          <w:sz w:val="20"/>
          <w:lang w:val="en-US" w:eastAsia="en-US" w:bidi="ar-SA"/>
        </w:rPr>
        <w:t xml:space="preserve"> did that by parking equipment in front of his shop and storing material in the area. Prowse J. also noted that the tenant had some measure of control over the area in that the area was used primarily by people making use of the tenant's shop. She noted that the tenant had: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some control over the condition of the premises, at least insofar as being in a position to control the day-to-day condition of the premises. For example, if someone left a truck or tools blocking the office doorway, I have no doubt that [the tenant] had the authority to require that the truck or tools be moved, or that other debris be removed from the area. These daily responsibilities are the type that one would usually associate with the daily user of premises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of these observations are true of Ms. Jodoin's relationship to the apron in front of her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these circumstances, I am satisfied that she was occupier within the second aspect of the definition of that term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next issue is whether the plaintiff has proven that Ms. Jodoin was negligent. The duty imposed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is no different than the duty imposed by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Rendall v. Ewertt</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(1989), 38 B.C.L.R. (2d) 1</w:t>
        </w:r>
      </w:hyperlink>
      <w:r>
        <w:rPr>
          <w:rFonts w:ascii="arial" w:eastAsia="arial" w:hAnsi="arial" w:cs="arial"/>
          <w:color w:val="000000"/>
          <w:sz w:val="20"/>
          <w:lang w:val="en-US" w:eastAsia="en-US" w:bidi="ar-SA"/>
        </w:rPr>
        <w:t xml:space="preserve"> (C.A.)). The standard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described by Major J.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Ryan J.A. in </w:t>
      </w:r>
      <w:r>
        <w:rPr>
          <w:rFonts w:ascii="arial" w:eastAsia="arial" w:hAnsi="arial" w:cs="arial"/>
          <w:i/>
          <w:color w:val="000000"/>
          <w:sz w:val="20"/>
          <w:lang w:val="en-US" w:eastAsia="en-US" w:bidi="ar-SA"/>
        </w:rPr>
        <w:t>Atkins v. Jim Pattison Industries Ltd.</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(1998), 61 B.C.L.R. (3d) 183</w:t>
        </w:r>
      </w:hyperlink>
      <w:r>
        <w:rPr>
          <w:rFonts w:ascii="arial" w:eastAsia="arial" w:hAnsi="arial" w:cs="arial"/>
          <w:color w:val="000000"/>
          <w:sz w:val="20"/>
          <w:lang w:val="en-US" w:eastAsia="en-US" w:bidi="ar-SA"/>
        </w:rPr>
        <w:t>, expressed a similar proposition at para.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care which must be taken by the occupier will therefore, differ according to the nature and use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standard, however, is one of reasonableness not perfection (</w:t>
      </w:r>
      <w:r>
        <w:rPr>
          <w:rFonts w:ascii="arial" w:eastAsia="arial" w:hAnsi="arial" w:cs="arial"/>
          <w:i/>
          <w:color w:val="000000"/>
          <w:sz w:val="20"/>
          <w:lang w:val="en-US" w:eastAsia="en-US" w:bidi="ar-SA"/>
        </w:rPr>
        <w:t>O'Leary v. Rupert</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2010 BCSC 240</w:t>
        </w:r>
      </w:hyperlink>
      <w:r>
        <w:rPr>
          <w:rFonts w:ascii="arial" w:eastAsia="arial" w:hAnsi="arial" w:cs="arial"/>
          <w:color w:val="000000"/>
          <w:sz w:val="20"/>
          <w:lang w:val="en-US" w:eastAsia="en-US" w:bidi="ar-SA"/>
        </w:rPr>
        <w:t xml:space="preserve"> at para. 43, and </w:t>
      </w:r>
      <w:r>
        <w:rPr>
          <w:rFonts w:ascii="arial" w:eastAsia="arial" w:hAnsi="arial" w:cs="arial"/>
          <w:i/>
          <w:color w:val="000000"/>
          <w:sz w:val="20"/>
          <w:lang w:val="en-US" w:eastAsia="en-US" w:bidi="ar-SA"/>
        </w:rPr>
        <w:t>Nicoll v. The Owners of Strata Plan 1611</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2005 BCSC 770</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Turning to the circumstances of this case, the gravity of the harm to which users of the premises that Ms. Jodoin occupied is perhaps best illustrated by the injuries suffered by Mr. Chamberlain. In view of the risk of injuries of that kind, the question to be resolved is whether the care taken by Ms. Jodoin was reasonable. The greater the likelihood that people would frequent the area, and the greater the likelihood that they would be at risk in doing so, the more rigorous and exacting will be the care necessary to amount to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Several aspects of the use of the area in which Mr. Chamberlain fell are significant. The accident occurred on a Sunday morning. Ms. Jodoin's shop was not open on Sundays. Judging from the photographs, the window in the front of her shop does not appear designed to or otherwise likely to attract window shoppers. Further, although the apron area in front of Ms. Jodoin's store is largely indistinguishable from the sidewalk that it abuts, a reasonable and prudent person in Ms. Jodoin's circumstances would conclude that people merely using the sidewalk to travel up and down 48th Avenue would not wander onto the apron. That is so in part because the apron is in an area recessed from the sidewalk proper; the east and west boundary of the apron is marked by the protruding walls of the New Orient building. Pedestrians would have to deviate from the most direct east-west path on 48th Avenue to walk on the apron. On Sunday mornings, there would be no reason for pedestrians to do that. In short, a reasonable person in Ms. Jodoin's position would not foresee any routine use of the apron on Sundays and even exceptional use would be rare.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also relevant to consider the treatment centre's routine. It was open at least some Sundays, although how frequently is not clear. Ms. Jodoin was aware that it was open on some Sundays. In the absence of anything to suggest otherwise, a reasonable person in her situation would be entitled to assume that the treatment centre would discharge its responsibilities towards its patrons by keeping the area in front of its entrance cleared, salted and sanded when it was open for business. It would be reasonable for Ms. Jodoin to proceed on the basis that patrons of the treatment centre would use the cleared path available to them when accessing the sidewalk. Thus, while it might be reasonable for Ms. Jodoin to assume some use of the apron area associated with the treatment centre's operations, it would not be reasonable for her to assume that its patrons would use the apron area in front of her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 second aspect of the analysis of the likelihood of foreseeable harm is the likelihood of the presence of ice on the apron. If, even in an area of low pedestrian usage, there is a likelihood of the presence of ice, or some similar hazzard, adjacent to a sidewalk, greater care will be necessary on the part of an occupier if they are to avoid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in this case has advanced a theory about how the ice came to be present on the sidewalk on the day in question. Specifically, the plaintiff argues that the ice resulted from water dripping from Ms. Jodoin's overhead sign. When Ms. Jodoin purchased the beauty salon in the summer of 2007, she acquired an uninstalled backlit overhead sign. With New Orient's permission, she had the sign installed above her shop on the lower portion of the north facing second-storey wall. The sign is approximately 10 feet long, 2 feet high and 4 or 5 inches deep. It is attached to the building such that it faces or is parallel to the street. The sign is backlit and the lights are hooked up to a photosensitive cell, such that they come on when it is dark and are extinguished during daylight hours. The eastern edge of the sign is immediately above the ice that Mr. Chamberlain slipped on. It snowed lightly the night before he fell. The plaintiff theorizes that snow accumulated on the top of the sign, melted during the night as a result of the heat generated by the lights in the sign, and the resulting water ran off the sign and dripped onto the sidewalk where it froze.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am satisfied on a balance of probabilities that the ice on the sidewalk on which Mr. Chamberlain slipped was caused in the manner that the plaintiff theorizes. I reach that conclusion for two primary reasons. First, the plaintiff had photographs of the sign taken at night when it was snowing. Mr. Strand, who took the photographs, testified that snow accumulated on the top of the laundromat sign, which appears to be almost the same size as Ms. Jodoin's sign but is not backlit. Snow did not accumulate on Ms. Jodoin's sign. The photographs support Mr. Strand's observations. Second, there is no other source of water in the vicinity of the ice that Mr. Chamberlain slipped on. In the result, I think it more likely than not that the ice on the sidewalk that he slipped on was the result of water dripping from Ms. Jodoin's overhead sign and then freezing once it accumulated on the apron.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question that remains is whether a reasonable person in Ms. Jodoin's circumstances would foresee the presence of ice accumulating on the apron area on days or at times when her business is not open. I limit the inquiry to such times because ice or a slippery surface may result from the compaction of snow due to routine pedestrian traffic. For the reasons already given, there was no reason for Ms. Jodoin to anticipate pedestrian traffic in the area in front of her store. Ms. Jodoin testified that neither before December 23, 2007, nor at any time since has she ever noticed ice on the apron in the area at or near the treatment centre's doorway. Further, she testified that no one has ever expressed concern to her about the presence of ice. Ms. Jodoin impressed me as a careful and forthright witness. I accept her evidence on these and other matters. She testified that she did not become aware of Mr. Chamberlain's accident until September 2008, some 10 months after the fact. She learned of his accident when she was visited by an insurance adjuster. After that visit, she began to pay particular attention to the area underneath her sign and in the vicinity of the treatment centre's front entrance. Even with her attention drawn to the concern, she did not notice ice on the sidewalk. She did notice small icicles forming on the east end of the sign on one occasion, and she called the insurance adjuster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From the foregoing, I am satisfied that the presence of ice on the sidewalk in front of Ms. Jodoin's business is a rare occurrence. I reach that conclusion because I accept Ms. Jodoin's evidence to the effect that she is not aware of ice forming in that area otherwise than in connection with the fall that Mr. Chamberlain suffered. Further, I accept that the ice formed as a result of the operation of the overhead sign. For ice to form as it did on the day in question, it is necessary that there be a snowfall when temperatures are not so cold as to counteract the effect of the heat generated by the lights in the sign, but not so warm as to allow the melted snow to simply evaporate. The confluence of those conditions is rare and that is consistent with Ms. Jodoin's empirical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summary, the risk of anyone coming to harm as a result of the condition of the apron on a Sunday morning in the winter is, in my view, very low. That is so both because very few people could reasonably be expected to be on the premises and because the presence of ice is, if anything, even less likely. It is as against this background that the issue of Ms. Jodoin's conduct falls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Jodoin testified that she is meticulous about the condition of her shop and the sidewalk or apron area in front of it when she is open for business. She said that a significant number of her customers wear high heels and thus are at greater risk of slipping and falling in the winter, and because she wants them to be safe when they use her premises, she takes particular care to ensure that the area in front of her store is free of ice and snow. A former employee of hers, Pamela Sagh, testified that Ms. Jodoin made it clear to her staff that it was important to salt and shovel the area in front of the store. She said that the store kept a logbook in which staff members had to enter the date and time at which they shovelled or salted. I digress to note that the logbook for the winter of 2007/2008 was inadvertently discarded after her basement, where she had stored the book, was flooded. Helen Hassard, the proprietor of the laundromat next door to Ms. Jodoin's shop, testified that Ms. Jodoin was "very diligent" about snow removal. She said that she had seen Ms. Jodoin shovelling snow in her high heels. She also saw her putting an ice melting agent on the sidewalk as necessary. Mr. Wong testified that Ms. Jodoin was conscientious about her responsibilities, including keeping the area surrounding her shop clear of snow. He said that he had never received any complaints of ice on the sidewalk in front of her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Jodoin testified that either she or one of her employees would shovel and salt the apron in front of her store before the store opened if it had snowed the night before. She also said that they would do that as necessary throughout the day. On Saturday, December 22, 2007 (the day before the accident), she and Ms. Sagh and another employee were working. She was able to say that not because she has any particular memory of that day but rather because her accounting records indicate as much. She testified that it was her invariable practice to salt and sand throughout the day as necessary. On days when her store was closed, she did not shovel snow unless the snow fall was such that the City ploughed the streets. She was aware when the City ploughed the streets because she lived in Vernon and because her husband's job involved snowploughing.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accept that Ms. Jodoin followed the practice she described and did so before, during and after December 23,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Counsel for Mr. Chamberlain argues that Ms. Jodoin's practice, in effect, amounted to doing nothing. He likens this situation to that in </w:t>
      </w:r>
      <w:r>
        <w:rPr>
          <w:rFonts w:ascii="arial" w:eastAsia="arial" w:hAnsi="arial" w:cs="arial"/>
          <w:i/>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xml:space="preserve">. The plaintiff in that case was seriously injured when he fell on an icy parking area on the defendant's rural residential property in February in Ontario. The accident occurred four days after an ice storm had left the area treacherous. The defendant testified that she did not sand or salt the area where the plaintiff fell because she did not consider it necessary or reasonable to do so. She said that to her knowledge, few if any of the residents in the area salted or sanded their laneways in the winter. Austin J. found the defendant liable. In doing so, he wrote that "to do nothing at all regardless of changing conditions is surely not reasonable care to see that visitors are reasonably safe". It is worth noting that the defendant in </w:t>
      </w:r>
      <w:r>
        <w:rPr>
          <w:rFonts w:ascii="arial" w:eastAsia="arial" w:hAnsi="arial" w:cs="arial"/>
          <w:i/>
          <w:color w:val="000000"/>
          <w:sz w:val="20"/>
          <w:lang w:val="en-US" w:eastAsia="en-US" w:bidi="ar-SA"/>
        </w:rPr>
        <w:t>Waldick</w:t>
      </w:r>
      <w:r>
        <w:rPr>
          <w:rFonts w:ascii="arial" w:eastAsia="arial" w:hAnsi="arial" w:cs="arial"/>
          <w:color w:val="000000"/>
          <w:sz w:val="20"/>
          <w:lang w:val="en-US" w:eastAsia="en-US" w:bidi="ar-SA"/>
        </w:rPr>
        <w:t xml:space="preserve"> knew that the plaintiff was using the area. The plaintiff was in the midst of a visit with the defendant when the accident happened. Iacobucci J. observed at para. 33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statutory duty on occupiers is framed quite generally, as indeed it must be. That duty is to take reasonable care in the circumstances to make the premises safe. That duty does not change but the factors which are relevant to an assessment of what constitutes reasonable care will necessarily be very specific to each fact situation -- thus the proviso "such care as in all circumstances of the case is reasonable"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Waldick</w:t>
      </w:r>
      <w:r>
        <w:rPr>
          <w:rFonts w:ascii="arial" w:eastAsia="arial" w:hAnsi="arial" w:cs="arial"/>
          <w:color w:val="000000"/>
          <w:sz w:val="20"/>
          <w:lang w:val="en-US" w:eastAsia="en-US" w:bidi="ar-SA"/>
        </w:rPr>
        <w:t xml:space="preserve"> does not stand for the proposition that "doing nothing" will always amount to a want of reasonable care. It will in the face of known and foreseeable risks, as the circumstances in </w:t>
      </w:r>
      <w:r>
        <w:rPr>
          <w:rFonts w:ascii="arial" w:eastAsia="arial" w:hAnsi="arial" w:cs="arial"/>
          <w:i/>
          <w:color w:val="000000"/>
          <w:sz w:val="20"/>
          <w:lang w:val="en-US" w:eastAsia="en-US" w:bidi="ar-SA"/>
        </w:rPr>
        <w:t>Waldick</w:t>
      </w:r>
      <w:r>
        <w:rPr>
          <w:rFonts w:ascii="arial" w:eastAsia="arial" w:hAnsi="arial" w:cs="arial"/>
          <w:color w:val="000000"/>
          <w:sz w:val="20"/>
          <w:lang w:val="en-US" w:eastAsia="en-US" w:bidi="ar-SA"/>
        </w:rPr>
        <w:t xml:space="preserve"> demonstrate. In the matter at hand, the defendant's system for ensuring a reasonably safe area in front of her store did not amount to doing nothing in a general sense. To the contrary, when she was open for business, she was meticulous in keeping the area safe for use. Even when she was not open, she took some steps to maintain the premises in a reasonably safe condition. The level of care she employed, however, did not extend to attending on the day that the plaintiff suffered his injuries. The question is whether, in all of the circumstances, the method that she employed and followed amounted to reasonable care. It was reasonable for Ms. Jodoin to conclude that people would not use the area in front of her store when her store was not open for business. Further, it was reasonable for her to conclude that ice would not accumulate in the area. Given the relatively remote prospect of either of these circumstances occurring, I am satisfied that the steps Ms. Jodoin took amounted to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follows that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Unless there are matters touching on the issue of costs about which I am unaware, the defendants are entitled to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2"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Christensen (litigation guardian of) v. Gerber, [2007] B.C.J. No. 749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M053426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749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501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Joshua Christensen, an infant, by his litigation guardian Wayne Christensen, and Wayne Christensen, Plaintiffs, and Martin Dell Gerber and Honda Canada Finance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3"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2" w:name="Keywords_18"/>
      <w:bookmarkEnd w:id="122"/>
      <w:r>
        <w:rPr>
          <w:rFonts w:ascii="arial" w:eastAsia="arial" w:hAnsi="arial" w:cs="arial"/>
          <w:b/>
          <w:color w:val="000000"/>
          <w:sz w:val="20"/>
          <w:lang w:val="en-US" w:eastAsia="en-US" w:bidi="ar-SA"/>
        </w:rPr>
        <w:t>Civil procedure — Judgments and orders — Summary judgments — To dismiss action — Application by the defendants to dismiss the plaintiffs' action for damages for personal injuries as the result of a motor vehicle accident dismissed — Issue of liability could not be dealt with summarily because of the need to hear evidence from the individual defendant and from the expert witnesses.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Pedestrians — Causation — Causal connection — Application by the defendants to dismiss the plaintiffs' action for damages for personal injuries as the result of a motor vehicle accident dismissed — Issue of liability could not be dealt with summarily because of the need to hear evidence from the individual defendant and from the expert witnesses.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3" w:name="Case Summary_16"/>
            <w:bookmarkEnd w:id="1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dismiss the plaintiffs' action -- Infant plaintiff was injured when he was struck by a motor vehicle that was driven by the defendant Gerber -- Defendants claimed that the plaintiffs could not prove that Gerber was negligent or that his driving caused or contributed to the accident -- Infant plaintiff did run into the path of Gerber's vehicle at a place where pedestrians were not permitted to cross the street -- Gerber was not aware of the infant plaintiff until he ran in front of his vehicle and was struck -- In the moments that preceded the accident Gerber was looking in his left-hand rear-view mirror -- HELD: Application dismissed -- Onus was on the plaintiffs to demonstrate, on a balance of probabilities, that Gerber's conduct caused or contributed to the infant plaintiff's injuries -- Court could not determine the probable opportunity that Gerber, given his distraction, saw the infant plaintiff on the sidewalk as he approached the point of collision -- It was not just to determine this question without having had an opportunity to hear evidence from Gerber and the expert witnesses -- Gerber's credibility could be a factor on one hand and the ability of each expert to defend his conclusion under cross-examination would assist the court on the other hand -- It was therefore not appropriate to decide the issue of liability on a summary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4" w:name="Legislation Cited_10"/>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4"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340" w:history="1">
        <w:r>
          <w:rPr>
            <w:rFonts w:ascii="arial" w:eastAsia="arial" w:hAnsi="arial" w:cs="arial"/>
            <w:i/>
            <w:color w:val="0077CC"/>
            <w:sz w:val="20"/>
            <w:u w:val="single"/>
            <w:shd w:val="clear" w:color="auto" w:fill="FFFFFF"/>
            <w:lang w:val="en-US" w:eastAsia="en-US" w:bidi="ar-SA"/>
          </w:rPr>
          <w:t>R.S.B.C. 1996, c. 318, s. 179</w:t>
        </w:r>
      </w:hyperlink>
      <w:r>
        <w:rPr>
          <w:rFonts w:ascii="arial" w:eastAsia="arial" w:hAnsi="arial" w:cs="arial"/>
          <w:color w:val="000000"/>
          <w:sz w:val="20"/>
          <w:lang w:val="en-US" w:eastAsia="en-US" w:bidi="ar-SA"/>
        </w:rPr>
        <w:t>(2), s. 180,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5" w:name="Counsel_18"/>
      <w:bookmarkEnd w:id="1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D.H. Doig and C. McTavish.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M. Wright and A.Y. Chan.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6" w:name="Judgment_18"/>
      <w:bookmarkEnd w:id="126"/>
      <w:r>
        <w:pict>
          <v:line id="_x0000_s1116" style="position:absolute;z-index:2518312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7" w:name="MELNICK J._0"/>
            <w:bookmarkEnd w:id="127"/>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pursuant to Rule 18A for the dismissal of the plaintiffs' action. The plaintiff, Joshua Christensen ("Joshua"), was injured when struck by a motor vehicle driven by the defendant, Martin Dell Gerber ("Mr. Gerber"), on April 25, 2005. It is the position of the defendants that the plaintiffs cannot prove on a balance of probabilities that Mr. Gerber was negligent and that his driving caused or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agree that it is appropriate to deal with the issue of liability on a Rule 18A summary judgment application. However, they take the view that, while Joshua was contributorily negligent, the greater percentage of liability for the accident, and thus Joshua's injuries, lies with Mr. Gerber.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parties agree that if the court is unable to find the facts necessary to give judgment or finds that it would be unjust to do so, they wish to make further submissions on whether it would be appropriate to first hear the trial of the issue of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little direct evidence to assist the court. Joshua has no memory of the events leading up to the accident. Mr. Gerber was not aware of Joshua until Joshua ran out in front of his vehicle and was struck by him. In the moments immediately preceding his vehicle striking Joshua, his attention, he says, was directed to his left-hand rear-view mirror while he checked for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single eye-witness was Margaret McCrae ("Ms. McCrae"). She resides in Surrey close to the scene of the accident which occurred on 102nd Avenue in Surrey west of 140th Street on a bright, clear, sunlit afternoon. At approximately 2:30 pm she observed two young boys on the south sidewalk of 102nd Avenue. One of the boys was Joshua.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McCrae saw Joshua standing on the north edge of the south sidewalk in a pose as if he was going to run across the street, apparently waiting for eastbound cars on 102nd Avenue to pass. It is her experience that "traffic goes at a fair clip on this part of 102nd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McCrae saw Joshua wait on the curb for one car to pass and then saw that he was going to "take off" across the street. She yelled "no" to no avail. She observed him run into the street and directly into the path of what turned out to be Mr. Gerber's 2003 Acrua 3.2 TL which he leased from the defendant, Honda Canada Financing Inc. ("Honda").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was no suggestion in Ms. McCrae's evidence that Mr. Gerber was speeding. Mr. Gerber's vehicle appeared to be going at the same speed as other traffic, she said. She did not believe that Mr. Gerber's vehicle swerved to avoid Joshua or braked before hitting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McCrae also noted that there were no cars parked in the immediate area where Joshua ran into the street although there were parked cars on the south side of 102nd Avenue two or three car lengths west of the point where Joshua entered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Joshua had apparently been returning home from school. At the time, he was in Grade 6, 11 years old, and had just that school year begun walking to and from school unaccompanied.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nearby resident, Richard Crowe ("Mr. Crowe"), heard but did not see the collision and ran out to offer assistance. In his affidavit, he gave evidence that there are usually a lot of pedestrians in this area, particularly on weekdays at the time of day when the accident occurred when children are walking home from school to the many townhouse complexes in the area. Mr. Gerber, although a lifelong resident of Surrey, was not particularly familiar with the traffic and pedestrian patterns on 102nd Avenue,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Both sides presented opinion evidence from accident reconstruction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defence put forward the evidence of Harvey West ("Mr. West") of Baker Materials Engineering Ltd. He summarized his opinion as follows: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speed of Mr. Gerber's vehicle was between 39 and 44 km/h when it struck Joshua .</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Shade may have obscured the presence of Joshua on the sidewalk.</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nothing obscuring the presence of the approaching Gerber vehicle to Joshua.</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it took Joshua to run from the curb to where he was struck was likely less than 1.4 seconds. This amount of time left Mr. Gerber with no opportunity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response, the plaintiffs presented the opinion of Gerald Sdoutz ("Mr. Sdoutz"), of Forensic Dynamics Inc., who summarized his opinion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Joshua could have been visible on the sidewalk to Mr. Gerber for 7 to 8 seconds, or 85 metres (279'), before Mr. Gerber reached the point of impact.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Gerber had seen Joshua on the sidewalk, prior to Joshua leaving the curb, his perception response time would most likely have been 0.7 seconds as an alerted driver.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Joshua is estimated to have required 1.6 seconds, or possibly longer, to travel from the curb to the point of impact.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Joshua entered the roadway there was enough time and distance available to Mr. Gerber to have stopped his vehicle prior to reaching the point of impact.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he could have avoided the collision had he swerved his Acura 0.38 metres (15")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reply, the defendants put forward the opinion of Jonathan Gough ("Mr. Gough") of Baker Materials Engineering Ltd. who took issue with some of Mr. Sdoutz's assumptions (as had Mr. Sdoutz with respect to the report of Mr. West) to challenge the extent to which Joshua may have been visible to Mr. Gerber, as well as Mr. Sdoutz's opinion with respect to Mr. Gerber's perception response time and the time it would have taken Joshua to go from his position of rest on the sidewalk to being struck by Mr. Gerber's vehicle. Particularly, Mr. Gough challenged Mr. Sdoutz's conclusion that Mr. Gerber would have had 7 to 8 seconds in which to be aware of Joshua's presence on the sidewalk given Mr. Gough's understanding of the placement of the parked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All three experts necessarily had to rely on the best available evidence, the police report, which estimated the point of impact based upon the location of the vehicle, Joshua's body after the accident, and certain debris such as one of his running shoes and his knapsack. They also relied on tests that had been performed under controlled conditions to gage response times of drivers going at certain speeds and then being presented with hazards both at a point known and at a point unknown to them. As well, other studies dealt with the speed of movement of children of roughly Joshua's age. Of course, to be factored in was the dynamic of Joshua's particular size and likely speed (his father and litigation guardian Wayne Christensen ("Mr. Christensen") described him as then being 5'4" tall, 150 lbs., not particularly physically well developed or athletic and slower than most of his classmates).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Although it is the defence that has moved to have the action of the plaintiffs dismissed, the onus is on the plaintiffs to demonstrate on a balance of probabilities that Mr. Gerber's conduct caused or contributed to Joshua's injuries (see </w:t>
      </w:r>
      <w:r>
        <w:rPr>
          <w:rFonts w:ascii="arial" w:eastAsia="arial" w:hAnsi="arial" w:cs="arial"/>
          <w:b/>
          <w:i/>
          <w:color w:val="000000"/>
          <w:sz w:val="20"/>
          <w:lang w:val="en-US" w:eastAsia="en-US" w:bidi="ar-SA"/>
        </w:rPr>
        <w:t>Miura v. Miura</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[1992] B.C.J. No. 819</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While counsel for the plaintiffs concedes Joshua must accept a measure of responsibility for the accident, he seeks to impute a large measure of responsibility to Mr. Gerber on the basis of the principles in </w:t>
      </w:r>
      <w:r>
        <w:rPr>
          <w:rFonts w:ascii="arial" w:eastAsia="arial" w:hAnsi="arial" w:cs="arial"/>
          <w:b/>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as noted at p. 461.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decision of every motor vehicle collision case must depend on its particular facts, I am of the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These principles apply equally with respect to the duty of the driver of an automobile to a pedestrian (see </w:t>
      </w:r>
      <w:r>
        <w:rPr>
          <w:rFonts w:ascii="arial" w:eastAsia="arial" w:hAnsi="arial" w:cs="arial"/>
          <w:b/>
          <w:i/>
          <w:color w:val="000000"/>
          <w:sz w:val="20"/>
          <w:lang w:val="en-US" w:eastAsia="en-US" w:bidi="ar-SA"/>
        </w:rPr>
        <w:t>McIntyre v. Morgan</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[1980] B.C.J. No. 2182</w:t>
        </w:r>
      </w:hyperlink>
      <w:r>
        <w:rPr>
          <w:rFonts w:ascii="arial" w:eastAsia="arial" w:hAnsi="arial" w:cs="arial"/>
          <w:color w:val="000000"/>
          <w:sz w:val="20"/>
          <w:lang w:val="en-US" w:eastAsia="en-US" w:bidi="ar-SA"/>
        </w:rPr>
        <w:t xml:space="preserve"> (B.C.S.C.) and </w:t>
      </w:r>
      <w:r>
        <w:rPr>
          <w:rFonts w:ascii="arial" w:eastAsia="arial" w:hAnsi="arial" w:cs="arial"/>
          <w:b/>
          <w:i/>
          <w:color w:val="000000"/>
          <w:sz w:val="20"/>
          <w:lang w:val="en-US" w:eastAsia="en-US" w:bidi="ar-SA"/>
        </w:rPr>
        <w:t>Bourne (Guardian ad litem of) v. Anderson</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(1997), 27 M.V.R. (3d) 63</w:t>
        </w:r>
      </w:hyperlink>
      <w:r>
        <w:rPr>
          <w:rFonts w:ascii="arial" w:eastAsia="arial" w:hAnsi="arial" w:cs="arial"/>
          <w:color w:val="000000"/>
          <w:sz w:val="20"/>
          <w:lang w:val="en-US" w:eastAsia="en-US" w:bidi="ar-SA"/>
        </w:rPr>
        <w:t xml:space="preserve"> at para. 55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Thus, notwithstanding that Mr. Gerber indicates in evidence that he was doing something which it is lawful to do (check his rear-view mirror), the question arises as to the necessity for his doing so on a street with one lane of travel in each direction. It also raises the question of the length of time that he looked into that mirror in comparison to the amount of time that he may have had available to see Joshua on the sidewalk in a position physically demonstrative of being ready to dash across the street. That, of course, calls into question the angle of view available to him due to the parked cars (a matter in dispute between the experts) and the amount of shade that may have partially obscured his view of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Undoubtedly, Joshua ran into the path of Mr. Gerber's vehicle at a place where pedestrians are not permitted to cross the street. In that, he was in breach of ss. 179(2) and 180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Those sections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179(2) A pedestrian must not leave a curb or other place of safety and walk or run into the path of a vehicle that is so close it is impracticable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When a pedestrian is crossing a highway at a point not in a crosswalk, the pedestrian must yield the right of way to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However, 181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also places a responsibility on drivers of motor vehicles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Despite sections 178, 179 and 180, a driver of a vehicle must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opinions of the experts, dealing in fractions of seconds, are important to the positions of the parties. In the view of the defence, Mr. Gerber could not have perceived Joshua and reacted in time even if he had been facing forward and not looking into his mirror. On the other hand, according to the plaintiffs, Mr. Gerber should have been sufficiently aware of the presence of Joshua on the sidewalk so as to be on guard against the possibility of his bolting into traffic, thus being able to brake in time or swerve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as the finder of fact, I can weigh the opinions of the experts and conclude that, in any given report, the assumptions relied upon were appropriate or not appropriate, ultimately I have to be satisfied that the factual foundation for the reports is reliable and accords with the evidence of the facts made available to me. This is particularly so where, as here, fractions of a second can make a difference between liability or percentage of liability. In the result, I find myself unable to determine the probable opportunity, if any, Mr. Gerber had to see Joshua on the sidewalk as he approached the point of the collision given the extent of Mr. Gerber's distraction. In other words, it would not be just to determine this question without having an opportunity to hear evidence from Mr. Gerber and from the expert witnesses. Mr. Gerber's credibility may well be a factor on the one hand and the ability of each expert to defend his conclusion under cross-examination would be of assistance to the Court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Thus, in fairness to both the plaintiffs and the defendants, I determine that it would not be appropriate to decide the issue of liability on this summary trial. Rather, the matter should be dealt with in the context of a regular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That raises the question of whether that trial should be on the question of liability only or on both liability and damages. Counsel may make written submissions to me or, if those submissions will be short, telephone submissions at a time to be arranged.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Crossman (Litigation guardian of) v. Boiley, [2016] B.C.J. No. 1647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M.H. Church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S132492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1647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1437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Cabe Crossman, By his Litigation Guardian, Sarah Corrin and the said Sarah Corrin, Plaintiff, and Selina Boiley, Vancouver Island Health Authority and Jane Does #1-2,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8"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8" w:name="Keywords_19"/>
      <w:bookmarkEnd w:id="128"/>
      <w:r>
        <w:rPr>
          <w:rFonts w:ascii="arial" w:eastAsia="arial" w:hAnsi="arial" w:cs="arial"/>
          <w:b/>
          <w:color w:val="000000"/>
          <w:sz w:val="20"/>
          <w:lang w:val="en-US" w:eastAsia="en-US" w:bidi="ar-SA"/>
        </w:rPr>
        <w:t>Civil litigation — Civil procedure — Settlements — Approval — Application by the plaintiff for approval of an infant settlement and distribution of almost $509,000 from the settlement funds for past care in trust claims allowed in part — At the time of his birth in 2011, the plaintiff suffered catastrophic injuries — The plaintiff alleged that the defendants were negligent — Liability was admitted by the defendants and the parties reached a tentative settlement — The hourly rate claimed by the parents and grandparents was unreasonable — Payment of $250,000 was authorized for past care in trust claims — The proposed settlement was fair and reasonable and was approved.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Proceedings — Practice and procedure — Settlements — Application by the plaintiff for approval of an infant settlement and distribution of almost $509,000 from the settlement funds for past care in trust claims allowed in part — At the time of his birth in 2011, the plaintiff suffered catastrophic injuries — The plaintiff alleged that the defendants were negligent — Liability was admitted by the defendants and the parties reached a tentative settlement — The hourly rate claimed by the parents and grandparents was unreasonable — Payment of $250,000 was authorized for past care in trust claims — The proposed settlement was fair and reasonable and was approved.</w:t>
      </w:r>
    </w:p>
    <w:p>
      <w:pPr>
        <w:jc w:val="both"/>
        <w:rPr>
          <w:rFonts w:ascii="arial" w:eastAsia="arial" w:hAnsi="arial" w:cs="arial"/>
          <w:sz w:val="20"/>
          <w:lang w:val="en-US" w:eastAsia="en-US" w:bidi="ar-SA"/>
        </w:rPr>
      </w:pPr>
      <w:bookmarkStart w:id="129" w:name="Legislation Cited_11"/>
      <w:bookmarkEnd w:id="1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9"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Infants Act, </w:t>
      </w:r>
      <w:hyperlink r:id="rId351" w:history="1">
        <w:r>
          <w:rPr>
            <w:rFonts w:ascii="arial" w:eastAsia="arial" w:hAnsi="arial" w:cs="arial"/>
            <w:i/>
            <w:color w:val="0077CC"/>
            <w:sz w:val="20"/>
            <w:u w:val="single"/>
            <w:shd w:val="clear" w:color="auto" w:fill="FFFFFF"/>
            <w:lang w:val="en-US" w:eastAsia="en-US" w:bidi="ar-SA"/>
          </w:rPr>
          <w:t>R.S.B.C. 1996, c. 223, s. 40</w:t>
        </w:r>
      </w:hyperlink>
      <w:r>
        <w:rPr>
          <w:rFonts w:ascii="arial" w:eastAsia="arial" w:hAnsi="arial" w:cs="arial"/>
          <w:color w:val="000000"/>
          <w:sz w:val="20"/>
          <w:lang w:val="en-US" w:eastAsia="en-US" w:bidi="ar-SA"/>
        </w:rPr>
        <w:t>(10)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20-2</w:t>
      </w:r>
      <w:r>
        <w:rPr>
          <w:rFonts w:ascii="arial" w:eastAsia="arial" w:hAnsi="arial" w:cs="arial"/>
          <w:color w:val="000000"/>
          <w:sz w:val="20"/>
          <w:lang w:val="en-US" w:eastAsia="en-US" w:bidi="ar-SA"/>
        </w:rPr>
        <w:t>(17)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Trustee Act, </w:t>
      </w:r>
      <w:hyperlink r:id="rId352" w:history="1">
        <w:r>
          <w:rPr>
            <w:rFonts w:ascii="arial" w:eastAsia="arial" w:hAnsi="arial" w:cs="arial"/>
            <w:i/>
            <w:color w:val="0077CC"/>
            <w:sz w:val="20"/>
            <w:u w:val="single"/>
            <w:shd w:val="clear" w:color="auto" w:fill="FFFFFF"/>
            <w:lang w:val="en-US" w:eastAsia="en-US" w:bidi="ar-SA"/>
          </w:rPr>
          <w:t>R.S.B.C. 1996, c. 464, s. 40</w:t>
        </w:r>
      </w:hyperlink>
      <w:r>
        <w:rPr>
          <w:rFonts w:ascii="arial" w:eastAsia="arial" w:hAnsi="arial" w:cs="arial"/>
          <w:color w:val="000000"/>
          <w:sz w:val="20"/>
          <w:lang w:val="en-US" w:eastAsia="en-US" w:bidi="ar-SA"/>
        </w:rPr>
        <w:t>(7)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0" w:name="Counsel_19"/>
      <w:bookmarkEnd w:id="1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B.E. Webster-Evans.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Public Guardian and Trustee: A.M. Roos,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1" w:name="Judgment_19"/>
      <w:bookmarkEnd w:id="131"/>
      <w:r>
        <w:pict>
          <v:line id="_x0000_s1121"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2" w:name="M.H. CHURCH J."/>
            <w:bookmarkEnd w:id="132"/>
            <w:r>
              <w:rPr>
                <w:rFonts w:ascii="arial" w:eastAsia="arial" w:hAnsi="arial" w:cs="arial"/>
                <w:b/>
                <w:color w:val="000000"/>
                <w:sz w:val="30"/>
                <w:lang w:val="en-US" w:eastAsia="en-US" w:bidi="ar-SA"/>
              </w:rPr>
              <w:t>M.H. CHURCH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By way of a Notice of Application filed on June 9, 2016, the plaintiff seeks court approval of an infant settlement pursuant to Rule 20-2(17)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plaintiff also seeks orders under the </w:t>
      </w:r>
      <w:r>
        <w:rPr>
          <w:rFonts w:ascii="arial" w:eastAsia="arial" w:hAnsi="arial" w:cs="arial"/>
          <w:i/>
          <w:color w:val="000000"/>
          <w:sz w:val="20"/>
          <w:lang w:val="en-US" w:eastAsia="en-US" w:bidi="ar-SA"/>
        </w:rPr>
        <w:t>Infants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223</w:t>
      </w:r>
      <w:r>
        <w:rPr>
          <w:rFonts w:ascii="arial" w:eastAsia="arial" w:hAnsi="arial" w:cs="arial"/>
          <w:color w:val="000000"/>
          <w:sz w:val="20"/>
          <w:lang w:val="en-US" w:eastAsia="en-US" w:bidi="ar-SA"/>
        </w:rPr>
        <w:t xml:space="preserve"> and section 40(7)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 xml:space="preserve"> for distribution from the settlement funds of various amounts to reimburse the parents and grandparents of the infant for the care they have provided and expenses that they have incurred on his behalf and to pay the legal fees and disbursements of Webster &amp; Associates, counsel for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commencement of the hearing of the application, counsel for the plaintiff and counsel for the Public Guardian and Trustee ("PGT") agreed that the application would proceed in two stages. Counsel agreed that this Court would hear and determine the application to approve the infant settlement and authorize payment of the "in trust" claims and special damages claims of the parents and grandparents of the infant and the portion of application to authorize payment of the legal fees and disbursements of Webster &amp; Associates would proceed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 letter filed with the Vancouver Court Registry on July 22, 2016, counsel for the plaintiff confirmed that the firm of Webster &amp; Associates is prepared to accept the position of the PGT with respect to the limit on legal fees that it is prepared to recommend to the court. This information seems to have been provided to the Court primarily to assist in a determination of whether the settlement agreement should be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Cabe Crossman ("Cabe"), was born on December 27, 2011 and is now 4 1/2 years old. He is the first child of Sarah Corrin and Lyndon Crossman. Ms. Corrin is Cabe's litigation guardian in this action. The defendants are Sarah Boily, a registered midwife retained by Cabe's parents to assist with Ms. Corrin's pregnancy, labour and delivery and the Vancouver Island Health Authority as the employer of the two nurses in attendance at the labour and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a result of events that occurred at the time of his birth, Cabe suffered from catastrophic injuries, including a severe form of cerebral palsy with an associated seizure disorder, profound intellectual impairment, cortical visual impairment, gastroesophageal reflux disease, respiratory difficulties, failure to thrive, severe spasticity and sleep challenges.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this proceeding, the plaintiff alleged that the defendants' care of Ms. Corrin and Cabe during labour and delivery failed to meet the expected standard of care. Liability was admitted by the defendants shortly after delivery of the plaintiff's expert reports and so the remaining issue for trial was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Five days before the scheduled trial date of January 11, 2016, the parties reached a tentative settlement of all outstanding claims in this action. The draft Settlement Agreement and Release is attached as Appendix "A" to the plaintiff's Notice of Application filed June 9, 2016. In summary, the defendants agree to pay the following amounts with respect to the plaintiff's claims:</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initial payment of three million dollars ($3,000,000)</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annual payments of four hundred thousand dollars ($400,000) to Cabe Crossman's trustees, beginning January 15, 2016 and thereafter, the said amount tax free and indexed for inflation, to be paid on January 15 of each year so long as Cabe Crossman is alive on December 31 of the previous year;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taxable costs and disbursements as agreed by the parties or as taxed, assessed or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this proposed draft Settlement Agreement for which the plaintiff seeks approval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required by section 40(10) of the </w:t>
      </w:r>
      <w:r>
        <w:rPr>
          <w:rFonts w:ascii="arial" w:eastAsia="arial" w:hAnsi="arial" w:cs="arial"/>
          <w:i/>
          <w:color w:val="000000"/>
          <w:sz w:val="20"/>
          <w:lang w:val="en-US" w:eastAsia="en-US" w:bidi="ar-SA"/>
        </w:rPr>
        <w:t>Infants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223</w:t>
      </w:r>
      <w:r>
        <w:rPr>
          <w:rFonts w:ascii="arial" w:eastAsia="arial" w:hAnsi="arial" w:cs="arial"/>
          <w:color w:val="000000"/>
          <w:sz w:val="20"/>
          <w:lang w:val="en-US" w:eastAsia="en-US" w:bidi="ar-SA"/>
        </w:rPr>
        <w:t>, the plaintiff obtained written comments from the Public Guardian and Trustee ("PGT") with respect to the proposed settlement agreement and provided the written comments to the court in the Application Record. In short, while the PGT is of the view that the proposed settlement is advantageous to Cabe and is supportive of court approval, this view is contingent upon authorization for post-settlement allocations to Cabe's parents and grandparents and to the plaintiff's counsel at reduced amounts from those proposed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 AND PROPOSED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the underlying action, the plaintiff claimed that Cabe's significant disabilities were the direct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Liability was contested by the defendants until shortly after delivery of the plaintiff's expert reports approximately 80 days before the scheduled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attended a mediation and their respective positions with respect to the breakdown of the plaintiff's damages claims is summarized at page 11 of the PGT's Comments at Tab 2 of the Application Record. In summary, the plaintiff's initial position was that the plaintiff's claim was worth $20,472,905 plus costs and disbursements, while the defendant's initial position was that the claims were worth $3,575,000 plus costs and disbursements. The most significant differences in the parties' positions were evident in their respective assessments of damages for future income loss, future care and management fees/tax gross-up. This was due in large part to their different life expectancy assumptions for Cabe. The life expectancy assumptions used by the parties ranged from a low of 12 years to a high of 30 years. The parties were unable to reach a settlement at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previously noted, the parties finally reached a tentative settlement agreement only five days before the scheduled trial dates. The proposed settlement provides for an initial lump sum payment and contingent periodic payments provided that Cabe survives to a specific date each year, presumably to address the divergent views of the parties regarding Cabe's life expectancy. The parties did not, however, reach an agreement on the breakdown of damages or specific allocations to Cabe and his parents and grandparents.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plaintiff provided a report of Robert Carson, economist (Tab "S" - Affidavit of Yvonne Wong #1) with respect to the present value of the annual sum of $400,000 payable under the settlement agreement. Mr. Carson calculates that using a life expectancy of 21.4 years, the present value of the periodic payment is between $5,792,462 (using a 4% discount rate) and $6,977,339 (using a 2% discount rate). Plaintiff's counsel takes the position that the total value of the proposed settlement agreement, including the $3,000,000 lump sum payment, is between $8,792,462 and $9,977,339.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PGT's assessment of the expected range of damages recovery for Cabe was between $7,850,000 - $10,000,000, including management fees and tax gross-up and thus the overall settlement agreement appears to represent a reasonable recovery. This assessment assumes an allocation for all "in trust" and special damages claims of the parents and grandparents of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PGT recognizes that the overarching issue was the determination of appropriate life expectancy for Cabe and submits that the contingent periodic payments provided for in the proposed settlement agreement removes the risk of an adverse finding on the appropriate life expectancy. As noted at page 33 of the PGT's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proposal eliminates the very significant risk to Cabe of not having funds available for his care throughout his lifetime. The PGT submits that the proposed settlement of $3,000,000 plus $400,000 per year (indexed) appears reasonable, given the cost of the life care plans as presented. Put another way, the risk to Cabe of non-acceptance of the overall proposal, with its guarantee of suggested lifetime care, is simply too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PGT recommends that this Court approve the Settlement Agreement and Release, provided that the allocation to Cabe's parents and grandparents for past care "in trust" claims and special damages incurred to January 2016 are limited to $350,000. The PGT submits that "If the third party allocations are to be higher, the settlement with the defendants ought to have been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the PGT said at the outset of his oral submissions that the PGT does not take issue with the court approving the distribution of settlement funds to reimburse Sarah Corrin for the following special expenses claimed in paragraphs 5(c)-(e) of the Notice of Application. These are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$48,840.00 to reimburse Sarah Corrin for the purchase of a wheelchair accessible van;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$6,931.67 to reimburse Sarah Corrin for the purchase of a wheelchair seating system for Cabe Crossman for the wheelchair accessible van; and</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$2,775.00 to reimburse Sarah Corrin for the purchase of a Respironics EverflowQ Oxygen Concentrator for Cabe Crossman.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These are expenses that have been incurred by Ms. Corrin after the tentative settlement date and there is documentary evidence attached as Exhibits "N", "O", and "P" to the Affidavit of Yvonne Wong #1 to support the claim for distribution of those amounts. They are clearly pecuniary losses incurred by Ms. Corrin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Paragraph 5(f) of the Notice of Application seeks court approval to distribute the amount of $31,647.45 to Sarah Corrin to reimburse her for the costs of nursing care that she has incurred, medical equipment that she has purchased, travel for medical appointments, specialized clothing and food, medications and therapy since the tentative settlement date in January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While I do not have a specific note of the PGT's position regarding the special damages set out in paragraph 5(f) of the Notice of Application, those too are clearly pecuniary losses incurred by Ms. Corrin since the scheduled trial date. While there are no receipts to support those amounts, they are documented with some particularity at Exhibit "M" to the Affidavit of Yvonne Wong #1. The amount sought to be distributed as set out in the Notice of Application differs from the particulars set out in Exhibit "M" by approximately $3,170.45 and there is no explanation in the affidavit material for this discrepancy.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the PGT submits that the onus of proof is on the plaintiff to produce evidence in support of the claim for special damages and points to the lack of receipts and supporting documentation for many of the expenses claimed. The PGT does, however, suggest that in the "interests of proportionality and judicial economy" it may be acceptable for the court to assess the claim for special damages based on the documentation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satisfied that the Affidavit #1 of Sarah Corrin describes the expenses incurred by her in securing private nursing care for Cabe, notably Cabe's current primary daycare nurse, Mr. Harley Icuspit RN whose wages are included in the special damages claim set out in paragraph 5(f). On that basis, I have concluded that the special damages of $28,477.00 as particularized in Exhibit "M" to the Affidavit of Yvonne Wong #1 are proper and reasonable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addition to the specific special damages sought to be distributed from the proposed settlement funds, the plaintiff also seeks court approval to distribute additional amounts totalling $141,096.07 to the parents, Sarah Corrin and Lyndon Crossman and the grandparents, Karen Corrin and Barry Corrin for special damages incurred by them from the date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tentative settlement date. These special damages are included in the "in trust" amounts referred to by the plaintiff in paragraphs 5(a) and (b) of the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These expenses are particularized in Exhibit "J" to the Affidavit of Yvonne Wong #1 but once again are not supported by receipts. Counsel for the PGT suggests that the court may estimate the amounts of these special damages claims on the basis of the information provided, given the "need for this application to be addressed in a timely manner given Cabe's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Counsel for the PGT submits that there are a number of expenses claimed that are "concerning", including extensive travel costs, various non-traditional medical treatments for Cabe, purchase of a vehicle for the grandparents and rental of an apartment for the grandparents in Duncan. In light of the absence of receipts and some of the more concerning expenses claimed, the PGT submits that an appropriate amount to reimburse the parents and grandparents for special damages from the date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date of the tentative settlement is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the plaintiff submits that this is an unusual case, where the grandparents spent extended periods of time away from their usual place of residence over approximately 4 1/2 years while they were assisting in the care of Cabe. Despite that, counsel for the plaintiff ultimately agreed during the Chambers hearing with the PGT proposal that $100,000 be disbursed to the parents and grandparents to compensate them for their out of pocket expenses up to the date of the tentative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agree with the submission of counsel for the PGT that this is a case where the Court may estimate the amount of special damages based on the information provided and indeed, should do so. The estimated amount of $100,000 as agreed by the plaintiff and the PGT appears to be reasonable given the evidence before me of Cabe's significant care needs, the travel requirements for him and his caregivers to attend medical appointments and the steps taken by his grandparents to spend extended periods of time away from their usual residence to provide assistance in his care. Although counsel made no submissions on how the allocation for special damages should be divided between Cabe's parents and grandparents, it seems reasonable that the amount be divided between them in close proportion to the gross amounts of their respective special damages claims, namely 60% or $60,000.00 to the parents and 40% or $40,000 to the grandparents.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CARE "IN TRUST"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most contentious part of this application for court approval relates to the past care "in trust" claims advanced for the parents, Sarah Corrin and Lyndon Crossman and the grandparents, Karen Corrin and Barry Corrin.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seeks court approval to distribute almost $509,000 from the settlement funds as follows: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amount of $417,076.74 ($500,000.00 </w:t>
      </w:r>
      <w:r>
        <w:rPr>
          <w:rFonts w:ascii="arial" w:eastAsia="arial" w:hAnsi="arial" w:cs="arial"/>
          <w:color w:val="000000"/>
          <w:sz w:val="20"/>
          <w:u w:val="single"/>
          <w:lang w:val="en-US" w:eastAsia="en-US" w:bidi="ar-SA"/>
        </w:rPr>
        <w:t>less</w:t>
      </w:r>
      <w:r>
        <w:rPr>
          <w:rFonts w:ascii="arial" w:eastAsia="arial" w:hAnsi="arial" w:cs="arial"/>
          <w:color w:val="000000"/>
          <w:sz w:val="20"/>
          <w:lang w:val="en-US" w:eastAsia="en-US" w:bidi="ar-SA"/>
        </w:rPr>
        <w:t xml:space="preserve"> $82,932.26 special damages claim) to Sarah Corrin and Lyndon Crossman to reimburse them for the care they have provided to Cabe Crossman up to January 2016; and</w:t>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amount of $91,836.19 ($150,000.00 </w:t>
      </w:r>
      <w:r>
        <w:rPr>
          <w:rFonts w:ascii="arial" w:eastAsia="arial" w:hAnsi="arial" w:cs="arial"/>
          <w:color w:val="000000"/>
          <w:sz w:val="20"/>
          <w:u w:val="single"/>
          <w:lang w:val="en-US" w:eastAsia="en-US" w:bidi="ar-SA"/>
        </w:rPr>
        <w:t>less</w:t>
      </w:r>
      <w:r>
        <w:rPr>
          <w:rFonts w:ascii="arial" w:eastAsia="arial" w:hAnsi="arial" w:cs="arial"/>
          <w:color w:val="000000"/>
          <w:sz w:val="20"/>
          <w:lang w:val="en-US" w:eastAsia="en-US" w:bidi="ar-SA"/>
        </w:rPr>
        <w:t xml:space="preserve"> $58,163.81 special damages claim) to Karen Corrin and Barry Corrin to reimburse them for the care they have provided to Cabe Crossman up to January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PGT submits that such an award is not justified on the basis of the evidence before this Court and recommends that the Court approve distribution of $250,000.00 in total for the past care "in trust" claims of both the parents and grandparents.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 and the PGT agree that the factors to be applied when assessing "in trust" claims are set out in the case of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Hay,</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At paragraph 180 of that decision, Smith J. reviewed the authorities and summarized the factors to be considered as follows:</w:t>
      </w:r>
      <w:r>
        <w:rPr>
          <w:rFonts w:ascii="arial" w:eastAsia="arial" w:hAnsi="arial" w:cs="arial"/>
          <w:sz w:val="20"/>
          <w:lang w:val="en-US" w:eastAsia="en-US" w:bidi="ar-SA"/>
        </w:rPr>
        <w:cr/>
      </w:r>
    </w:p>
    <w:p>
      <w:pPr>
        <w:numPr>
          <w:numId w:val="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argues that the "in trust" claims advanced on behalf of the parents and grandparents are reasonable and appropriate. She referred to the Affidavit #1 of Sarah Corrin in which Ms. Corrin described Cabe's extensive care needs since his birth. Ms. Corrin deposes in paragraph 9 of her Affidavit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Cabe has always required essentially 24 hours a day hands on care. Even when we have been able to have a caregiver for him, it is often necessary to be there myself or to have Lyndon or one of my parents with the caregiver.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Exhibit "A" to her Affidavit, Ms. Corrin describes in some detail Cabe's daily schedule in relation to feeding and medication as well as his needs when attending specialist medical appointments or while admitted to hospital. She notes that "he requires care more than 24 hours a day, as two people are often required at the same time. Much of this care is nursing care because of the medical conditions arising from the severe hypoxic brain injury." Although Mr. Crossman has been able to maintain his employment since Cabe's birth, Ms. Corrin has given up her position as clinical counselor with the Vancouver Island Health Authority due to Cabe's extensive care needs. As at the tentative settlement date, Ms. Corrin had lost an estimated $150,000 in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According to Ms. Corrin's Affidavit, Cabe's grandparents, Barry and Karen Corrin, normally live and work in Richmond but since Cabe's birth they have spent considerable time in Duncan where they assist Sarah Corrin and Lyndon Crossman in the care of Cabe. Karen Corrin has given up her job at the Richmond Public Library and Barry Corrin has reduced his hours of work so that they can assist in meeting Cabe's care needs. As at the tentative settlement date, Karen and Barry Corrin had lost an estimated $74,000 in gross earnings due to their assistance with Cabe's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Plaintiff's counsel submits that the evidence establishes that the services provided to Cabe by his parents and grandparents have replaced services necessary for him as a result of his injuries and are over and above what would be expected from the family relationship. Counsel for the PGT does not take issue with this submission and acknowledges that the parents and grandparents "have been required to provide an extraordinary level of extra care for Cabe given the nature and extent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the PGT submits, however, that the quantification of the claims proposed by counsel for the plaintiff does not reflect the true and reasonable value of the services performed and, in all the circumstances, the claims are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support of the PGT's position that $250,000.00 is reasonable for the "in trust" claims of the parents and grandparents, counsel for the PGT provided a review of previous cases involving "in trust" claims for similar catastrophic injuries. Counsel acknowledged that no two cases are precisely the same, but the previous cases appear to illustrate the typical range of awards for "in trust" damages where parents are caring for a catastrophically injured child. Of particular assistance to the Court were the decisions of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2009 BCSC 386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Brodeur v. Provincial Health Services Authority,</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2016 BCSC 968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Brodeur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the parents sought "in trust" damages of $400,000 for the care of their injured child based on additional care of 8 hours per day at a rate of $15.00 per hour. The court awarded the parents $179,000 for the "in trust"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Brodeur</w:t>
      </w:r>
      <w:r>
        <w:rPr>
          <w:rFonts w:ascii="arial" w:eastAsia="arial" w:hAnsi="arial" w:cs="arial"/>
          <w:color w:val="000000"/>
          <w:sz w:val="20"/>
          <w:lang w:val="en-US" w:eastAsia="en-US" w:bidi="ar-SA"/>
        </w:rPr>
        <w:t>, the parents of a significantly brain injured child provided extensive care to the child for a period of 6 1/2 years prior to trial and the court ultimately awarded $200,000 for the "in trust" claim based on an estimation of the number of hours and an average of the per hour rates advance by the plaintiff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the court noted in </w:t>
      </w:r>
      <w:r>
        <w:rPr>
          <w:rFonts w:ascii="arial" w:eastAsia="arial" w:hAnsi="arial" w:cs="arial"/>
          <w:i/>
          <w:color w:val="000000"/>
          <w:sz w:val="20"/>
          <w:lang w:val="en-US" w:eastAsia="en-US" w:bidi="ar-SA"/>
        </w:rPr>
        <w:t>Cojocaru (Guardian ad litem of)</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British Columbia Women's Hospital,</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2009 BCSC 494</w:t>
        </w:r>
      </w:hyperlink>
      <w:r>
        <w:rPr>
          <w:rFonts w:ascii="arial" w:eastAsia="arial" w:hAnsi="arial" w:cs="arial"/>
          <w:color w:val="000000"/>
          <w:sz w:val="20"/>
          <w:lang w:val="en-US" w:eastAsia="en-US" w:bidi="ar-SA"/>
        </w:rPr>
        <w:t>, it is extremely difficult to quantify with mathematical precision all the time a parent or parents spent with a child from the date of injury to the date of trial above and beyond what would normally have been expected of a parent. In that case, the court estimated the number of extra hours it thought the mother of the injured infant had spent caring for him and applied a market rate for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the court followed a different approach and calculated the "in trust" award based on the costs actually incurred for a caregiver over a period of two summers and then extrapolated that calculation over a period of 8 3/4 years. The court then applied a discount of 30% to that calculation to account for the services that the child's family would have normally provided to her arising from the family relationship had she not been injured, especially taking into account her infancy.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position is that Cabe's care needs are so extensive that the care provided by his family members going forward, over and above what would be expected from the family relationship amounts to approximately 8 hours per day. In paragraph 85 of the Affidavit of Yvonne Wong #1, Ms. Wong deposes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informed by Ms. Corrin that since approximately April 1st she has had teams of nursing staff to care for Cabe for 16 hours a day. The remainder of the time Cabe is cared for by his parents and by Mr. and Mrs. Corrin, Ms. Corrin's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Prior to April 1, 2016, the number of hours per day during which Cabe was cared for by his parents and grandparents fluctuated depending on his medical condition. For short periods in his life, Cabe was able to sleep peacefully and Ms. Corrin was able to get up with him during the night. Unfortunately, Cabe suffered some medical complications in the fall and winter of 2015-2016 and he has required "awake care" for 24 hours per day, some of which was provided through funding from the BC Ministry of Children and Family Development and the balance was provided by Cabe's parents and grandparents.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am mindful that the compensation afforded by an award in this area is for the extra services provided by the parent to the injured child; the normal compassion and care of relatives of the injured is not to be compensated: </w:t>
      </w:r>
      <w:r>
        <w:rPr>
          <w:rFonts w:ascii="arial" w:eastAsia="arial" w:hAnsi="arial" w:cs="arial"/>
          <w:i/>
          <w:color w:val="000000"/>
          <w:sz w:val="20"/>
          <w:lang w:val="en-US" w:eastAsia="en-US" w:bidi="ar-SA"/>
        </w:rPr>
        <w:t>Crane v. Worwood</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(1992), 65 BCLR (2d) 16</w:t>
        </w:r>
      </w:hyperlink>
      <w:r>
        <w:rPr>
          <w:rFonts w:ascii="arial" w:eastAsia="arial" w:hAnsi="arial" w:cs="arial"/>
          <w:color w:val="000000"/>
          <w:sz w:val="20"/>
          <w:lang w:val="en-US" w:eastAsia="en-US" w:bidi="ar-SA"/>
        </w:rPr>
        <w:t xml:space="preserve"> (S.C.). While mathematical precision may be difficult, I have concluded that the court can, in this case, estimate the number of extra hours that Cabe's family has spent caring for him to the date of the tentative settlement and apply a reasonable market rate to those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the mediation, the plaintiff's "in trust" claims were framed for the purposes of settlement discussion on the basis that his parents and grandparents provided 8 hours per day of additional care to Cabe beyond the normal level of parenting and grandparenting. While the number of hours of care provided to Cabe by his parents and grandparents since his birth has fluctuated, given the representation in the plaintiff's mediation summary and the evidence of Cabe's care after the date of the tentative settlement agreement, I have concluded that collectively, Cabe's parents and grandparents provided him with an additional 8 hours per day of care over and above what would be expected from the family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the time of the tentative settlement agreement, Cabe had been alive for 1480 days. The plaintiff's "in trust" claims seem to be roughly calculated at approximately $45.00 hour, the rate charged by Harmony Health Care for a Licensed Practical Nurse for a total of 11,840 hours (8 hours per day for 1480 days) and rounded down to $509,000.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counsel for the PGT did not make any submissions regarding the calculation of the hours of additional care or the hourly rate to be applied to those hours, he suggested that the total calculation was too high, in part because the calculation of hours fail to take into consideration the significant periods of time that Cabe was cared for in a hospital. I note that the defendants, in their mediation brief, also disputed this hourly rate as being too high. The defendants suggested that some of the care provided by Cabe's parents and grandparents was the kind of care normally provided by parents in similar cases, as opposed to nursing care and some of the interventions were not medically recommended and, in some cases, directly contributed to an increase in the care required by Cabe from his parents and grandparents. The defendants proposed an hourly rate of $16.00 per hour to take account of these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view, there is sufficient evidence before me to establish that the number of hours of care provided to Cabe from the date of injury to the date of the tentative settlement agreement, over and above what would be expected from the family relationship is 8 hours per day over 1400 days for a total of 11,200 hours. Although Cabe had been alive for 1480 days at the date of the tentative settlement, he spent the first 97 days of his life in hospital as well as periods of time since then and therefore a small discount should be applied to the total number of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have also concluded that the hourly rate claimed by the parents and grandparents is unreasonable. While I accept that the hourly rate charged for a Licensed Practical Nurse by Harmony Health Care is $45.00, I am not satisfied that this represents the "true and reasonable value of the services performed, taking into account the time, quality and nature of those services" that was discussed in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xml:space="preserve"> The total amount recommended by the PGT of $250,000.00 is higher than any of the previous cases involving similar catastrophic injury and reflects the value of the extraordinary level of care provided to Cabe by his family. I note that an "in trust" award of $250,000 translates into an hourly rate of approximately $22.35 for 11,200 hours. In my view that is a more reasonable value for the services performed by Cabe's parents and grandparents.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Counsel for the PGT did not make any submissions on how this global amount would be allocated between the parents and grandparents but I note that on page 18 of the PGT's Comments that the PGT suggested that this amount be paid to the parents and "should the parents wish, they can divide that amount with the grandparents".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prepared to authorize payment of $250,000 to the parents, Sarah Corrin and Lyndon Crossman for the past care "in trust" claims of both the parents and grandparents and leave it to the parents to determine how that amount might be divided between them and Ms. Corrin's parents, Barry and Karen Corrin.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FEES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the plaintiff and the PGT have agreed to deal with paragraph 1(f) and paragraph 5(g) of the Notice of Application at a date to be determined, the plaintiff's counsel provided a letter dated July 22, 2016, indicating that the firm of Webster &amp; Associates was in agreement with the position of the PGT in relation to legal fees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While approval of payment of the legal fees and disbursements of plaintiff's counsel remains to be determined, the agreement by plaintiff's counsel to reduce their legal fees to accord with the recommendations of the PGT further supports my conclusion that the proposed settlement agreement is a fair and reasonable settlement and one which is in the best interests of Cabe.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Having concluded that the allocations to the parents and grandparents for special damages and past care "in trust" claims should be at the levels proposed by the PGT, I agree with the recommendations of the PGT that the proposed settlement is in the best interests of Cabe and should be approved by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therefore approve the Settlement Agreement attached as Appendix "A" to the Notice of Application filed June 9, 2016 and make the following orders:</w:t>
      </w:r>
      <w:r>
        <w:rPr>
          <w:rFonts w:ascii="arial" w:eastAsia="arial" w:hAnsi="arial" w:cs="arial"/>
          <w:sz w:val="20"/>
          <w:lang w:val="en-US" w:eastAsia="en-US" w:bidi="ar-SA"/>
        </w:rPr>
        <w:cr/>
      </w:r>
    </w:p>
    <w:p>
      <w:pPr>
        <w:numPr>
          <w:numId w:val="1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Sarah Corrin, parent and Litigation Guardian of Cabe Crossman (the "Infant Plaintiff"), shall be authorized to execute the settlement agreement attached as Appendix "A" to the Notice of Application with respect to the claim of Cabe Crossman against the Defendants Selina Boily and Vancouver Island Health Authority (the Defendants) in exchange for:</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payment of $3,000,000.00 payable to Webster &amp; Associates in trust for the Infant Plaintiff;</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payment of $400,000.00 paid retroactively to January 15, 2016, payable to Webster &amp; Associates in trust;</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annual payments of the sum of $400,000.00 indexed for inflation as set out herein, commencing immediately, payable by the Province of British Columbia on January 15 of each year so long as Cabe Crossman is alive on December 31 of the preceding year (the "Annual Payments");</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applicable inflation rate for the payments required to be paid will be the B.C. Consumer Price Index 12 months average percent charge for the most recent month or when payment is made for each year, obtained from www.bcstats.gov.bc.ca;</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of British Columbia warrants that all payments made under the settlement agreement shall be tax free to the infant Plaintiff and to the Cabe Crossman 2016 Discretionary trust; and</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and disbursements as agreed, ordered or assessed.</w:t>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Consent Dismissal Order and settlement agreement executed by Sarah Corrin shall be good and effectual for all intents and purposes as if the Infant Plaintiff, Cabe Crossman, was of full age and sound mind and had himself entered into the settlement agreement;</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trust shall be established for the Infant Plaintiff in the form attached to the Notice of Application as Exhibit "B", to be called the Cabe Crossman 2016 Discretionary trust;</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Annual Payments shall be paid to Cabe Crossman's Trustees in trust for Cabe Crossman commencing with the payment due January 2017;</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Webster &amp; Associates, solicitors for the Infant Plaintiff, are authorized to distribute from settlement funds the following amounts: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$250,000 shall be paid from trust to Sarah Corrin and Lyndon Crossman to reimburse them for care they have provided to Cabe Crossman up to January 2016;</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$60,000 shall be paid from trust to Sarah Corrin and Lyndon Crossman to reimburse them for expenses they have incurred in the care of Cabe Crossman up to January 2016;</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$40,000 shall be paid from trust to Karen Corrin and Barry Corrin to reimburse them for expenses they have incurred in the care of Cabe Crossman up to January 2016;</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$48,840.00 shall be paid from trust to Sarah Corrin to reimburse her for the purchase of a wheelchair accessible van;</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$6,931.67 shall be paid from trust to Sarah Corrin to reimburse her for the purchase of a wheelchair seating system for Cabe for the wheelchair accessible van;</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$2,775.00 shall be paid from trust to Sarah Corrin to reimburse her for the purchase of a Respironics EverflowQ Oxygen Concentrator for Cabe; and</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$28,477.00 shall be paid from trust to Sarah Corrin to reimburse her for the costs of nursing care she has incurred, medical equipment that she has purchased, travel for medical appointments, specialized clothing and food, medications and therapy, since January 2016.</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net settlement funds shall be held in trust by Webster &amp; Associates pending further order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the plaintiff and counsel for the PGT shall schedule a further hearing before me for the purpose of determining court approval with respect to the amount of legal fees and disbursements to which Webster &amp; Associates is entitled. This should occur after the costs and disbursements in the underlying action are settled or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light of the change in position of plaintiff's counsel regarding fees and disbursements, it may be that the further hearing will be relatively brief, in which case it may be scheduled before me via video or telephone if that assists counsel in scheduling the further hearing in a more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M.H. CHURCH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Deacon v. Barron, [2008] B.C.J. No. 2577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T.R. Brooke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37797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2577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1249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79 R.P.R. (4th) 133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2833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Allan Hunter Deacon and Jana Marie Deacon, Plaintiffs, and William Barron and Dorothy Margaret Barron, Defendants, and Beverly Corbet,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3"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3" w:name="Keywords_20"/>
      <w:bookmarkEnd w:id="133"/>
      <w:r>
        <w:rPr>
          <w:rFonts w:ascii="arial" w:eastAsia="arial" w:hAnsi="arial" w:cs="arial"/>
          <w:b/>
          <w:color w:val="000000"/>
          <w:sz w:val="20"/>
          <w:lang w:val="en-US" w:eastAsia="en-US" w:bidi="ar-SA"/>
        </w:rPr>
        <w:t xml:space="preserve">Legal profession — Notaries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Successful action by plaintiffs for specific performance of an agreement for the sale of land — The defendants made the bargain granting the right of first refusal with full knowledge of its terms, and were seemingly content with them until 10 years — Improvidence was not a ground for relief — The land in question was adjacent to the plaintiffs' land and was especially suitable, and there was no substitute readily available — A third-party claim against the notary was dismissed as she had discharged her duty to the defendants in accordance with the appropriate standard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Legal — Notaries — Successful action by plaintiffs for specific performance of an agreement for the sale of land — The defendants made the bargain granting the right of first refusal with full knowledge of its terms, and were seemingly content with them until 10 years — Improvidence was not a ground for relief — The land in question was adjacent to the plaintiffs' land and was especially suitable, and there was no substitute readily available — A third-party claim against the notary was dismissed as she had discharged her duty to the defendants in accordance with the appropriate standard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Sale of land — Agreement of purchase and sale — Breach of — Specific performance — Right of first refusal — Successful action by plaintiffs for specific performance of an agreement for the sale of land — The defendants made the bargain granting the right of first refusal with full knowledge of its terms, and were seemingly content with them until 10 years — Improvidence was not a ground for relief — The land in question was adjacent to the plaintiffs' land and was especially suitable, and there was no substitute readily available — A third-party claim against the notary was dismissed as she had discharged her duty to the defendants in accordance with the appropriate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4" w:name="Case Summary_17"/>
            <w:bookmarkEnd w:id="1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seeking specific performance of an agreement for the sale of land, or alternatively, damages. The plaintiffs argued there was no consensus ad idem, that there was no consideration, that there was a mistake or a mutual mistake in fact, non est factum and unconscionability. They further pleaded contribution or indemnity from the third-party notary public. The parties were neighbours. On February 21, 1995, they entered into a contract of purchase and sale concerning 27 acres, with a price of $100,000. An addendum provided that the vendor would incur costs to prepare and register a right of first refusal on "Lot A", a six-acre lot to the southeast of the 27 acres, naming the plaintiffs as optionee. The purchase price was set at $200,000 for 1995, to be adjusted each year thereafter based on the consumer price index. The central issue was the right of first refusal or option concerning Lot A. In 2005, the plaintiffs purported to exercise the option for $244,240. The defendants refused to go through with the transaction. For 2008, the BC assessment authority valued Lot A at $611,200.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5" w:name="Holdings of Court_15"/>
            <w:bookmarkEnd w:id="135"/>
            <w:r>
              <w:rPr>
                <w:rFonts w:ascii="arial" w:eastAsia="arial" w:hAnsi="arial" w:cs="arial"/>
                <w:color w:val="000000"/>
                <w:sz w:val="20"/>
                <w:lang w:val="en-US" w:eastAsia="en-US" w:bidi="ar-SA"/>
              </w:rPr>
              <w:t>HELD: Action for specific performance granted; third-party 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February 21, 1995 contract had certainty of subject matter, price and time for completion. Although it had multiple elements, they were related or connected in a clear and reasonable way. The four elements were ultimately completed on registration of the transfer, the easement and the option. Each of the parties had the benefit of separate representation and professional advice, and each was content with the result. The price paid for the 27 acres was fair and reasonable, and the calculation placed on Lot A was stipulated by the defendants, not the plaintiffs. The price was roughly twice its appraised value from a year earlier. The fact that 10 years later its value had increased significantly could not affect the fairness of the bargain when it was made. There was no ignorance, need or distress in the defendants, nor substantial unfairness. The plea of non est factum was unfounded. The plaintiffs were entitled to the equitable relief of specific performance. The land in question was adjacent to the plaintiffs' land and was especially suitable. There was no substitute readily available. The third party Corbet had discharged her duty to the defendants in accordance with the appropriate standard of care. She prepared a form of contract of purchase and sale upon the instructions from the defendants. She did not make the improvident bargain for them. The defendants made the bargain with full knowledge of its terms, and were seemingly content with them until 10 years later when what might have been a good bargain in 1995 was now shown to be improvident, but improvidence was not a ground for relief.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6" w:name="Counsel_20"/>
      <w:bookmarkEnd w:id="1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D.A. Paulsen, D. Kranz.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J.M. Hogg,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T. McKendrick.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7" w:name="Judgment_20"/>
      <w:bookmarkEnd w:id="137"/>
      <w:r>
        <w:pict>
          <v:line id="_x0000_s1125" style="position:absolute;z-index:2517821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8" w:name="T.R. BROOKE J. (orally)"/>
            <w:bookmarkEnd w:id="138"/>
            <w:r>
              <w:rPr>
                <w:rFonts w:ascii="arial" w:eastAsia="arial" w:hAnsi="arial" w:cs="arial"/>
                <w:b/>
                <w:color w:val="000000"/>
                <w:sz w:val="30"/>
                <w:lang w:val="en-US" w:eastAsia="en-US" w:bidi="ar-SA"/>
              </w:rPr>
              <w:t>T.R. BROOKE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plaintiffs seek an order for specific performance of an agreement for the sale of land, or alternatively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answer, the defendants plead that there is no consensus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that there is no consideration, that there is a mistake or a mutual mistake in fact,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and unconscionability.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event that the plaintiffs succeed, the defendants plead contribution or indemnity from the notary public, Ms. Corbet, who is joined as a third party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and the defendants were neighbours, the defendants being a generation senior to the plaintiffs in age. On or about the 21st of February, 1995, the parties entered into a four-page contract of purchase and sale (the "Contract"), which forms the point of departure for this litigation. In the interval between the execution of this document by the parties and trial, the plaintiff, Jana Marie Deacon, has died, as has the defendant, William Barron.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Contract provides firstly for the purchase and sale of approximately 27 acres lying on the mountainside of the highway, for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 addendum, which forms part of the Contract, provides that the defendants will carry a $60,000 mortgage on the property, with interest at 8 percent per annum, and a ten-year term and ten-year amortization period. The addendum also contains in handwriting a provision that the defendants as vendors will "incur costs to prepare and register an easement over Lot A, Plan 33780", to provide the plaintiffs as purchasers with access to the river for water, the easement to be approved by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addendum then provides, "Vendor to incur costs to prepare and register right of first refusal on Lot A, Plan 33780", naming the plaintiffs as optionee. On the fourth page of the Contract this appears in handwriting, together with the signatures of the vendors and the purchasers: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Purchase price set at $200,000 for the duration of 1995. Each year thereafter purchase price to be adjusted accordingly, based on "Consumer Price Index" at December 31, and will remain same for next 12-month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Lot A, Plan 33780, comprises 6 acres to the east and south of the 27 acres, but Lot A is divided into two hooked segments by the highway. The mountainside to the north of the highway comprises some 4 acres, and the riverside to the south of the highway comprises approximately 2 acres, upon which the Barrons resided in their home, as they had done for many years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and their children resided to the west of the 27-acre parcel, on the north side of the highway, with their children and their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lawsuit concerns Lot A and the right of first refusal or option, as it is variously described, as the central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went to a notary, the third party, Ms. Corbet, and on February 22, 1995, the plaintiffs gave her a cheque for $1,000, the deposit described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retained Mr. Edwin Mark, a lawyer, to represent them. Mr. Mark wrote Ms. Corbet with regard to the easement she prepared, as well as the "right of first refusal," and 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the right of first refusal, we have taken the liberty of drafting an Option to Purchase and request that the same be combined with your document, as indicated. We believe the enclosed option more closely recites the agreement between the parties, as we understand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Mark also provided Ms. Corbet with the draft mortgage and asked her to confirm that an extension of the completion date, to March 6, 1995,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March 2, 1995, Mr. Mark delivered the conveyancing documents, as well as the vendor's statement of adjustments. He asked for the defendants' approval of the form of mortgage, and requested Ms. Corbet to provide him with the easement and option agreements. He noted the easement and option would be registered consecutively with the transfer documents, and he undertook upon registration to forward the sale proceeds as indicated in the statement of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March 3, 1995, Ms. Corbet delivered the transfer documents, as well as the option to purchase and easement, upon Mr. Mark's undertaking to disburse funds in accordance with the statement of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completion of registration Ms. Corbet delivered the net sale proceeds to the defendants on March 7, 1995, less her account for $890.21.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March 14, 1995, Ms. Corbet delivered to the defendants particulars of registration of the transfer, the mortgage back, as well as copies of the mortgage, the easement and the option to purchase. She also wrote to the Barrons: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confirm our conversation before registration that the intent of this option will allow the Deacons to refuse to exercise the option, if the market value of the property goes down. At that point they could re-offer at current market value. However, if market value goes up they will be protected by the $200,000 plus Consumer Price Index per year ceiling, as shown by example in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March 27, 1995, Mr. Mark forwarded to the plaintiffs registered copies of the easement and the option to purchase, and on April 24, 1995, he forwarded the state of title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May the 30th, Mr. Mark delivered the state of title certificate showing the registered mortgage to Ms. Corbet. The option to purchase is expressed to be made "in consideration of the sum of one dollar, now paid by the optionee to the optionor (the receipt and sufficiency of which is acknowledged)."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Paragraph 2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option shall be limited by the following conditions: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option hereby granted shall come into existence only at such time as one of the following shall occur: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optionors deliver notice in writing to the optionee of their intention to proceed with the sale of the lands;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death of the optionors.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optionors shall have the irrevocable right to deliver notice pursuant to (2)(a) above at any time throughout the term of this agreement.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optionors shall at no time be required to give notice pursuant to (2)(a)(1) above and in the event of no such notice being delivered prior to the death of the optionors this option shall come into existence upon the deaths of the optionors, it being the intention of the parties hereto that the optionee shall be entitled to purchase the lands only in the event the optionor wishes to sell the lands or upon the deaths of the optionors, whichever shall first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document then goes on, in paragraph 3, to say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 price of the property shall be determined at the time the option is exercised and shall not be less than $200,000 (hereinafter referred to as the base amount). This base amount price shall be valid until December 31, 1995. For a completion date after December 31, 1995, the purchase price shall be calculated as the base amount plus a percentage increase which shall be equal to the Consumer Price Index as set on the 31st of December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then a series of examples under the heading "Example"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completion date during the 1996 year equals $200,000, plus CPI percentage as at December 31, 1995, equals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completion date during the 1997 year equals A plus CPI percentage as at December 31, 1996, equals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And so on, until the option is exercised. Thus, the option is expressed to be dormant or inchoate until the optionors decide to sell or they both die, and the purchase price has the floor of $200,000 and is indexed to a measure of inflation.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option to purchase then goes on, in paragraph 4, to say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option shall be open for acceptance as of the date, if and when determined by the optionor, pursuant to paragraph 2 hereof, and once granted shall be irrevocable up to, but not after the hour of 12 o'clock noon, 90 calendar days from the date of written notice being given to the optionee. This option may be exercised by the optionee, its solicitors, agents, or assigns, at any time before the expiration of the said 90 calendar days, by delivering a notice in writing to the optionor or mailing the same from any post office in the Province of British Columbia by prepaid registered post addressed to the optionor at the above-mentioned address, or such other address the optionor may from time to time designated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paragraph goes on to provide the notice is deemed to be received within 48 hours of mailing.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Option to Purchase then goes on, in paragraph 9, to say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as and when this option is exercised by the optionee the sale of land herein provided for shall be completed by the parties hereto on a date occurring not more than 30 days after the expiration of the 90-day period for acceptance, pursuant to paragraph 4 hereof, which date is hereinafter called the "completion date" and on or before that date the optionor shall execute and deliver to the optionee a transfer and conveyance of all of the optionor's right, title and interest in and to the said lands, free and clear of all charges and encumbrances ... and in a forum acceptable for registration. The optionee shall place the purchase price payable to the optionor hereunder, save and except any monies to be advanced by way of mortgage in favour of a chartered bank of Canada in trust with its solicitors, prior to the completion date for delivery to the optionor immediately upon the completion of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option then goes on to provide for the usual adjustments and that "time shall be of the essence".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Paragraph 6 of the option provides that, until such time as the option is exercised or discharged, the Barrons shall allow the Deacons to have access and sole use of the part of Lot A north of the road. The option then appears to be executed by the plaintiffs before their solicitor, Mr. Mark, and by the defendants before their notary, Ms. Corbet.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Following closing, the Barrons took one or more trips to Australia and the Pacific, and the Deacons continued to live across the Shuswap Road, and on their return the Barrons remained in the southern part of Lot A. So things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2003, Mr. Deacon said that Mr. Barron told him they had an offer on Lot A. Mr. Deacon said he replied, "We have a deal". Later Mr. Deacon took over to the Barrons a copy of the option, as well as an explanatory note. These documents were identified at tab 36 of Exhibit 1. Mr. Deacon said the Barrons made no response, other than asking to be paid out on the mortgage that the Deacons were paying over a ten-year term, which Mr. Deacon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Then, in 2005, Mr. Deacon said that Mrs. Barron called his wife and intimated that she wanted to move with her husband to Salmon Arm, and would trigger the option. By letter dated May 15, 2005, the Barrons purported to do that, in a typed letter that contained some of the same language as the option. It references the legal description of Lot A, the agreement, and the date of the option. It also references the formula for determination of the price as not less than $200,000, plus the Consumer Price Index adjustment above, and it closed in stating that the Deacons have 90 days to find financing and within days complete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This document was prepared by Mrs. Barron. Both Mr. and Mrs. Barron signed it. Mr. Deacon said he advised the Barrons that they would accept, but that he needed to get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letter dated August 12, 2005, Mr. and Mrs. Deacon gave formal notice of acceptance of the exercise of the option, and provided a printout of the adjusted purchase price prepared by their accountant, Mr. Schruer. This calculated the base of $200,000 for 1995, plus annual increments referenced to the Consumer Price Index of $44,239.79, for a total purchase price of $244,239.79, and a completion date of September 15,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Then, by letter dated August 22, 2005, Mr. Morelli, Q.C., advised the Deacons that he had been retained by the Barrons with regard to the option, and that he had been instructed "that for medical and other reasons" the Barrons were not in a position to sell "at this time". He then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their notice to you dated May 15, 2005, made pursuant to the provisions of the Option to Purchase dated March 3, 1995, is hereby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Inasmuch as Mr. and Mrs. Deacon had formally accepted the offer previously, on August 12, 2005, they declined to accept its purported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Prior to receiving Mr. Morelli's letter, Mr. Deacon said that he had been approached by Mrs. Barron, who told him that her husband had a bad shoulder and that he would not be able to move. He gave in evidence that he replied that he was past the point of no return, having arranged somewhat complicated financing to close the transaction, but that he and his wife were prepared to rent the house to the Barrons, so they would not have to move. Mrs. Barron inquired about the rent they would ask and left. The letter from Mr. Morelli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September 6, 2005, the Deacons' lawyer, Mr. Gary Woitas wrote to Mr. Morelli, informing him that the Deacons were ready, willing and able to complete, that the closing documents would be delivered on September the 13th, for completion on September the 15th, and that mortgage funds were arranged. He noted that the option did not allow the purported withdrawal of the notice triggering the option and he expected to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September 12, 2005, Mr. Woitas wrote again to Mr. Morelli, enclosing the closing documents for execution and he requested their execution and return, on his undertaking not to make use of them until he was in a position to remit the balance due to the vendors under the statement of adjustments, and his further undertaking upon registration to forward the net proceeds unconditionally to the counsel for the Barrons.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No documents were returned and this action was commenced on October 3,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Before turning to the positions of the parties, I wish to note the evidence on the value of the lands in 1995 and in 2005. The Barrons had an appraisal done of the 27-acre parcel. In the appraisal of Mr. Anderson, which was completed January 13, 1995, following an inspection on December 19, 1994, the market value as at February 22, 1994 was $95,000. In 1996 the property assessment valued the property at $101,300.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Lot A was appraised at the request of the Deacons as of May 17, 2005, for the purposes of obtaining mortgage financing at $270,000 by an appraiser, Jacob Friesen. A second appraisal was obtained by Mr. Rod Turner at the request of the Barrons at $440,000 as of July 8, 2005. Mr. Turner considered the comparables relied upon by Mr. Friesen poor. For 2008, the BC Assessment authority valued Lot A at $611,200. Lot A had been appraised by Mr. Anderson for the Barrons as at February 22, 1994. His report was completed January 17, 1995, and its market value in the opinion of Mr. Anderson was then $92,000.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am satisfied that the Contract dated February 21, 1995, which was drafted by Ms. Corbet at the request of the Barrons, and was formed upon the execution of that document by the parties, has certainty of subject matter, certainty of price, and certainty of time for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Contract has multiple elements, but they are related or connected in a clear and reasonable way. The elements are: firstly, the purchase and sale of the 27 acres on the north side of the highway; secondly, the easement over the 6-acre parcel, Lot A, that is in part north and in part south of the highway, for water; thirdly, an interest in acquiring title to the 6-acre parcel, Lot A; and finally, the exclusive use of the 4 acres to the north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four elements of the Contract were ultimately completed on registration of the transfer, the easement, and the option. Each of the parties was content with the result. Each of the parties had the benefit of separate representation and professional advice. The Barrons were informed by Ms. Corbet of the effect of the cost-of-living-index 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Barrons say that the Contract of February 21, 1995 provided for a right of first refusal, and what they received was not a right of first refusal but an option. It is to be noted, however, that the Contract somewhat conflates the two concepts, referring in the same sentence to a "right of first refusal" and to an "optionee".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What is important is that Mr. Mark, acting for the Deacons, was alive to the issue and both recommended and provided a draft for an option to Ms. Corbet.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not what a document is called that is important. It is what it means, and whether it expresses the intent of the parties. What was important to the Barrons was that they controlled when the option would be triggered. As to the purchase price in 1995, Mr. Barron said he would not accept less than $200,000. It was important to Mr. Deacon to have a fixed price, and he put forward an adjustment based on the Consumer Price Index, which was accepted by the Barrons. It is also important to note that it was an adjustment based on a floor or a base price of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to the meaning of the Consumer Price Index, I am not persuaded that Mrs. Barron did not understand it. She struck me as an intelligent woman, who has displayed a certain business sense here in this matter, and I particularly refer to her letter to the Deacons triggering the running of the option. It incorporated all of the necessary components of a proper notice, and as I understand her evidence she drafted the letter with the option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Moreover, after she triggered the running of the option and received the Deacons' acceptance, as well as the Consumer Price Index calculation, she did not protest that, but simply said that her husband was not well enough to leave Lot A, and Mr. Deacon, I find, endeavoured to address her concern about moving by offering to rent the home and property on the river back to them. I consider that not only a reasonable response, but a decent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to the defence of unconscionability raised by the Barrons, the test is whether an unfair advantage was gained by an unconscientious use of power by a stronger person against a weaker person. That is the test set out in the decision of the British Columbia Court of Appeal in </w:t>
      </w:r>
      <w:r>
        <w:rPr>
          <w:rFonts w:ascii="arial" w:eastAsia="arial" w:hAnsi="arial" w:cs="arial"/>
          <w:b/>
          <w:i/>
          <w:color w:val="000000"/>
          <w:sz w:val="20"/>
          <w:lang w:val="en-US" w:eastAsia="en-US" w:bidi="ar-SA"/>
        </w:rPr>
        <w:t>Morrison v. Coast Finance</w:t>
      </w:r>
      <w:r>
        <w:rPr>
          <w:rFonts w:ascii="arial" w:eastAsia="arial" w:hAnsi="arial" w:cs="arial"/>
          <w:color w:val="000000"/>
          <w:sz w:val="20"/>
          <w:lang w:val="en-US" w:eastAsia="en-US" w:bidi="ar-SA"/>
        </w:rPr>
        <w:t xml:space="preserve"> (1966), 54 W.W.R. 257.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Harry v. Kreutziger</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(1978), 9 B.C.L.R. 166</w:t>
        </w:r>
      </w:hyperlink>
      <w:r>
        <w:rPr>
          <w:rFonts w:ascii="arial" w:eastAsia="arial" w:hAnsi="arial" w:cs="arial"/>
          <w:color w:val="000000"/>
          <w:sz w:val="20"/>
          <w:lang w:val="en-US" w:eastAsia="en-US" w:bidi="ar-SA"/>
        </w:rPr>
        <w:t xml:space="preserve"> (C.A.), Justice McIntyre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Where a claim is made that a bargain is unconscionable, it must be shown for success that there was inequality in the position of the parties due to the ignorance, need or distress of the weaker, which would leave him in the power of the stronger, coupled with proof of substantial unfairness in the bargain. When this has been shown a presumption of fraud is raised and the stronger must show, in order to preserve his bargain, that it was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critical time, it seems clear to me, is whether it was fair and reasonable when it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Here, the price paid for the 27 acres was a fair and reasonable price, and the calculation placed on Lot A was stipulated by the Barrons, not the Deacons. That price was roughly twice its appraised value in the Anderson appraisal the year earlier. The fact that ten years later its value had increased significantly cannot affect the fairness of the bargain when it was made. I cannot find ignorance, need or distress in the Barrons, or the kind of substantial unfairness that Justice McIntyre, in the </w:t>
      </w:r>
      <w:r>
        <w:rPr>
          <w:rFonts w:ascii="arial" w:eastAsia="arial" w:hAnsi="arial" w:cs="arial"/>
          <w:b/>
          <w:i/>
          <w:color w:val="000000"/>
          <w:sz w:val="20"/>
          <w:lang w:val="en-US" w:eastAsia="en-US" w:bidi="ar-SA"/>
        </w:rPr>
        <w:t>Harry</w:t>
      </w:r>
      <w:r>
        <w:rPr>
          <w:rFonts w:ascii="arial" w:eastAsia="arial" w:hAnsi="arial" w:cs="arial"/>
          <w:color w:val="000000"/>
          <w:sz w:val="20"/>
          <w:lang w:val="en-US" w:eastAsia="en-US" w:bidi="ar-SA"/>
        </w:rPr>
        <w:t xml:space="preserve"> case, says must be demonstrated.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With regard to the plea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there is no suggestion that the Barrons suffered from any mental or physical incapacity that would affect their ability to understand and appreciate what they signed, or their ability to say no to a bargain that did not meet their interests or expectations. They negotiated the mortgage rate, they fixed the floor price for Lot A, they triggered the running of the option as reasonably astute adults in a business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must also mention the long period of time in which the Barrons had the documents that are now impeached, without any comment or complaint, and that they invoked the terms of that document in a discriminating and effective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as well that the plaintiffs are entitled to the equitable relief of specific performance. None of the equitable bars are raised against them, nor do the facts as I have found them raise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Supreme Court of Canada revisited specific performance in </w:t>
      </w:r>
      <w:r>
        <w:rPr>
          <w:rFonts w:ascii="arial" w:eastAsia="arial" w:hAnsi="arial" w:cs="arial"/>
          <w:b/>
          <w:i/>
          <w:color w:val="000000"/>
          <w:sz w:val="20"/>
          <w:lang w:val="en-US" w:eastAsia="en-US" w:bidi="ar-SA"/>
        </w:rPr>
        <w:t>Semelhago v. Paramadevan,</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[1996] 2 S.C.R. 415</w:t>
        </w:r>
      </w:hyperlink>
      <w:r>
        <w:rPr>
          <w:rFonts w:ascii="arial" w:eastAsia="arial" w:hAnsi="arial" w:cs="arial"/>
          <w:color w:val="000000"/>
          <w:sz w:val="20"/>
          <w:lang w:val="en-US" w:eastAsia="en-US" w:bidi="ar-SA"/>
        </w:rPr>
        <w:t>, where at paragraph 22 this is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Specific performance should, therefore, not be granted as a matter of course absent evidence that the property is unique to the extent that its substitute would not be readily available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Justice Wilson considered </w:t>
      </w:r>
      <w:r>
        <w:rPr>
          <w:rFonts w:ascii="arial" w:eastAsia="arial" w:hAnsi="arial" w:cs="arial"/>
          <w:b/>
          <w:i/>
          <w:color w:val="000000"/>
          <w:sz w:val="20"/>
          <w:lang w:val="en-US" w:eastAsia="en-US" w:bidi="ar-SA"/>
        </w:rPr>
        <w:t>Semelhago</w:t>
      </w:r>
      <w:r>
        <w:rPr>
          <w:rFonts w:ascii="arial" w:eastAsia="arial" w:hAnsi="arial" w:cs="arial"/>
          <w:color w:val="000000"/>
          <w:sz w:val="20"/>
          <w:lang w:val="en-US" w:eastAsia="en-US" w:bidi="ar-SA"/>
        </w:rPr>
        <w:t xml:space="preserve"> in a decision, </w:t>
      </w:r>
      <w:r>
        <w:rPr>
          <w:rFonts w:ascii="arial" w:eastAsia="arial" w:hAnsi="arial" w:cs="arial"/>
          <w:b/>
          <w:i/>
          <w:color w:val="000000"/>
          <w:sz w:val="20"/>
          <w:lang w:val="en-US" w:eastAsia="en-US" w:bidi="ar-SA"/>
        </w:rPr>
        <w:t>686966 B.C. Ltd. v. 686967 B.C. Ltd.</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2007 BCSC 1137</w:t>
        </w:r>
      </w:hyperlink>
      <w:r>
        <w:rPr>
          <w:rFonts w:ascii="arial" w:eastAsia="arial" w:hAnsi="arial" w:cs="arial"/>
          <w:color w:val="000000"/>
          <w:sz w:val="20"/>
          <w:lang w:val="en-US" w:eastAsia="en-US" w:bidi="ar-SA"/>
        </w:rPr>
        <w:t>. There it was held, at paragraph 18, that three tests to address the issue of uniqueness may be applied:</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evidence that the land is especially suitable for the purchaser?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evidence that a "substitute" is not "readily available"?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damages "comparatively inadequate" to do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This land is adjacent to the 27 acres and to the Lot 23 owned by the plaintiffs. It is especially suitable to the plaintiffs. There is no substitute readily available. Mr. Deacon has used the land to the north of the highway since 1995. He says, and there is no evidence to the contrary, that the 4 acres lying to the north of the highway is the best of the 31 acres lying to the north of the highway for the grazing of cattle.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Deacon expressed concern as well that the property could be developed as a trailer park, thereby disturbing the peace and tranquillity of the area. It seems to me that the property enjoys such unique qualities with regard to the plaintiffs that a degree of specific performance must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regard to the third-party claim against Ms. Corbet, while I am satisfied that she owed a duty of care to the Barrons, I find that she discharged that duty in accordance with the appropriate standard of care. She prepared a form of contract of purchase and sale upon the instructions of the Barrons. The Barrons met with the Deacons, certain changes were made, including the fixed base price for Lot A of $200,000, and the contract of purchase and sale was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Corbet took the contract of purchase and sale as the parties had made it. She gave appropriate advice to the Deacons on the implications of the cost-of-living-index adjustment, and she ensured that the Barrons got what they bargained for. The emphasis, of course, is on the words "what they bargained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to be remembered that for most of the last 25 years real estate has been a remarkably profitable asset in which to be invested. The experiences of recent months may suggest that there is no certainty of profit and, indeed, that there is a very real risk of loss and substantial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Barrons made their bargain with the Deacons in full knowledge of its terms, and were seemingly content with those terms until ten years later when what may have been a good bargain in 1995 was now shown to be improvident, but improvidence is not a ground for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Corbet did as she was asked to do, in giving effect to the bargain her clients had made. She did not make an improvident bargain for them. In the result, the third-party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Costs will follow the event, unless there are submissions to be made by counsel. If so, counsel may bring the matter back before me in the ordinary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 BROOKE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Dentech Products Inc. v. Demed Manufacturing Ltd., [2001] B.C.J. No. 207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25 - 29, November 1 - 5, 8 - 10, 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15 - 19, 22 - 26, 29, 30, December 1 - 3 and 17,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10 - 14 and 17 - 19,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C971161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214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B.L.R. (3d) 107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1012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Dentech Products Inc., Ash Temple, Inc. and Ash Temple Limited, plaintiffs, and Demed Manufacturing Ltd., Demed Manufacturing Corporation, Wanzel, Sigmund &amp; Overes, Anton Simor and Yves Lambert, defendants, and Wanzel, Sigmund &amp; Overes, Yves Lambert,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9" w:name="Keywords_21"/>
      <w:bookmarkEnd w:id="139"/>
      <w:r>
        <w:rPr>
          <w:rFonts w:ascii="arial" w:eastAsia="arial" w:hAnsi="arial" w:cs="arial"/>
          <w:b/>
          <w:color w:val="000000"/>
          <w:sz w:val="20"/>
          <w:lang w:val="en-US" w:eastAsia="en-US" w:bidi="ar-SA"/>
        </w:rPr>
        <w:t xml:space="preserve">Contracts — Terms — Implied terms — Professional occupations — Accountants — Duty to third parties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Standard of care — Business law — Sale of a business — Conditions and warranties.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0" w:name="Case Summary_18"/>
            <w:bookmarkEnd w:id="1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Dentech Products and Ash Temple for damages for misrepresentation in relation to an agreement of purchase and sale with Demed Manufacturing. The defendant, Demed Manufacturing entered into an agreement of purchase and sale to sell its business to the plaintiffs. Dentech and Ash Temple argued that the vendor's inventory was misstated in the financial statements. This resulted in an inflated calculation of the gross profit margin of the business. They argued that they would not have purchased the business if the value had been accurately stated. The plaintiffs also argued that the vendor's auditors were liable for breach of their duty in preparing the financial statements.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1" w:name="Holdings of Court_16"/>
            <w:bookmarkEnd w:id="14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that the parties intended that an implied term as to future gross profit margin would form part of the contract. The auditors owed a duty of care to the plaintiffs. There were different methods of calculating the value of inventory and a range of acceptable values. In the absence of further evidence as to the range of acceptable values, the auditors could not be held to have failed in their duty.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2" w:name="Legislation Cited_12"/>
      <w:bookmarkEnd w:id="1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8"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Partnership Act, </w:t>
      </w:r>
      <w:hyperlink r:id="rId375" w:history="1">
        <w:r>
          <w:rPr>
            <w:rFonts w:ascii="arial" w:eastAsia="arial" w:hAnsi="arial" w:cs="arial"/>
            <w:i/>
            <w:color w:val="0077CC"/>
            <w:sz w:val="20"/>
            <w:u w:val="single"/>
            <w:shd w:val="clear" w:color="auto" w:fill="FFFFFF"/>
            <w:lang w:val="en-US" w:eastAsia="en-US" w:bidi="ar-SA"/>
          </w:rPr>
          <w:t>R.S.B.C. 1996, c. 384, ss. 2</w:t>
        </w:r>
      </w:hyperlink>
      <w:r>
        <w:rPr>
          <w:rFonts w:ascii="arial" w:eastAsia="arial" w:hAnsi="arial" w:cs="arial"/>
          <w:color w:val="000000"/>
          <w:sz w:val="20"/>
          <w:lang w:val="en-US" w:eastAsia="en-US" w:bidi="ar-SA"/>
        </w:rPr>
        <w:t>, 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3" w:name="Counsel_21"/>
      <w:bookmarkEnd w:id="1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 Hobbs, for the plaintiffs. J.P. Taylor, Q.C., and R.W. Sieg, for the defendants, Demed Manufacturing Corporation and A. Simor. G.C. Blanchard and M. Tinker, for the defendant, Wanzel, Sigmund &amp; Overes. R.W. Grant, for the third Party, Yves Lambert.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4" w:name="Judgment_21"/>
      <w:bookmarkEnd w:id="144"/>
      <w:r>
        <w:pict>
          <v:line id="_x0000_s1130"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5" w:name="GILL J."/>
            <w:bookmarkEnd w:id="145"/>
            <w:r>
              <w:rPr>
                <w:rFonts w:ascii="arial" w:eastAsia="arial" w:hAnsi="arial" w:cs="arial"/>
                <w:b/>
                <w:color w:val="000000"/>
                <w:sz w:val="30"/>
                <w:lang w:val="en-US" w:eastAsia="en-US" w:bidi="ar-SA"/>
              </w:rPr>
              <w:t>GILL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the sale of the assets of a dental equipment manufacturing business to the plaintiffs by certain of the defendants. The agreement of purchase and sale is dated September 22, 1995. The transaction actually completed in October,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Ash Temple Limited, is a distribution agent for manufacturers of dental equipment. It is the parent of the other plaintiff companies, Ash Temple, Inc. and Dentech Products Inc., which are involved in the manufacture, assembly and sale of dental equipment. The defendants, Demed Manufacturing Ltd. and Demed Manufacturing Corporation were previously Dentech Products Ltd. and Technodent Corporation. Technodent Corporation was an American subsidiary of Dentech Products Ltd. It carried on business under the name Dentech Corporation. These companies designed, manufactured and sold dental equipment. Plants were located in Clearbrook, British Columbia and Sumas, Washington. The Canadian plant was primarily involved in manufacturing. Final assembly was done in Sumas. For ease of reference, the Demed companies will be referred to as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Anton Simor was the president and principal shareholder of the vendors and provided covenants in respect of the sale transaction. Yves Lambert was an officer and minority shareholder of the vendors. A third party notice was issued by Mr. Simor as against Mr. Lambert. Counsel have reached agreement in respect of Mr. Lambert's liability should Mr. Simor be found liable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Terry Sigmund is a certified general accountant. The name under which Mr. Sigmund practised was Wanzel, Sigmund &amp; Overes. Mr. Sigmund provided financial services to the vendors, which included the preparation of audited consolidated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agreement of purchase and sale contained a number of warranties in respect of the books and records and financial statements of the vendors. While the action is complex and the issues numerous, at its core is the plaintiffs' assertion that the inventory of the vendors as at March 31, 1995, did not have the value ascribed to it in the consolidated audited financial statements for the year ending March 31, 1995. This was said to be of significance because calculations of the gross profit margin were thus inflated. It was argued that the plaintiffs would not have purchased the business had the financial statements accurately reflected the value of the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vendors had carried on business for many years prior to the sale to the plaintiffs. It was Mr. Simor's evidence that he started the business in 1971 because he needed a job and had an idea in respect of a dental control unit. Mr. Simor is an engineer and by reason of his training and interests, was responsible for technical or scientific aspects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Prior to 1993, the vendors had an exclusive dealer contract with a U.S. company known as Healthco. Healthco was a large distributor of dental equipment. Its head office was in the United States and there was a Canadian subsidiary called Healthco Canada. Healthco installed dental equipment manufactured by the vendors on its own dental chairs which, in turn, were sold to Healthco customers. On June 11, 1993, Healthco declared bankruptcy in the United States, leaving the vendors in the position of losing their single customer. As a result of being unable to collect approximately $2.6 million, significant operating loses were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Lambert had been the president of Healthco Canada and for some years, had also been president of Healthco France. He was born and raised in Quebec and continues to reside in Montreal. Mr. Lambert and Mr. Simor had known one another for many years and after Mr. Lambert left Healthco in 1991, he became a shareholder of the vendors. Because Mr. Lambert needed someone to assist in administration, particularly as regards to finances, Mr. Lambert also became involved in the business of the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vendors decided to continue the business despite the Healthco bankruptcy. The plan was to develop a complete dental chair unit, including attached dental equipment, to be offered to dealers in North America and Europe. Bank financing was required. The U.S. Bank provided an operating line of credit of US$1.2 million, which was increased to US$1.8 million in June, 1995. The U.S. Bank required a guarantee from Mr. Simor and a security interest in the receivables. The formula for advances is described in the Bank's commitment letter as 80% of eligible receivables and 50% of inventory up to a maximum of US$900,000. The value of eligible inventory was thus material. There were also financial reporting requirements, which included monthly statements, annual audited statements for the U.S. and Canadian companies and consolidated audited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the latter part of 1994, a decision had been made to sell the business of the vendors. In October, Mr. Lambert attended a dental convention in Vancouver. Michel Hart, chief executive officer and majority shareholder of the Ash Temple plaintiffs, was also at that convention. In a casual conversation, Mr. Hart told Mr. Lambert of his interest in purchasing a manufacturing business. Mr. Lambert told Mr. Hart of the vendors' interest in a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confidentiality agreements were in place, financial information was provided to the plaintiffs and visits to the vendors' plants were made. Mr. Hart's first visit to the vendors' plants was in early December, 1994. He was accompanied by Mr. Elbourne, the president of Ash Temple. The purpose of the visit was to the see the facility and the products and to meet key personnel. In January, 1995, other individuals employed by the plaintiffs with backgrounds in service, sales and purchasing inspected the plants and the equipment produced by the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 result of his attendance, the reports of others and the financial information provided, Mr. Hart's impressions of the vendors' business were generally favourable. On February 8, 1995, he wrote to Mr. Simor. The letter was a formal expression of interest from Ash Temple Limited to acquire 80% of the shares of the vendors. The proposed purchase price was 80% of US$4 million, with certain deductions. A closing date of either May 31 or June 30, 1995, was suggested, as this would allow "the lawyers and accountants time to do their work". Mr. Simor and Mr. Lambert would continue to own shares and 50% of the purchase price was to be paid as an earn out, that is, from future profits of the business,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exchange of information continued. On March 23, 1995, Mr. Lambert forwarded to Mr. Hart additional financial information. Included was a consolidated statement of income and retained earnings to February 28, 1995, stated in U.S. dollars at an exchange rate of 1.403. Actual year to date figures for income and the cost of goods manufactured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3136"/>
        <w:gridCol w:w="3032"/>
        <w:gridCol w:w="1359"/>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Sales</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US$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4,975,638</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4,975,638</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GOODS MANUFACTURED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601"/>
        <w:gridCol w:w="1568"/>
        <w:gridCol w:w="1359"/>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Opening Inventory</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1,612,155</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Purchases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1,691,674</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Freight-in and Duty</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41,027</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Shipping - Net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163,839</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Shop supplies and Tooling</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194,207</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109"/>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96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3,692,702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391"/>
        <w:gridCol w:w="1778"/>
        <w:gridCol w:w="1359"/>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Less: Closing Inventory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2,378,729</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109"/>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96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1,313,973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391"/>
        <w:gridCol w:w="1778"/>
        <w:gridCol w:w="1359"/>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Direct Labor &amp; Benefits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1,358,169</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109"/>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96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2,672,142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2510"/>
        <w:gridCol w:w="1359"/>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GROSS MARGIN</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2,303,496</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total of the five items listed is incorrectly calculated as $3,692,702. The error is not of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Hart testified that when he reviewed the above, he noted that the gross margin for the year was 46.3%.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digress to explain the meaning of gross margin. The calculation of gross margin is straightforward - $2,303,496 is 46.3% of $4,975,638. It is the amount by which income generated from sales exceeds the cost of goods manufactured. To calculate gross margin, it is necessary to know the value of both the opening and closing inventory. The significance of a variation in value can be illustrated by substituting a closing inventory value of $2 million. The gross margin would then be $1,924,767 or 38.7%, a significant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Discussions between the parties and the exchange of information continued. On May 5, 1995, Mr. Hart wrote to Mr. Simor expressing his continued interest, but stating that he concurred that a net asset transaction was preferable to a share transaction. Based on current performance and what Mr. Hart described as the continuing need for marketing and technical investment, he suggested that the valuation of the business must be lowered. His letter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Anton, there is still interest for Dentech at Ash Temple. We just need to review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was Mr. Hart's evidence that in April and May, he was gaining an understanding of the performance of the vendors and for this reason, as well as because he did not have audited statements, no offer to purchase was made in those months. Mr. Hart testified that he was provided with a copy of the audited financial statements of Dentech Products Inc. for the year ended March 31, 1995, before a formal proposal was made. He believed that the final statements were received on June 8, the day he signed the proposal. The consolidated statement of income and retained earnings included the following:</w:t>
      </w:r>
      <w:r>
        <w:rPr>
          <w:rFonts w:ascii="arial" w:eastAsia="arial" w:hAnsi="arial" w:cs="arial"/>
          <w:sz w:val="20"/>
          <w:lang w:val="en-US" w:eastAsia="en-US" w:bidi="ar-SA"/>
        </w:rPr>
        <w:cr/>
      </w: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U.S.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1778"/>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1995</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2405"/>
        <w:gridCol w:w="66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INCOME</w:t>
            </w:r>
          </w:p>
        </w:tc>
        <w:tc>
          <w:tcPr>
            <w:tcW w:w="655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US$5,572,9866 US$4,642,677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COST OF GOODS MANUFACTURED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3764"/>
        <w:gridCol w:w="1778"/>
        <w:gridCol w:w="1882"/>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Opening Inventory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1,612,555</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1,127,673</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Purchases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2,093,283</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1,641,521</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Freight-in and Duty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99,762</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40,882</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Shipping - Net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139,206</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101,784</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Shop supplies and Tooling</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213,516</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96,849</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064"/>
        <w:gridCol w:w="1882"/>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93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4,158,322</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3,008,709</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3660"/>
        <w:gridCol w:w="1882"/>
        <w:gridCol w:w="1882"/>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Less: Closing Inventory</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2,728,789</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1,612,555</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064"/>
        <w:gridCol w:w="1882"/>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93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1,429,533</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1,396,154</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3660"/>
        <w:gridCol w:w="1882"/>
        <w:gridCol w:w="1882"/>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Direct Labor &amp; Benefits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1,534,605</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1,254,700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064"/>
        <w:gridCol w:w="1882"/>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93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2,964,138</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2,650,854</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2927"/>
        <w:gridCol w:w="2823"/>
        <w:gridCol w:w="1882"/>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GROSS MARGIN</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2,608,848</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1,991,823</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deduction of general and administrative expenses, the net operating loss for 1995 was US$392,018.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June 23, 1995, a revised proposal was sent to Mr. Simor. The proposal recited that if the parties were in agreement with what was set out, they would commence to negotiate a purchase agreement. As had been discussed some time before, certain things were to be excluded, including Hungarian receivables of US$359,000 and capitalized research and development. The purchase price was to be based upon net asset value, a term defined in the document. The proposal was executed by Mr. Simor on July 6. A joint press release was issued a few days later announcing that Ash Temple Limited and Dentech Products Inc. had reached an agreement under which Ash Temple would be the majority shareholder of Dentech and that subject to satisfactory due diligence by Ash Temple, a closing was planned for August,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Returning to the audited consolidated financial statements, the closing inventory value was US$2,728,789. The inventory of the vendors consisted of in excess of 3,000 part numbers, and included raw materials, parts, sub-assemblies and final assemblies. The vendors had a computerized costing system known as Inmass. At each fiscal year end, a physical count of the inventory would be conducted and standard costs from the Inmass system would be used to cost the quantities on hand. (Inmass listings did not include consignment goods.) Inventory was not counted at the end of each month and therefore, for purposes of monthly statements inventory, value was determined by assuming a gross margin.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physical count was conducted at the end of March, 1995, Mr. Hess, an accountant employed by the vendors, calculated total inventory value by multiplying quantities times Inmass costs, then adding consignment inventory. The total inventory was US$1,962,640.18 consisting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196"/>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Consignment Inventory</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$340,488.10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Sumas Inventory</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$862,076.53</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Clearbrook Inventory</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$760,075.55</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Lambert had had concerns about the Inmass system for some time. He testified that in April, 1995, he asked accounting staff to provide him with certain information. What he wanted to know was the total material and labour cost of each product in the vendors' catalogue and the price at which each item was sold. When that information was received, he began to conduct an analysis. A comparison of costs and selling price revealed that on approximately 40% of the vendor's products, if costs were accurate, the gross profit on those products would exceed 70%. His analysis of the remaining products suggested that if Inmass costs were accurate, the gross profit of the companies would be significantly more than actual gross profit. Mr. Lambert then looked at the cost of materials. He concluded that Inmass was substantially accurate. Where the inaccuracy appeared to lie was in the costs attributable to labour. Approximately US$1,500,000 of labour and employee benefits was paid, but only US$500,000 could be accounted for. Mr. Lambert concluded that the values for the Sumas and Clearbrook inventories generated using Inmass costs should be increased by a factor of 1.442.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Statements for March, 1995, had to be provided to the U.S. Bank. Mr. Lambert decided that the closing inventory should be adjusted by his factor. After the statements were completed, Mr. Lambert gave instructions to forward them to Mr. Sigmund. He was then returning to Montreal, and intended to speak with Mr. Sigmund about the inventory and its valuation upon his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Although their evidence is challenged by the plaintiffs, it was the evidence of both Mr. Lambert and Mr. Sigmund that they met on May 24 to discuss valuation. Mr. Lambert testified that he took all of the documents which he had analyzed to the meeting, together with his notes, bills of materials, price lists, and information regarding how many of each item had been sold in 1994. He and Mr. Sigmund discussed his analysis. He recalled a discussion regarding a part numbered CM415 which made up in excess of 30% of sales. If Inmass was correct, this product, which was sold for $2,650, cost only $950 to produce, yet the company was obviously not making a gross profit of that magnitude. Ultimately, Mr. Sigmund agreed with Mr. Lambert's conclusions, but felt that to be conservative, the figures generated using Inmass ought to be factored up by 1.4, not 1.442. The closing inventory value in the audited consolidated statements, being US$2,728,789, would have been significantly less had a factor of 1.4 not been used. No adjustment was made to the opening inventory figure, which was the closing inventory value for the fiscal year ending March 31,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digress from the narrative to say that I accept the evidence of Mr. Lambert and Mr. Sigmund that they met for a number of hours, had discussions as described and reviewed a considerable amount of data. Mr. Lambert did not take the data that he accumulated when the business was sold and it has not been located. Unfortunately, it is therefore not possible to accurately reproduce what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Returning to the narrative, Mr. Lambert advised Mr. Hart of the upward adjustment to the inventory value and the reasons for it. Mr. Hart believed that he learned of the adjustment after July 12. Mr. Lambert felt it was earlier. Precisely when this advice was given is not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mid-August, 1995, Gary Jarvis, a chartered accountant and chief financial officer of Ash Temple, and Michelle Magwood, then controller of Ash Temple and also a chartered accountant, travelled from Ontario to British Columbia. Their task was to assist in determining how the net asset value under the proposed purchase agreement should be calculated. Mr. Jarvis and Ms. Magwood were aware that the vendors did not believe that the Inmass system produced reliable costs and they were aware of the 1.4 adjustment, although Mr. Jarvis erroneously believed the opening figure had also been adjusted. Upon their return, a memo was provided to Mr. Hart. That memo, which is dated August 21, includes comments on the costing system. It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main stumbling block to obtaining a purchase price will be the reliance we can place on the costing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Dentech admits that the costing system is a weak link and there are a number of difficulties we have to overcome.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March 31, 1995 yearend audit the company negotiated with the auditors to accept a 1.4% multiplying factor times standard cost to reach an inventory value for financial statement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Yves Lambert has done a number of calculations which indicate a factor of 1.44 at August 31, 1995.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have to review in detail and agree to the underlying assumptions made before utilizing this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memo went on to give reasons for the unreliability of the costing system. The first was information provided by Mr. Fletcher, an employee of the vendors, to the effect that labour reported from the shop floor was consistently below actual labour paid. The second was that Mr. Hess had calculated an appropriate labour overhead rate as CDN$51, whereas the company used a rate of CDN$39. The memo stated that the costing system could not be relied upon to generate a reasonable valuation for inventory and that a multiplying factor would have to be agreed upon. Finally, it stated that updating the costing system should be a priority after acquisition. In fact, the vendors had already made the decision to implement a new system and had taken steps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Jarvis and Ms. Magwood testified that time did not permit them to verify inventory costs. Their assumption was that the vendors' auditors had done the necessary audit work to verify inventory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Magwood returned to British Columbia on August 23 or 24 and remained until September 3, 1995. On the subject of inventory, she testified that she was present at the physical count which was conducted on August 25 and did test counts for comparative purposes. She had discussions with Mr. Hess who was of the view that to be accurate, the Inmass figures required a gross-up. Upon her return to Ontario, she discussed what she had learned with Mr. Jarvis and together they prepared a memo for Mr. Hart, a copy of which also went to Mr. Simor. Ms. Magwood's review had indicated that gross margins were significantly lower due to increases in the standard costs of certain items as at August, 1995, and her memo noted that the application of a factor of 1.4 would further reduce the gross margin.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Hart confirmed receipt of the memos, which were discussed with Mr. Jarvis and Ms. Magwood. He was, of course, already aware of Mr. Lambert's view that the audited statements accurately reflected closing inventory value. I note that Mr. Hart has never questioned the genuineness of Mr. Lambert's belief and the plaintiffs do not do so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were provided with financial information as it became available, including statements as at July 31 and August 31, 1995. In early September, Mr. Hess, at the request of Mr. Hart, prepared what is described as an adjusted balance sheet. The closing inventory value was adjusted downwards for reasons relating to dental chairs in inventory and consignment inventory. A factor of 1.4 was not applied to the dental chair inventory because Mr. Lambert believed Inmass costs were accurate and the value of consignment inventory was decreased. The gross margin in the adjusted statements was stated as US$1,021,637, or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Schedule H to the agreement of purchase and sale is described as an August 25, 1995, statement of assets and liabilities. Inventory as at that date is US$2,999,552. Late in the negotiations, Mr. Simor had asked that the plastics and tool rooms be deleted from the assets being sold and Mr. Hart agreed. To obtain the final inventory value, the plastic and tool room inventory was excluded, resulting in an adjusted inventory value of US$2,938,993. In calculating asset value, no amount was attributed to research and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Clause 2.4 of the agreement of purchase and sale described the purchase price. That clause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Price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the adjustments referred to below, the purchase price (the "Purchase Price") payable by the Purchasers to the Vendors for the Purchased Assets shall be the sum of:</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U.S. $508,805 (the "Agreed Book Value"), being 85% of U.S. $598,594, the negotiated book value of the adjusted consolidated assets (other than Excluded Assets) of Dentech and Technodent, minus the book value of the adjusted consolidated liabilities of Dentech and Technodent, in each case as disclosed on the negotiated August 25, 1995 balance sheet attached hereto as Schedule H (the "August 25 Statement of Assets and Liabilities"); and</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the liabilities of the Vendors or either of them to be assumed or satisfied by the Purchasers or either of them in accordance with Sections 2.6, 2.7 and 2.8 hereof (the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transaction closed on October 10,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Subsequent to the purchase, Mr. Fletcher remained as president of Dentech and Mr. Hess continued in his employment as an accountant. Ms. Magwood, at the request of Mr. Fletcher, became chief financial officer and vice president of finance of Dentech commencing February, 1996. She described her main objectives as a new accounting system and the updating of costs and her goal was to complete these tasks by December, 1996. Ms. Magwood described the costing of in excess of 3,000 parts as "quite a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Inventory had been counted at the end of December, 1995. Standard costs from Inmass were used to value the various items and with the exception of the chair inventory, a factor of 1.4 was applied. KPMG was retained to do a review engagement in respect of the consolidated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the gross margin was calculated using this inventory value, it was 62%. Mr. Fletcher testified that he discussed this figure with Mr. Hart and they concluded that the inventory must be overvalued. The factor of 1.4 was therefore reduced to 1.25, resulting in a gross margin which conformed with what Mr. Fletcher described as the historic gross margin. Mr. Hart also testified as to discussions regarding the valuation of inventory at the end of 1995. He gave evidence that instructions were that absent new costing, inventory ought to be valued by using a gross margin of no more than 50%. The evidence of Mr. Hess on this issue does not accord with that of Mr. Fletcher and Mr. Hart, but in a general sense, the manner in which Mr. Hess gave evidence was unsatisfactory and I question the reliability of his recollections on certain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any event, the explanation most often offered to explain the 1995 year end inventory value related to raw materials. After the purchase, Dentech went through a large restocking in respect of raw materials and as there was no labour component, use of a factor of 1.4 would overvalue such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Concerns about inventory value increased during 1996, but monthly statements continued to assume a 47% gross margin. When the inventory was counted at year end, new costs were available and it was then, the plaintiffs say, that the problem with the 1.4 factor became apparent. What occurred is described in a memo from Mr. Fletcher to Mr. Hart and Mr. Jarvis dated January 14, 1977: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financial statements we have delivered to you for the 11 months ended November 1996 impute an inventory valuation of $4,116,290, based on the assumption of a 47% gross margin. Having now completed the year-end inventory counts, we have calculated our actual year-end inventory at $2,119,691 based on the component and product costings which have been recalculated and reviewed over the past few months. While there may be some refinements to the latter number, there is no doubt that we have an inventory variance on the order of $2 million.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inventory was acquired from the predecessor company in October 1995, its value was written up by 40% because the historic costings were perceived to underestimate the then current costs of production. The current cost analysis which we have developed over the past six months shows that the historic costs of the previous company were substantially accurate. The root of the accumulated $2 million variance is the mistaken assumption that our costs were understated. If we had calculated our 1995 financial statements based on historic costs, our inventory would have been US$505,662 lower at yearend; we would have realized a gross margin of 26.8% and an operating loss of approximately US$480,00. By grossing up the 1995 inventory valuation, we deferred recognizing this loss and went through 1996 assuming a gross margin of 47%. Our preliminary calculation of actual cost of goods sold in 1996 is $4,621,376 on (estimated) sales of $5,736,742 yielding a gross margin of 19.4% in 1996. By assuming a 47% margin, we accumulated a $1,255,909 understatement of our Cost of Goods Sold; comprised of an actual decrease in inventory at December 31, 1996 of $403,270 compared to the December 31, 1995 inventory (before gross up) and 1996 expenditures of $1,177,633 which should have been charged to CGS rather than added to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Magwood and Mr. Fletcher described their reactions to the US$2 million inventory writedown as "shocked". Mr. Fletcher offered to tender his resignation upon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Hart testified that after learning in early 1997 of the actual gross profit, attempts were made to sell Dentech as a going concern, but without success. Consideration was given to liquidation, but it was erroneously believed that a better financial result could be achieved by continuing Dentech's business. The present proceedings were commenced in February,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the commencement of these proceedings, Arthur Andersen &amp; Co. was retained to estimate the value of the vendors' inventory as at March 31 and August 25, 1995, and to calculate the gross profit margins based on the estimated values of the inventory on those dates. Because of the large number of parts included in inventory, it was decided that a statistical approach would be utilized. Using monetary unit sampling, a sample of part numbers was drawn from the Clearbrook and Sumas inventory lists for the dates in question and a review was undertaken of information provided by the plaintiffs in support of the standard costs for the items sampled. This information related to the raw material and labour components, as well as the plaintiffs' calculation of overhead costs charged to inventory. As at November 30, 1996, a labour/overhead rate of 2.18 was used. As many of the inventory parts were assemblies made up of smaller sub-assemblies or components, the number of parts ultimately reviewed was significantly more than the number of items sampled.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This method of statistical estimation produces a high and low value. The width of that band is determined by the confidence limits used. Arthur Andersen utilized a confidence factor of 90%. Mr. Zuk testified that there is a 90% likelihood that the inventory values were within the indicated low and high values shown in the following table, which includes a comparison to book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5019"/>
        <w:gridCol w:w="1882"/>
        <w:gridCol w:w="21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at March 31, 1995</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Low</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High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4287"/>
        <w:gridCol w:w="1673"/>
        <w:gridCol w:w="1882"/>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Book value of inventory per</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$ 2,728,789</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$ 2,728,789</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consolidated Financial state-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ments of Dentech Limited</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4287"/>
        <w:gridCol w:w="1673"/>
        <w:gridCol w:w="1882"/>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Revised value of inventory per</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1,911,617</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2,243,108</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Arthur Andersen</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2823"/>
        <w:gridCol w:w="1882"/>
        <w:gridCol w:w="1255"/>
        <w:gridCol w:w="523"/>
        <w:gridCol w:w="1359"/>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Difference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817,172</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485,681</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5019"/>
        <w:gridCol w:w="1882"/>
        <w:gridCol w:w="21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at August 25, 1995</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Low</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High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4287"/>
        <w:gridCol w:w="1673"/>
        <w:gridCol w:w="1882"/>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Book value of inventory per</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$ 2,995,552</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$ 2,995,552</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consolidated balance sheet of</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Dentech Limited</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4287"/>
        <w:gridCol w:w="1673"/>
        <w:gridCol w:w="1882"/>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Revised value of inventory per</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2,164,687</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2,484,325</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Arthur Andersen</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2823"/>
        <w:gridCol w:w="1882"/>
        <w:gridCol w:w="1255"/>
        <w:gridCol w:w="523"/>
        <w:gridCol w:w="1359"/>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Difference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830,865</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511,227</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is apparent, the differences are sizeable and the impact on any calculation of gross margin is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Turning to the plaintiffs' claims, while much trial time was spent on the issue of what the inventory was worth, the significance of its value is that it is critical to establishing a gross margin percentage which Mr. Hart testified was critical to the decision to purchase. It was the "representation" that the business could achieve a gross margin of 47% that he said he relied upon and he proceeded with the transaction on the basis the business would achieve close to the same gross margin post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assert that the warranties given under the agreement with respect to the financial statements were:</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statements of the vendors are true and correct,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statements present fairly in all material respects,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statements were prepared in accordance with generally accepted accounting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express terms of the agreement are referred to in the Statement of Claim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to which the Plaintiffs will refer as may be necessary for its full terms, meaning and effect, provided, inter alia,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 Vendors' Representations and Warranties</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books and records of the Vendors relating to the Purchased Businesses are true and correct, present fairly and disclose in all material respects the financial position of the Purchased Businesses, and all material financial transactions of the Vendors relating to the Purchased Businesses have been accurately recorded in such books and records and such books and records have been prepared in accordance with generally accepted accounting principles consistently applied;</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March 31, 1995 consolidated audited financial statements of Dentech, consisting of the Balance Sheet and the Consolidated Statement of Income and Retained Earnings for the year ended March 31, 1995, together with the notes thereto and the report of Wanzel, Sigmund &amp; Overes, Certified General Accountants;</w:t>
      </w:r>
    </w:p>
    <w:p>
      <w:pPr>
        <w:numPr>
          <w:numId w:val="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March 31, 1995 audited financial statements of Dentech, consisting of the Statement of Financial Position as at March 31, 1995 and the Statement of Income and Retained Earnings for the year ended March 31, 1995 together with the notes thereto and the report of Wanzel, Sigmund &amp; Overes, Certified General Accountants;</w:t>
      </w:r>
    </w:p>
    <w:p>
      <w:pPr>
        <w:numPr>
          <w:numId w:val="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March 31, 1995 audited financial statements of Technodent, consisting of the Statement and Financial Position as at March 31, 1995 and the Statement of Income and Retained Earnings for the year ended March 31, 1995 together with the notes thereto and the report of Wanzel, Sigmund &amp; Overes, Certified General Accountants;</w:t>
      </w:r>
    </w:p>
    <w:p>
      <w:pPr>
        <w:numPr>
          <w:numId w:val="1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June 30, 1995 consolidated financial statements of Dentech consisting of the consolidated Statement of Financial Position as at June 30, 1995 and the consolidated Statement of Income and Retained Earnings for the three month period ended June 30, 1995 together with the note thereto and the report of Wanzel, Sigmund &amp; Overes, Certified General Accountants;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June 30, 1995 financial statements of Dentech consisting of the Statement of Financial Position as at June 30, 1995 and the Statement of Income and Retained Earnings for the three month period ended June 30, 1995, together with the notes thereto and the report of Wanzel, Sigmund &amp; Overes, Certified General Accountants; and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June 30 1995 financial statements of Technodent consisting of the Statement of Financial Position as at June 30, 1995 and the Statement of Income and Retained Earnings for the three month period ended June 30, 1995, together with the notes thereto and the report of Wanzel, Sigmund &amp; Overes, Certified General Accountants;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(collectively referred to as the 'Financial Statements'), a copy of which is attached hereto as Schedule J:</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in all material respects in accordance with the books and records of Dentech and/or Technodent, as the case may be, as at the date of the relevant statements;</w:t>
      </w:r>
    </w:p>
    <w:p>
      <w:pPr>
        <w:numPr>
          <w:numId w:val="1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true and correct in all material respects and present fairly the financial position of Dentech and/or Technodent, as the case may be, as at the date of the relevant statements;</w:t>
      </w:r>
    </w:p>
    <w:p>
      <w:pPr>
        <w:numPr>
          <w:numId w:val="1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been prepared in accordance with generally accepted accounting principles consistently applied, and</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fairly all of the assets and liabilities of Dentech and Technodent, as the case may be, as at the date of the relevant statement including, without limitation, all contingent liabilities of Dentech and Technodent.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(June 1995, financial statements were contemplated, but not prepared. The financial statements are as already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To calculate damages, it was assumed that Dentech ceased operations on June 30, 1997, and claims are made for the loss in value of assets on an assumed liquidation, the present value of future lease obligations and the amount of severance pay in lieu of notice for which the company would be liable. Additionally, a claim is made for what is described as the loss of gross profit margin. Mr. Zuk assumed a gross profit of 47% on the actual revenues of Dentech for the period September 1, 1995 to June 30, 1997, then made calculations using 32% and 38%. The difference was US$991,963 (38%) and US$1,653,272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behalf of the vendors, it was argued that for the plaintiffs to succeed, the court must imply a term in the agreement relating to gross margin or profitability for the period in question as there is otherwise no legal basis for any of the above claims. Although the plaintiffs do not accept that sweeping statement, it was argued on their behalf that a term to that effect ought to be implied. Specifically, there was an implied warranty that the closing inventory value was not materially overstated and the business would reasonably be expected to generate a gross margin in the near future not significantly less than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Although it would be more appropriate to first consider the significance of clause 7.7 of the agreement which recites that there are no implied terms and that the written agreement is the entire agreement between the parties, I will instead refer to what must be shown by the plaintiffs in the absence of such a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Olympic Industries Inc. v. McNeill </w:t>
      </w:r>
      <w:hyperlink r:id="rId376" w:history="1">
        <w:r>
          <w:rPr>
            <w:rFonts w:ascii="arial" w:eastAsia="arial" w:hAnsi="arial" w:cs="arial"/>
            <w:i/>
            <w:color w:val="0077CC"/>
            <w:sz w:val="20"/>
            <w:u w:val="single"/>
            <w:shd w:val="clear" w:color="auto" w:fill="FFFFFF"/>
            <w:lang w:val="en-US" w:eastAsia="en-US" w:bidi="ar-SA"/>
          </w:rPr>
          <w:t>(1993), 86 B.C.L.R. (2d) 273</w:t>
        </w:r>
      </w:hyperlink>
      <w:r>
        <w:rPr>
          <w:rFonts w:ascii="arial" w:eastAsia="arial" w:hAnsi="arial" w:cs="arial"/>
          <w:color w:val="000000"/>
          <w:sz w:val="20"/>
          <w:lang w:val="en-US" w:eastAsia="en-US" w:bidi="ar-SA"/>
        </w:rPr>
        <w:t xml:space="preserve"> (B.C.C.A.), reference was made to a number of often quoted authorities on the question of when a term will be implied into a contract. Those authorities included Trollope &amp; Colls Ltd. v. North West Metropolitan Regional Hospital Board, [1973] 1 W.L.R. 601 (H.L.), wherein Lord Pearson said, at 609: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unexpressed term can be implied if and only if the court finds that the parties must have intended that term to form part of their contract: it is not enough for the court to find that such a term would have been adopted by the parties as reasonable men if it had been suggested to them: it must have been a term that went without saying, a term necessary to give business efficacy to the contract, a term which, though tacit, formed part of the contract which the parties made for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Olympic Industries Inc. Finch J.A. expressed the proposition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as to what the parties must have intended as a matter of necessity is a question of fact to be decided in the circumstances of each case. The party who seeks to have a term implied into the contract bears the onus of persuading the court of that necessity. It is not sufficient to show that it would be reasonable or logical to imply such a term, or that the parties would probably have agreed upon such a term if they had put their minds to it, or, that having put their minds to it, chose not to express it. A higher burden of proof must be met, upon the authorities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circumstances of the present case, the evidence does not support a conclusion that the parties must have intended a term as to future gross margin to form part of their contract. I cannot even go so far as to conclude that it would be reasonable or logical to imply a term as to the gross margin which would be achieved in the two years following the purchase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This was a business which had been doing badly and in the period during which the parties were negotiating, the business lost several hundred thousand dollars. The ultimate purchase price was the last in the series of declining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Earlier financial statements did not reflect a gross margin of 47%. Nor did a forecast which had been prepared in respect of 1996. Despite Mr. Hart's evidence that he relied on this number and would not have proceeded with the transaction had it been much less, he proceeded on the basis of a forecast of 43%. It was anticipated that the sales mix would change in such a way as to reduce gross margin. A drop in US sales was at least a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Additionally, Mr. Hart was aware that the closing inventory in the March, 1995, statement had been adjusted, but the amount shown for opening inventory was not and understood that the problem existed before that fiscal period, at least to some extent. As only one value was adjusted, any gross margin calculation would necessarily be inaccurate, or at least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Hart, Mr. Jarvis and Ms. Magwood were chartered accountants. Mr. Selman, an accountant retained by the vendors, referred to the widely accepted view of accountants and valuators that in making acquisitions, a single year's financial statements are an insufficient basis for judgment about future profitability. Mr. Selman's report appended a number of authoritative texts which repeat this general proposition. For example, in Intermediate Accounting (6th Cdn. Ed.) at 1265, it 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annual financial statements for the current year give only a limited, short-term view of the successes and failures of a company. In contrast, the long-term summaries provide a broad overview of the company's financial past and clues about the firm's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Bracken-Horrocks, an accountant who testified for the plaintiffs, was asked in cross-examination about financial statements. He agreed that generally, a financial statement is an historical document recording past transactions and events and that an auditor's opinion in respect of financial statements is not an opinion as to the future viability of the entity, but added the proviso that if there were serious concerns about viability it may be necessary to include appropriate warnings.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a final comment on this issue, it must be recalled that the vendors continued to operate the business through September, 1995, and the price paid reflected the value of assets as at August 25, 1995, not March 31, 1995. Ms. Magwood's memo of September 7, 1995, directed to both Mr. Hart and Mr. Simor, addresses what is described as a gross margin decrease. The memo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the margins are significantly lower due to increases in the standard costs of the items at August 1995. Please see the attached two pages showing items recalculated. According to Paul the standard cost includes labour at $30 US for items produced in the US (a smaller percentage of the total inventory) and $39 Cdn for items produced in Canada (the majority of the inventory).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application is reflected in the margins before the application of the "factor" of 1.4 which will reduce them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all of the reasons, I cannot conclude that there was any implied term as to future gross margin. I agree with the vendors that without such a term, there can be no contractual liability for post sale "losses" based on gross margin.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representations allegedly made by the auditors are as follows:</w:t>
      </w:r>
      <w:r>
        <w:rPr>
          <w:rFonts w:ascii="arial" w:eastAsia="arial" w:hAnsi="arial" w:cs="arial"/>
          <w:sz w:val="20"/>
          <w:lang w:val="en-US" w:eastAsia="en-US" w:bidi="ar-SA"/>
        </w:rPr>
        <w:cr/>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in their capacity as accountants for and auditors of the Cdn. Vendor and U.S. Vendor the Auditors represented to the Cdn. Purchaser and U.S. Purchaser that:</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Auditors had audited the consolidated financial position of the Cdn. Vendor and U.S. Vendor as at March 31, 1995, in accordance with generally accepted Canadian audit standards;</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said financial statements presented fairly, in all material respects, the financial position of the Cdn. Vendor and U.S. Vendor as at March 31, 1995 in accordance with generally accepted accounting principles consistently applied:</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closing inventory as at March 31, 1995 had a value of $3,749,356.00 (Cdn.) which was noted as being valued at the lower of cost and net realizable value; and</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gross profit margin as at March 31, 1995 was 47% ($3,622,818.00 ( $7,657,283.00).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to any argument that the alleged misrepresentations made by Mr. Sigmund could relate to the gross margin that the business would achieve in the future, I quote from Spencer Bower &amp; Turner, The Law of Actionable Misrepresentation, (3rd Ed., 1974), at p.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representation is a statement made by, or on behalf of, one person (hereinafter called "the representor") to, or with the intention that it shall come to the notice of, another person (hereinafter called "the representee"), which relates, by way of affirmation, denial, description, or otherwise, to a matter of fact. A "matter of fact" means either an existing fact or thing, or a past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statement of the representor's, or of a third person's, intention, readiness, or capacity to do or abstain from doing anything, or of his expectation as to a matter in futuro, is a representation of the then existence of such intention, readiness, capacity, or expectation; but any statement as to a matter in futuro which was intended or expressed by the parties to constitute, or which can only be construed as constituting, a promise, is not a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Gross margin in the period after purchase is a matter in futuro.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turn now to the analysis done by Arthur Andersen, which is the basis of the assertion of the plaintiffs that the inventory was overvalued.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will begin by commenting on the analysis itself. In Mr. Zuk's report of October 12, 1999, he stated that based on the analysis which had been conducted, the inventory values of the vendors before adjustment did not appear to be significantly different from the revised inventory values based on the inventory items sampled and this would suggest that the adjustment factor of 1.4 was not reasonable. That is not equivalent to an opinion that the inventory value before adjustment was accurate or that no upward adjustment ought to have been made. To illustrate, had the upward adjustment been 15%, it could not have been said, based on the Arthur Andersen analysis, that the inventory had been overvalued.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Although argued by the plaintiffs that Inmass was accurate, there is little evidence that supports that conclusion and much that does not, including the plaintiffs' own data and witnesses. Inventory lists for both Clearbrook and Sumas are available. When new costs were developed in 1996, costs were not developed for many items which had been in inventory as at March 31 and August 25, 1995. It was therefore not possible to simply use the new data to estimate inventory value. It was possible, however, to conduct an analysis using new costs where available and Inmass costs for those items for which new costs had not been developed. While there are flaws in the use of such an approach, the end results are at least of note. In the case of both plants at both dates, the inventory values exceed the values generated by Inmass.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already stated, one of the reasons for Mr. Lambert's concerns related to a part numbered CM415A. When new costs were developed by the purchasers, the new cost in respect of this item exceeded the grossed up or adjusted cost. Again, while there are problems with a selective analysis, it is evidence that Inmass was not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evidence of Mr. Hess is also of some significance on this issue, although it, too, had frailties but the consensus of knowledgeable individuals including Mr. Hess was that Inmass lacked reliability. Mr. Hess testified that it was unsuitable for use by a manufacturing company. It was not capable of collecting necessary data including tracking variable production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To summarize, the Arthur Andersen analysis could not lead to the conclusion that no adjustment should have been made, nor I do not accept that Inmass costs were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turn next to the question of whether the financial statements accurately reflected the value of the inventory and to the various arguments made by the defendants as to why the plaintiffs' analysis is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components of the cost of inventory are the cost of raw materials, direct labour and overhead. The first attack of the defendants was in respect of the costing of the sampled part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Selman could not duplicate the work undertaken by Arthur Andersen, but reviewed a sample of the working papers. Mr. Zuk had testified about the selection criteria employed by Arthur Andersen. For example, he stated that production runs were not used if time sheets were not available, runs which were unusually small or large were excluded and an attempt was made to use those which were closest to the time in question. The sampling done by Mr. Selman revealed that these selection criteria were not always followed. There were instances when the lowest cost was selected, thus reducing the value of the inventory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Similarly, the sampling of working papers revealed that some invoices which were not closest in time, but reflected a lower cost, had been chosen. As a further example, in some cases, outside service costs such as painting had not been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Based on such errors, the defendants argued that there should be a concern about the integrity of the information, particularly as it had been compiled when litigation was ongoing. In my view, the difficulty lies in determining whether there were too many errors or whether there were no more errors than might be expected given the enormity of the task or indeed, whether there were offsetting errors. There is no evidence which would permit such determinations to be made. I am thus not prepared to conclude that the errors detected by Mr. Selman should lead to the rejection of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any event, the defendants have asserted that other flaws are of much greater significance. In particular, it was said that Mr. Zuk ought not to have used a labour overhead rate of 2.18. On Mr. Selman's calculations, the rate ought to have been 4.13. The divergence of opinion is in respect to two matters. The first relates to tool room labour and the second, to what is described as the gross labour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overhead application rate may be described as the result of dividing overhead, defined as all manufacturing costs incurred except materials and direct labour allocable to specific products, by direct labour allocable to specific products. Mr. Selman attempted to calculate a labour overhead rate as of March 31, 1995. In making his calculations, he used the audited financial statements and included only those expenses reflected in the plaintiffs' November, 1996,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following tables show the calculations made of the overhead application rates and how direct labour was estimated:</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March 31, 1995 November 30,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6"/>
        <w:gridCol w:w="219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3241"/>
        <w:gridCol w:w="1568"/>
        <w:gridCol w:w="2301"/>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Freight in and duty</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30,025</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24,608</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Shipping</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17,750</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11,231</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Shop supplies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239,869</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52,446</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25,078</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7,746</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Labour</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1,536,696</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828,584</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Production mgmt.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215,733</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Rent and Property Taxes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237,272(1)</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126,429</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Utilities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72,174(3)</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36,478</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Auto</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36,649</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5,752</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Insurance and Licenses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32,006</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29,933</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Depreciation</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350,094</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197,696</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2300"/>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2,577,613</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1,536,636</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3346"/>
        <w:gridCol w:w="1464"/>
        <w:gridCol w:w="2300"/>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Estimated Direct Labour</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502,153</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482,625</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2300"/>
        <w:gridCol w:w="2510"/>
        <w:gridCol w:w="2300"/>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Overhead</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2,075,460</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1,054,011</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3450"/>
        <w:gridCol w:w="1359"/>
        <w:gridCol w:w="2301"/>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Direct Labour Overhead</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4.13</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2.18</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Application rate</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3346"/>
        <w:gridCol w:w="627"/>
        <w:gridCol w:w="1255"/>
        <w:gridCol w:w="313"/>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Direct labour estimate</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March</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31, 1995</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November 30, 1996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2823"/>
        <w:gridCol w:w="1987"/>
        <w:gridCol w:w="2300"/>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Production labour</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1,536,696</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1,044,317</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Production mgmt.</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215,733</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Tool room labour</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342,657</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2300"/>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1,194,039</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828,584</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3136"/>
        <w:gridCol w:w="1673"/>
        <w:gridCol w:w="2301"/>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Gross direct labour</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772,543</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536,250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64.7%(2)</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3450"/>
        <w:gridCol w:w="1359"/>
        <w:gridCol w:w="2301"/>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Estimated portion</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65%(3)</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90%(2)</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Allocable to specific</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Products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2927"/>
        <w:gridCol w:w="1882"/>
        <w:gridCol w:w="2301"/>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Estimated direct</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502,153</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482,625</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Labour</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making his estimate of direct labour, Mr. Selman deducted tool room labour of $342,657. In Mr. Zuk's view that was an error. It is Mr. Selman's belief that it ought to be deducted because it was not captured in the Inmass costing system as direct labour and had to be accounted for as it was a cost incurred in respect of the manufacturing process. I agree with Mr. Selman that one cannot simply use calculations made in respect of a period when there was no tool room in the labour base. The vendors had a tool room in the period in question and those labour costs were incurred in the manufacturing process. They must therefore be accounted for in some fashion. If they were not captured as direct labour, they must be reflected in the overhead application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can only be appropriate to use an overhead application rate of 2.18 if it is reflective of overhead costs incurred at the time in question. In my view, any opinion as to the value of inventory in March or August, 1995, must be based on the overhead application rate incurred by the vendors, not by the purchasers at some later date and in different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Zuk explained that the purchasers' costs were used because the vendors' inventory costing system was not available for review. That may be a reasonable explanation but the problem remains the same - does it accord with the experience of the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this issue, the plaintiffs also refer to the labour overhead rate used by the plaintiffs, being $39. Assuming $12 labour and $27 overhead, the rate would be 2.25, which is close to the rate used by Mr. Zuk. But one of the many difficulties in this case is that there is no evidence as to what values are generated using any rate other than 2.18. Another is the evidence of Mr. Hess that he was of the view that $39 was too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other area of disagreement between Mr. Zuk and Mr. Selman relates to the estimated portion of gross direct labour allocable to specific products. The plaintiffs used a rate of 90%. Mr. Selman considered this rate to be suspect as it allowed for only four hours per week of break time and clean up and did not allow for such items as paid statutory holidays and paid sick leave. Mr. Selman's concern would appear to be well founded. In his calculations, Mr. Selman used a rate of 65%. As he noted, if the 90% rate were to be applied to the March, 1995, figures, then some amount of production management labour ought to be deducted from his direct labour estimate. He suggested a method of estimating that amount which would reduce his calculation of the overhead application rate to 3.67.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To summarize, I agree with certain of Mr. Selman's criticisms of the use of a rate of 2.18 and with his view that all costs were not captured. I therefore cannot accept the conclusions of Mr. Zuk as to the range of inventory value. Unfortunately, as already stated, no evidence was given as to what values would be generated using a different rate. Perhaps the range would still be less than the figures contained in the financial statements, but that is for the plaintiffs to prove and they have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For the above reasons, there is neither a factual nor a legal basis for a claim against the vendors for what was described at trial as the loss of gross margin, nor is there a basis for making an award for any difference in value of the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turn now to the claim against the auditor. The first issue is whether, applying the principles set out in Hercules Managements Ltd. v. Friendly Family Farms Ltd., </w:t>
      </w:r>
      <w:hyperlink r:id="rId208"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a duty of care was owed by Mr. Sigmund to the plaintiffs. On their behalf, it was argued that Mr. Sigmund knew that the financial statements were being reviewed and relied upon for purposes of formulating offers to purchase the business. The plaintiffs had been told that the costing system was unreliable and as was stated by Ms. Magwood, Mr. Jarvis and Mr. Hart, they necessarily had to rely on work they assumed had been done by the auditor.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Hercules, La Forest J., speaking for a unanimous court, defined the first issue as whether and when auditors owe a duty of care in tort to shareholders who claim to have suffered loss by reason of their reliance on audited statements of the company. His Lordship began by stating that it is well established in Canadian law that the existence of a duty of care is to be determined through the application of the two part test enunciated in Anns v. Merton Borough Council, [1978] A.C. 728 (H.L.) which had been restated in Kamloops (City of) v. Nielsen, </w:t>
      </w:r>
      <w:hyperlink r:id="rId377"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must first ask whether there is a sufficiently close relationship between the defendant and the person who has suffered loss such that, in the reasonable contemplation of the defendant, carelessness might cause damage. If so, are their considerations which ought to negative or limit either the scope of the duty, the class of persons to whom it is owed or the damages to which a breach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dealing with the first part of what was described as the Anns/Kamloops test, it was stated, at 188: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my mind, proximity can be seen to inhere between a defendant-representor and a plaintiff-representee when two criteria relating to reliance may be said to exist on the facts: (a) the defendant ought reasonably to foresee that the plaintiff will rely on his or her representation; and (b) reliance by the plaintiff would, in the particular circumstances of the case, be reasonable.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Forest J. continued, at 188-89: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purpose behind the Anns/Kamloops test is simply to ensure that enquiries into the existence of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is conducted in two parts: The first involves discerning whether, in a given situation, a duty of care would be imposed by law; the second demands an investigation into whether the legal duty, if found, ought to be negatived or ousted by policy considerations.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discussion of policy considerations began with the following comments, at 192-93: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Cardozo C.J. explained in Ultramares Corp. v. Touche, 174 N.E. 441 (N.Y.C.A. 1931), at p. 444, the fundamental policy consideration that must be addressed in negligent misrepresentation actions centres around the possibility that the defendant might be exposed to "liability in an indeterminate amount for an indeterminate time to an indeterminate class". This potential problem can be seen quite vividly within the framework of the Anns/Kamloops test. Indeed, while the criteria of reasonable foreseeability and reasonable reliance serve to distinguish cases where a prima facie duty is owed from those where it is not, it is nevertheless true that in certain types of situations these criteria can, quite easily, be satisfied and absent some means by which to circumscribe the ambit of the duty, the prospect of limitless liability will loom.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area of auditors' liability is a case in point. In modern commercial society, the fact that audit reports will be relied on by many different people (e.g., shareholders, creditors, potential takeover bidders, investors, etc.) for a wide variety of purposes will almost always be reasonably foreseeable to auditors themselves. Similarly, the very nature of audited financial statements - produced, as they are, by professionals whose reputations (and, thereby, whose livelihoods) are at stake - will very often mean that any of those people would act wholly reasonably in placing their reliance on such statements in conducting their affairs.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After reviewing certain arguments in favour of the imposition of a duty of care on auditors, His Lordship stated, at 194: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Nevertheless, I am of the view that, in the final analysis, it is outweighed by the socially undesirable consequences to which the imposition of indeterminate liability on auditors might lead. Indeed, while indeterminate liability is problematic in and of itself inasmuch as it would mean that successful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against auditors could, at least potentially, be limitless, it is also problematic in light of certain related problems to which it might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Forest J. concluded that in general, concerns over indeterminate liability served to negate a prima facie duty of care in auditor's cases. The factors which, in a given case, may render it an "exception" were described at 197-98: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earlier, looking to factors such as "knowledge of the plaintiff (or an identifiable class of plaintiffs) on the part of the defendant" and "use of the statements at issue for the precise purpose or transaction for which they were prepared" really amounts to an attempt to limit or constrain the scope of the duty of care owed by the defendants. If the purpose of the Anns/Kamloops test is to determine (a) whether or not a prima facie duty of care exists and then (b) whether or not that duty ought to be negated or limited, then factors such as these ought properly to be considered in the second branch of the test once the first branch concerning "proximity" has been found to be satisfied. To my mind, the presence of such factors in a given situation will mean that worries stemming from indeterminacy should not arise, since the scope of potential liability is sufficiently delimited. In other words, in cases where the defendant knows the identity of the plaintiff (or of a class of plaintiffs) and where the defendant's statements are used for the specific purpose or transaction for which they were made, policy considerations surrounding indeterminate liability will not be of any concern since the scope of liability can readily be circumscribed. Consequently, such considerations will not override a positive finding on the first branch of the Anns/Kamloops test and a duty of care may quite properly be found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was concluded that on the facts in Hercules, there could be no question that a prima facie duty of care was owed. The possibility that the shareholders would rely on audited financial statements and would suffer harm were they negligently prepared was reasonably foreseeable to the auditors. In considering the second branch of the Anns/Kamloops test, it was said that at first blush, it might seem that there were no problems of indeterminate liability because the auditors knew the identity of all shareholders who claimed to have relied on the statements, but La Forest J. cautioned, at 203: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arrive at this conclusion without further analysis, however, would be to move too quickly. While knowledge of the plaintiff (or of a limited class of plaintiffs) is undoubtedly a significant factor serving to obviate concerns over indeterminate liability, it is not, alone, sufficient to do so. In my discussion of Glanzer, supra, Hedley Byrne, supra, and Haig, supra, I explained that indeterminate liability did not inhere on the specific facts of those cases not only because the defendant knew the identify of the plaintiff (or the class of plaintiffs) who would rely on the statement at issue, but also because the statement itself was used by the plaintiff for precisely the purpose or transaction for which it was prepared. The crucial importance of this additional criterion can clearly be seen when one considers that even if the specific identity or class of potential plaintiffs is known to a defendant, use of the defendant's statement for a purpose or transaction other than that for which it was prepared could still lead to indeterminate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was concluded that the purpose for which the audit reports had been prepared was to allow shareholders as a group to supervise management and make decisions with respect to the overall administration of the corporations. The shareholders, however, had used the audit reports as individuals to oversee and protect their own personal investments. Thus, no duty of care was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Turning to the present case, it was argued on behalf of Mr. Sigmund that the plaintiffs could not satisfy the second branch of the Anns/Kamloops test. Audited financial statements were prepared solely because the U.S. Bank required such statements and although Mr. Sigmund was aware of the interest of the plaintiffs in purchasing the business, the audited statements were not prepared for the purpose of a sale to the plaintiffs. Particular reliance was placed upon statements in Hercules that where audited statements are used to make individual or personal investment decisions, policy considerations regarding indeterminate liability inhere and no duty of care will be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difficulty with this argument is that it ignores Mr. Sigmund's specific knowledge. He had had a number of dealings with the parties over the months and was aware that financial information including audited statements was being sought. He surely appreciated that it was being used to make decisions relating to the potential purchase. He knew when he was preparing the statements the purpose for which they would be used by the plaintiffs and the transaction in respect of which they would be used. In such circumstances, it is artificial to suggest that the sole purpose for which they were prepared was for use by the vendors' banker. In my view, a duty of care was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assertion of the plaintiffs was that inventory value was materially misstated. The finding that an overhead application rate of 2.18 ought not to have been used and therefore, that the values generated by the Arthur Andersen analysis could not be accepted, is also of significance in respect of the claim against the auditor. It has not been proven that the inventory was overvalued. But even if there was such proof, the plaintiffs allege that the financial statements were not prepared in accordance with generally accepted accounting principles and do not present fairly the financial position of the vendor companies. The opinion offered by Mr. Sigmund as auditor was that the financial statements presented fairly, in all material respects, the financial position of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agree with the submission made on the auditor's behalf that it is clear from the evidence of the various accountants that generally accepted accounting principles allow for different methods of determining cost or value and thus, different results. As noted, the plaintiffs contend that inventory value was materially overstated. The range of permitted values must be addressed. The plaintiffs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report of Mr. Gunning, an accountant retained on behalf of the auditor, explained the nature and purpose of the analysis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evaluating whether in fact the 1.4 times increase applied to the inventory in total (CDN.$923,553) was or was not in accordance with GAAP, it is important to evaluate whether or not the amounts and types of those (1) direct and indirect labour and (2) production-related overhead costs - which could have been appropriately applied under GAAP to inventory costs, but which in fact were not so applied were equal to or in excess of the amount of the overall inventory adjustment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Bracken-Horrocks, an accountant retained by the plaintiffs to provide evidence regarding generally accepted auditing standards, had a number of criticisms of the Lambert analysis, but on the issue of value, accepted the conclusions of Arthur Andersen. The only evidence in these proceedings on the issue of materiality is contained in the report of Mr. Bracken-Horrocks,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inventory balance of U.S. $2.7 million is monetarily significant to the Consolidated Financial Statements, representing 50% of the total consolidated assets of Dentech as at March 31, 1995.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Mr. Sigmund was aware that the owners of Dentech were contemplating selling the business, he should have known that the inventory balance and the approximately US$700,000 adjustment resulting from the 1.4 inventory factor would be material to a potential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my view, a claim against Mr. Sigmund could not succeed without further evidence. Before it could be concluded that the statements did not present fairly, there would have to be evidence as to the magnitude of the tolerable error and materiality.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plaintiffs allege that Mr. Sigmund failed to follow a number of generally accepted accounting principles and auditing standards. But the failure to follow such principles or standards can only be significant if loss results. It is therefore not useful to engage in debates about such things as the absence of documentation, which cannot be causative of any loss. It does not advance the plaintiffs' case to focus on what counsel for the auditor described as disclosure. Everyone was aware of the adjustment to inventory value and in general terms, of the process that Mr. Lambert had gone through and the reasons why it was felt that an adjustment was necessary. Mr. Hart was aware that the value for opening inventory shown on the audited statements had not been adjusted by a factor of 1.4 and therefore a conclusion that it should have been adjusted cannot advance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agree with the submission of counsel for Mr. Sigmund that unless it is proven that the value of the inventory is not presented fairly in all material respects, issues such as compliance with generally accepted auditing standards have no real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Inventory value was not the only basis for the claim against the auditor. The plaintiffs argued that there was an error in the audited consolidated financial statements in that engineering fees which were added to the value of inventory produced at Clearbrook when sold to the American company were not removed when the statements were consolidated. Reliance was placed upon a document prepared by Mr. Hess which calculates the total inventory value as US$2,728,789. This figure is also contained in the audited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document in question is entitled "Inventory Recap 3-31-95" and as prepared by Mr. Hess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673"/>
        <w:gridCol w:w="1255"/>
        <w:gridCol w:w="156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Dollars</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Local</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Exchange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Dollars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Currency</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Factor</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Rate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USD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836"/>
        <w:gridCol w:w="1569"/>
        <w:gridCol w:w="1359"/>
        <w:gridCol w:w="1569"/>
        <w:gridCol w:w="627"/>
        <w:gridCol w:w="1882"/>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Clear-</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$ 1,181,841</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1.399738</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$1,654,268</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$1,181,620</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brook</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732"/>
        <w:gridCol w:w="419"/>
        <w:gridCol w:w="1255"/>
        <w:gridCol w:w="1359"/>
        <w:gridCol w:w="1568"/>
        <w:gridCol w:w="419"/>
        <w:gridCol w:w="2091"/>
        <w:gridCol w:w="230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Sumas</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862,077</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1.399738</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$1,206,681</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$1,206,681</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732"/>
        <w:gridCol w:w="419"/>
        <w:gridCol w:w="1255"/>
        <w:gridCol w:w="732"/>
        <w:gridCol w:w="2614"/>
        <w:gridCol w:w="836"/>
        <w:gridCol w:w="1255"/>
        <w:gridCol w:w="230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567,480</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0.6</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340,488</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sign-</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ment</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3450"/>
        <w:gridCol w:w="56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53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$2,728,789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Note: Consignment total is in sales dollars. The .6 factor is to reach estimated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Wareham assisted Mr. Sigmund in the audit. He made notes on a copy of the above which described the factor of 1.399738 as representing engineering fees, a Revenue Canada requirement in respect of transfer pricing.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is agreed that inter-company transactions must be removed from a consolidated statement. The plaintiffs argued that engineering fees were not removed by Mr. Sigmund and had that been done, the inventory value in the audited consolidated statements would have been approximately equal to its value before adjustment by Mr. Lambert's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Wareham did not testify at trial. Mr. Sigmund confirmed that the handwritten notes in question were those of Mr. Wareham. When Mr. Sigmund was cross-examined on the issue of the removal of the engineering fees, he was adamant that the fees had been removed. He said so many times. He explained that Mr. Wareham's note was wrong. What had occurred was that an error had been made by Mr. Hess when the inventory recap was prepared. What is described as the factor should have been 1.4. The exchange rate was 1.399738. The reversal of the numbers made only a very small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is beyond question that Mr. Sigmund made a decision to adjust the values of the inventories by a factor of 1.4. Not only was Mr. Hess aware of that decision, he testified that he was in agreement that an adjustment was required. If it was to be suggested that Mr. Hess factored up the values to reflect engineering fees and not to account for an under-absorption of labour, he ought to have been asked at trial about the document that he prepared, so that his evidence on this point would be before the court. He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Despite that, and despite Mr. Sigmund's evidence, it was argued that fees were not removed. None of the accountants who gave evidence testified that engineering fees had not been removed from the consolidated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accept Mr. Sigmund's evidence on this point. I reject the argument that the statements do not present fairly because engineering fees were not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Another issue raised in respect of the liability of Mr. Sigmund or Wanzel, Sigmund &amp; Overes was whether Mr. Sigmund and Richard A. Overes, C.G.A. Inc. were a partnership. Although it is also unnecessary to deal with this issue, I would propose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Section 2 of the Partnership Act, </w:t>
      </w:r>
      <w:r>
        <w:rPr>
          <w:rFonts w:ascii="arial" w:eastAsia="arial" w:hAnsi="arial" w:cs="arial"/>
          <w:i/>
          <w:color w:val="000000"/>
          <w:sz w:val="20"/>
          <w:lang w:val="en-US" w:eastAsia="en-US" w:bidi="ar-SA"/>
        </w:rPr>
        <w:t>R.S.B.C. 1996, c. 384</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Partnership is the relation which subsists between persons carrying on business in common with a view of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Although s. 4 of the Act delineates rules to which regard must be had in determining whether a partnership exists, it was not suggested that s. 4 is helpful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Hayes v. British Columbia Television Broadcasting System Ltd. </w:t>
      </w:r>
      <w:hyperlink r:id="rId378" w:history="1">
        <w:r>
          <w:rPr>
            <w:rFonts w:ascii="arial" w:eastAsia="arial" w:hAnsi="arial" w:cs="arial"/>
            <w:i/>
            <w:color w:val="0077CC"/>
            <w:sz w:val="20"/>
            <w:u w:val="single"/>
            <w:shd w:val="clear" w:color="auto" w:fill="FFFFFF"/>
            <w:lang w:val="en-US" w:eastAsia="en-US" w:bidi="ar-SA"/>
          </w:rPr>
          <w:t>(1992), 74 B.C.L.R. (2d) 120</w:t>
        </w:r>
      </w:hyperlink>
      <w:r>
        <w:rPr>
          <w:rFonts w:ascii="arial" w:eastAsia="arial" w:hAnsi="arial" w:cs="arial"/>
          <w:color w:val="000000"/>
          <w:sz w:val="20"/>
          <w:lang w:val="en-US" w:eastAsia="en-US" w:bidi="ar-SA"/>
        </w:rPr>
        <w:t xml:space="preserve"> (B.C.C.A.), one of the issues was whether a business relationship was a partnership. The agreement between the parties specifically stated that it was not a partnership. In commenting on that agreement, Gibbs J.A. stated, at 125: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absent from the agreement is more telling than what is present. There is no element of sharing aside from the division of the market, and sharing is a dominant characteristic of a partnership. There is no provision for cost sharing, for profit sharing, for common books of account, for common accounts receivable or for common accounts payable; there is no provision for the commingling of income or other funds; there is no provision for joint ownership of assets or joint responsibility for liabilities; there is no firm name, no firm personnel, no firm address, and no voice by the management of one party in the business affairs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Gibbs J.A. went on to state that notwithstanding the contrary intention of the parties and the contrary provisions of their agreement, the second branch of the analysis of whether a business relationship is a partnership required the court to inquire into whether the conduct of the parties constituted a partnership relationship. It was determined that there was no conduct which would convert the relationship to one of partnership. In Hayes, reference was made to Lindley on Partnership and the comments of the authors on the words "with a view to a profit" which appear in the Partnership Act. As described in Lindley, what must be shared is the profits of the business in the sense of the net gain after all outgoings.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Both Mr. Sigmund and Mr. Overes testified that their relationship was not a partnership. As to how they came together, Mr. Overes had placed an ad in a magazine stating that he wished to rent office space and Mr. Sigmund answered his advertisement. The monthly rent paid by Mr. Overes included the services of a receptionist and the use of a fax machine and photocopier.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argument of the plaintiffs emphasized that Mr. Sigmund and Mr. Overes carried on business as Wanzel, Sigmund &amp; Overes. Mr. Wanzel had retired many years earlier and Mr. Sigmund had previously practised as Wanzel, Sigmund. The name Wanzel, Sigmund &amp; Overes was used on letterhead, invoices, business cards and signage. There was a common address and telephone number. The receptionist answered telephone calls using that name. The insurance certificate evidencing liability insurance described the insured as Wanzel, Sigmund &amp; Overes.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Overes, gave detailed evidence about how he and Mr. Sigmund conducted their businesses. There was no profit sharing. His income was based solely on his billings to his clients and he had no knowledge of what Mr. Sigmund either billed or earned. Each managed his own practice. Assets were not jointly owned and they were not jointly responsible for any liability. Each maintained his own bank accounts and books of accounts. They did not share a GST account. Apart from receptionist's services, there were no shared employees. The typing work which Mr. Overes required was done off site at his expense. Using a computer software program, he kept track of his revenues, expenses and accounts receivable. He purchased his own office supplies and his own postage. While it was argued on behalf of the plaintiffs that payments received by clients were co-mingled in one bank account, what occurred when cheques payable for Mr. Overes' work were written to Wanzel, Sigmund &amp; Overes was that Mr. Overes gave the cheque to Mr. Sigmund for deposit in Mr. Sigmund's bank account and Mr. Sigmund immediately reimbursed Mr. Overes in the same amount. Mr. Overes testified that he paid $600 per year for liability insurance and it was his understanding that this was the fee per practitioner, whether practising alone or in partnership. Although the evidence of Mr. Sigmund on this issue was limited, his evidence was consistent with that of Mr. Overes.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argument of the plaintiffs was, in part, based on a submission that Mr. Overes and Mr. Sigmund held themselves out as partners. But this is not a situation where s. 16 of the Partnership Act is applicable. Reliance was also placed on the fact that use of the name together with the designation "certified general accountants" violated rules prescribed by the Certified General Accountants Association of British Columbia. However, that does not add force to the plaintiffs' argument, nor can any violation of such a rule create a partnership relationship. While the name was consistent with partnership, the only sharing was in respect of space, the services of a receptionist and to a limited extent, a fax machine and copier. There was no sharing of costs or profits, no common books of account or common accounts receivable or payable and no joint ownership of assets or joint responsibility for debts. Each managed his own practice. In my view, this was not a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the end result, the claims of the plaintiffs are dismissed. If costs are not agreed, further submissions may be made either orally or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Elder v. Stewart, [2007] B.C.J. No. 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District Registrar Bouck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03/2077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154 A.C.W.S. (3d) 1030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Shailyn Elder, Plaintiff, and Gay Stewart and Ambelcote Estate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2"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6" w:name="Keywords_22"/>
      <w:bookmarkEnd w:id="146"/>
      <w:r>
        <w:rPr>
          <w:rFonts w:ascii="arial" w:eastAsia="arial" w:hAnsi="arial" w:cs="arial"/>
          <w:b/>
          <w:color w:val="000000"/>
          <w:sz w:val="20"/>
          <w:lang w:val="en-US" w:eastAsia="en-US" w:bidi="ar-SA"/>
        </w:rPr>
        <w:t>Civil procedure — Costs — Assessment or fixing of costs — Tariffs — Assessment of the plaintiff's bill of costs following settlement of her personal injury action immediately prior to trial — Six contested interlocutory applications yielded three entered orders, one of which was appealed — Opinion evidence was obtained from several medical experts — The plaintiff's bill claimed costs of $51,200 — The court allowed fees of $10,900, having reduced tariff units claimed, and certain witness charges — Disbursements were not calculated due to outstanding taxable agents' charges.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Assessment of the plaintiff's bill of costs following settlement of her personal injury action immediately prior to trial — Six contested interlocutory applications yielded three entered orders, one of which was appealed — Opinion evidence was obtained from several medical experts — The plaintiff's bill claimed costs of $51,200 — The court allowed fees of $10,900, having reduced tariff units claimed, and certain witness charges — Disbursements were not calculated due to outstanding taxable agents' charges.</w:t>
      </w:r>
    </w:p>
    <w:p>
      <w:pPr>
        <w:jc w:val="both"/>
        <w:rPr>
          <w:rFonts w:ascii="arial" w:eastAsia="arial" w:hAnsi="arial" w:cs="arial"/>
          <w:sz w:val="20"/>
          <w:lang w:val="en-US" w:eastAsia="en-US" w:bidi="ar-SA"/>
        </w:rPr>
      </w:pPr>
      <w:bookmarkStart w:id="147" w:name="Legislation Cited_13"/>
      <w:bookmarkEnd w:id="1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3"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28, Rule 31(1), Rule 57(29)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8" w:name="Counsel_22"/>
      <w:bookmarkEnd w:id="1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4"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Richard S. Margetts, Q.C. and James C.M. 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Iain D. McIver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9" w:name="Judgment_22"/>
      <w:bookmarkEnd w:id="149"/>
      <w:r>
        <w:pict>
          <v:line id="_x0000_s1135"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0" w:name="DISTRICT REGISTRAR BOUCK"/>
            <w:bookmarkEnd w:id="150"/>
            <w:r>
              <w:rPr>
                <w:rFonts w:ascii="arial" w:eastAsia="arial" w:hAnsi="arial" w:cs="arial"/>
                <w:b/>
                <w:color w:val="000000"/>
                <w:sz w:val="30"/>
                <w:lang w:val="en-US" w:eastAsia="en-US" w:bidi="ar-SA"/>
              </w:rPr>
              <w:t>DISTRICT REGISTRAR BOUCK</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assessment of the plaintiff's bill of costs (the "Bill") following settlement of the action on the proverbial courthouse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order of the court made June 28, 2006 provides that the defendants pay the plaintiff the sum of $990,641 and her taxable (sic) costs and disbursements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Bill claims costs of $51,197.68.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take issue with several disbursements as well as the units claimed under various tariff items. Those objections were articulated in writing to plaintiff's counsel in July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Both Mr. Margetts and Mr. Main offered statements in support of the Bill. Various documents from Mr. Margetts' file were provided to me during the course of the assessment. In addition, the plaintiff relies on the affidavit of Dr. Jonathon Griffin sworn October 3, 2006. Although the affidavit was not delivered in compliance with the Rule 57(29)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 xml:space="preserve">Rules </w:t>
      </w:r>
      <w:r>
        <w:rPr>
          <w:rFonts w:ascii="arial" w:eastAsia="arial" w:hAnsi="arial" w:cs="arial"/>
          <w:color w:val="000000"/>
          <w:sz w:val="20"/>
          <w:lang w:val="en-US" w:eastAsia="en-US" w:bidi="ar-SA"/>
        </w:rPr>
        <w:t>"), no objection was taken to its admissibility. Nor did the defendants require that Dr. Griffin attend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Some of the tariff items and disbursements were assessed during the course of the hearing. These reasons address the remaining disputed items on the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is a personal injury action. Ms. Elder suffered injuries as the result of a motor vehicle accident which occurred on January 24, 2002. Ms. Elder was the driver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accident, the plaintiff resided at Duncan, B.C. She is described by her counsel as a "young" woman, apparently single with no dependants.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retained Johns, Southward, Glazier, Walton &amp; Margetts through the firm's Duncan office. However, Mr. Margetts and the firm's Victoria office is named as the plaintiff's address for delivery in the Writ and Statement of Claim issued on May 15,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Statement of Claim alleges the plaintiff's injuries to include soft tissue injury to her lower back, left hip and left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Statement of Claim was subsequently amended to add an "in trust" claim for the plaintiff's caregiver. It was suggested that further amended Statements of Claim was filed, but I was unable to locate those documents in the court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injuries turned out to be much more significant than the description in the Statement of Claim might suggest. With the involvement of several medical practitioners, a diagnosis was made of Complex Regional Pain Syndrome ("CRPS").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diagnosis of CRPS was not accepted by the defendants. Various defences were raised, including the contention that some of the plaintiff's physical and emotional difficulties were pre-existing and/or attributable to an earlier traumatic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also denied liability for the accident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Notice Requiring Trial by Jury was filed by the defendants in January 2005. The trial was scheduled for 15 days commencing in April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were at least six contested interlocutory applications. However, the results of three of the applications were not perfected by an entered order. The plaintiff appealed one of the orders, first to a Supreme Court judge and then to the Court of Appeal. The Court of Appeal proceeding was abandoned before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treating physicians included specialists in orthopaedics, anaesthesiology and pain management, physical and rehabilitation medicine and gynaecology. Opinion evidence was obtained from some of these individuals. As well, the plaintiff tendered reports from a psychologist, Dr. Sweet. The nature of Dr. Sweet's report and the defendants' objection to its allowance as a disbursement is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obtained orders to have the plaintiff attend independent medical examinations with a psychiatrist, a neurologist and a dermatologist.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Both the plaintiff and the defendant Stewart were examined for discovery; the defendant in Duncan. In addition, the plaintiff's caregiver, Ms. Matthews, was examined by the defendants. Ms. Matthews became the plaintiff's caregiver part way through the litigation when the plaintiff moved her residence from Duncan to Ms. Matthews' home in Metchosin. Ms. Matthews apparently attended the examination voluntarily.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treating physicians recommended that Ms. Elder enter the inpatient Pain Treatment Clinic at St. Paul's Hospital in Vancouver. The clinic's policy is not to take patients involved in litigation. Through the efforts of Mr. Margetts and one of the clinic's physicians, Dr. Hunt, the plaintiff was admitted about three months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meantime, counsel had been retained (or appointed) to represent the defendant Stewart as the plaintiff's claim might have exceeded this defendant's insurance policy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trial did not proceed in April 2006. Various pre-trial and case management conferences were held in anticipation of a May 29 trial commencement date. The defendants made application for a further independent medical examination but that application was not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action was settled on the first day scheduled for trial. It is Mr. Margetts' recollection that the settlement occurred before the matter was called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DISPUTED TARIFF ITEMS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onus is on the plaintiff to prove entitlement to the various items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Unless fixed, the number of units allowed for a particular tariff item will be based on the following test: how much time, on a scale of 1 to 10 (or 1 to 5 as the case may be), should a reasonably competent lawyer have spent on the work for which the costs are claimed? For matters that are measured on a per diem basis (i.e., examinations, interlocutory applications) only a 1/2 day will be allowed, absent proof or agreement that the matter occupied a full day: ss. 3(3) and 4 of 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With respect to the disbursements, the test is whether the charge or expense was necessary or proper at the time it was incurred and the amount claimed reasonable: </w:t>
      </w:r>
      <w:r>
        <w:rPr>
          <w:rFonts w:ascii="arial" w:eastAsia="arial" w:hAnsi="arial" w:cs="arial"/>
          <w:i/>
          <w:color w:val="000000"/>
          <w:sz w:val="20"/>
          <w:lang w:val="en-US" w:eastAsia="en-US" w:bidi="ar-SA"/>
        </w:rPr>
        <w:t>Van Daele v. Van Daele</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(1984), 56 B.C.L.R. 176</w:t>
        </w:r>
      </w:hyperlink>
      <w:r>
        <w:rPr>
          <w:rFonts w:ascii="arial" w:eastAsia="arial" w:hAnsi="arial" w:cs="arial"/>
          <w:color w:val="000000"/>
          <w:sz w:val="20"/>
          <w:lang w:val="en-US" w:eastAsia="en-US" w:bidi="ar-SA"/>
        </w:rPr>
        <w:t xml:space="preserve"> (S.C.) rev'd </w:t>
      </w:r>
      <w:hyperlink r:id="rId387" w:history="1">
        <w:r>
          <w:rPr>
            <w:rFonts w:ascii="arial" w:eastAsia="arial" w:hAnsi="arial" w:cs="arial"/>
            <w:i/>
            <w:color w:val="0077CC"/>
            <w:sz w:val="20"/>
            <w:u w:val="single"/>
            <w:shd w:val="clear" w:color="auto" w:fill="FFFFFF"/>
            <w:lang w:val="en-US" w:eastAsia="en-US" w:bidi="ar-SA"/>
          </w:rPr>
          <w:t>56 B.C.L.R. 178</w:t>
        </w:r>
      </w:hyperlink>
      <w:r>
        <w:rPr>
          <w:rFonts w:ascii="arial" w:eastAsia="arial" w:hAnsi="arial" w:cs="arial"/>
          <w:color w:val="000000"/>
          <w:sz w:val="20"/>
          <w:lang w:val="en-US" w:eastAsia="en-US" w:bidi="ar-SA"/>
        </w:rPr>
        <w:t xml:space="preserve"> (C.A.). In determining the necessity or propriety of a disbursement, an assessing officer should be wary of second guessing competent counsel: </w:t>
      </w:r>
      <w:r>
        <w:rPr>
          <w:rFonts w:ascii="arial" w:eastAsia="arial" w:hAnsi="arial" w:cs="arial"/>
          <w:i/>
          <w:color w:val="000000"/>
          <w:sz w:val="20"/>
          <w:lang w:val="en-US" w:eastAsia="en-US" w:bidi="ar-SA"/>
        </w:rPr>
        <w:t>McKenzie v. Darke</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(2003), 120 A.C.W.S. (3d) 380</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Tariff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Item 3 -</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All process, for which provision is not made elsewhere in this tariff, for commencing and prosecuting a proceeding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claims 8 out of the maximum 10 units allowed for this item. Mr. Margetts suggests that the higher end of the scale is appropriate given the complex "process" of this matter beyond the pleadings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submit that 3 units are appropriate. The Statement of Claim is typical for personal injury proceedings. While the pleadings were amended (between 2 and 4 times, according to counsel) none of the amendments were particularly lengthy or complicated. Furthermore, item 3 applies to only the pleadings and should not be read expansively as suggested by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allow 4 units for this item. The pleadings are fairly straightforward for a personal injury action and would not have required a great deal of time on the part of counsel to prepare either the Writ and Statement of Claim or the subsequent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Item 3 refers only to the pleadings themselves. Section 1 of Appendix B defines "process" to mean the "drawing, filing, service or delivery of a document and any amendment to it or particulars of it, but does not include an application made with respect to the process or any part of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Item 7 -</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Process for obtaining discovery and inspection of documents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Again, the plaintiff has claimed 8 of the 10 units allowed for the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say that 6 units are appropriate as most of the documents in their list emanated from the plaintiff. But for some medical reports and RCMP records, the plaintiff had already inspected the listed documents and is compensated for that discovery process under item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submits that the RCMP records and medical reports together are voluminous and warrant the higher end of the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Having reviewed the documents in question, I allow 6 units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Item 12 -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Process for making admission of 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has claimed 5 of the 10 units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One Notice to Admit was delivered to the plaintiff. That Notice sought the admission of the authenticity of the seven documents attached. The defendants submit that no allowance should be made for this item as the plaintiff made no admissions. The plaintiff's reply to the Notice admits the authenticity of the documents but not the truth of the document's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Rule 31(1) provides that a party may request any party of record to admit, for the purposes of the proceeding only, the truth of a fact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the authenticity of the document specified in the notice (my emphasis). Form 23 asks the party to admit only the authenticity of documents, not the truth of their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the plaintiff did admit the authenticity of the documents, an admission is made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Moore v. Dhillon</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[1992] B.C.J. No. 3055</w:t>
        </w:r>
      </w:hyperlink>
      <w:r>
        <w:rPr>
          <w:rFonts w:ascii="arial" w:eastAsia="arial" w:hAnsi="arial" w:cs="arial"/>
          <w:color w:val="000000"/>
          <w:sz w:val="20"/>
          <w:lang w:val="en-US" w:eastAsia="en-US" w:bidi="ar-SA"/>
        </w:rPr>
        <w:t>. (S.C.). Nonetheless, the time spent reviewing and replying to the Notice should have been minimal. I allow 1 unit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Examinations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was examined on three occasions. The defendants take no issue with the units claimed for these examinations.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has also claims for preparation and attendance at the examination of Ms. Matthews, a witness for the plaintiff. The defendants submit that no allowance should be made for Mr. Margetts' preparation of Ms. Matthews as she was neither a party, nor Mr. Margetts' client, and as such he had no obligation to prepare this witness. The defendants did not take issue with Mr. Margetts' attendance at this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Margetts submits that the preparation time should be compensated as item 14 allows for preparation for the examination of a person not just a party. It is not restricted to preparation for the examination of a party. Furthermore, Ms. Matthews' examination was akin to a Rule 28 examination although she attended voluntarily rather than by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Based on first principles, it is my view that item 14 is intended to compensate the plaintiff for Mr. Margetts' preparation for Ms. Matthews' examination, whether that meant preparation by interviewing Ms. Matthews or preparing his own questions of this witness. If Mr. Margetts attended merely as a watching brief, that may be another matter: </w:t>
      </w:r>
      <w:r>
        <w:rPr>
          <w:rFonts w:ascii="arial" w:eastAsia="arial" w:hAnsi="arial" w:cs="arial"/>
          <w:i/>
          <w:color w:val="000000"/>
          <w:sz w:val="20"/>
          <w:lang w:val="en-US" w:eastAsia="en-US" w:bidi="ar-SA"/>
        </w:rPr>
        <w:t>Keystone Shingles and Lumber Ltd. v. Royal Plate Glass and General Insurance Co. of Canada</w:t>
      </w:r>
      <w:r>
        <w:rPr>
          <w:rFonts w:ascii="arial" w:eastAsia="arial" w:hAnsi="arial" w:cs="arial"/>
          <w:color w:val="000000"/>
          <w:sz w:val="20"/>
          <w:lang w:val="en-US" w:eastAsia="en-US" w:bidi="ar-SA"/>
        </w:rPr>
        <w:t xml:space="preserve"> (1955), 16 W.W.R. 222 @ p. 224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not strictly speaking a Rule 28 examination, Ms. Matthews' examination can be described as an "analogous proceeding". I note that parties in personal injury actions are routinely allowed preparation of expert witnesses under Rule 38 even though that person is neither parties'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Accordingly, I allow all of the units claimed under items 14 and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Item 26 -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Written Argument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has claimed 5 units each for three written arguments prepared for the following applications: "Adjournment, IME and Appeal". Only one argument was shown to me. Mr. Margetts describes the others as similar in length and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submit that no allowance should be made for any of these submissions as none were ordered by the court and would have been prepared by counsel in any event simply to assist in argument. The submissions are merely counsel's working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Eileen's Quality Catering Ltd. v. Depaoli</w:t>
      </w:r>
      <w:r>
        <w:rPr>
          <w:rFonts w:ascii="arial" w:eastAsia="arial" w:hAnsi="arial" w:cs="arial"/>
          <w:color w:val="000000"/>
          <w:sz w:val="20"/>
          <w:lang w:val="en-US" w:eastAsia="en-US" w:bidi="ar-SA"/>
        </w:rPr>
        <w:t xml:space="preserve"> (1985), 1 C.P.C. (2d) 152 (S.C.), the court ruled that no allowance could be made for a written argument unless that argument was required or requested by the court. Indeed, at the time of that decision, item 26 specified such conditions. In 2001 this provision was amended to remove the words "where required or requested by the court". The Lieutenant Governor in Council must have intended to give a broader entitlement to this item, particularly when written argument is frequently encouraged, even if not mandated,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Nonetheless, the written submissions of the plaintiff were neither lengthy nor complicated. I allow a total of 6 units under item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 Smith Agency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claims agency fees of $413. No invoices were provided supporting this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submit that the use of the agent was unnecessary as the office of plaintiff's counsel could have attended to the various filing and searches that may be associated with this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 party is entitled to employ agents and thus the expenditure is at least proper. However, I am unable to determine whether the amount claimed is reasonable absent a review of the agent's invoices. If the parties are unable to agree on the amount to be allowed, they are at liberty to set down a continuation of this assessment. That continuation should follow delivery by the plaintiff of an affidavit with the invoices exhibited. The defendants may wish to cross-examine the deponent of that affidavit. I will not, however, allow any further units for this continuation as the plaintiff had advance notice of this objection and could have produced the necessary affidavit at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RSM Mileage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Margetts has claimed mileage for attendance at various locations in the Bill. Some of the mileage is attributed to certain dates: February 3 and 16 (year not specified); or attendances (Dr. Griffin in Duncan). There is also a claim of $75.00 which is not related to any particular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Margetts notes that the plaintiff was initially resident in Duncan as were her treating physicians. Ms. Elder retained the firm at its Duncan office, but Mr. Margetts does not practice from that office. He submits that it was necessary and proper to travel to meet with the client and her physicians. No evidence was provided on how the mileage was charged, presumably on a per/km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submit that mileage is a cost that the plaintiff must bear as it was her choice to retain "out of town" counsel. There is no evidence that the claim could not have been handled by a lawyer in Duncan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concede that mileage should be allowed for Mr. Margetts' attendance at the defendant Stewart's examination for discovery in Duncan. It is not clear which if any of the mileage claimed in the Bill is attributable to that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Although Mr. Margetts' firm has an office in Duncan, he fits the description of out of town counsel. The allowance for travel expenses in such circumstances was discussed in </w:t>
      </w:r>
      <w:r>
        <w:rPr>
          <w:rFonts w:ascii="arial" w:eastAsia="arial" w:hAnsi="arial" w:cs="arial"/>
          <w:i/>
          <w:color w:val="000000"/>
          <w:sz w:val="20"/>
          <w:lang w:val="en-US" w:eastAsia="en-US" w:bidi="ar-SA"/>
        </w:rPr>
        <w:t>Allen v. Homan</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[1998] B.C.J. No. 46</w:t>
        </w:r>
      </w:hyperlink>
      <w:r>
        <w:rPr>
          <w:rFonts w:ascii="arial" w:eastAsia="arial" w:hAnsi="arial" w:cs="arial"/>
          <w:color w:val="000000"/>
          <w:sz w:val="20"/>
          <w:lang w:val="en-US" w:eastAsia="en-US" w:bidi="ar-SA"/>
        </w:rPr>
        <w:t xml:space="preserve"> (S.C.),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With these various decisions in mind, I am of the view that the following principles, inter alia, should be utilized to determine whether or not costs associated with the retention of out-of-town counsel should properly be visited upon the unsuccessful party:</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tariff of party and party costs is predicated on there being a traditional review of all costs and disbursements claimed by the successful party and the allowance of those items found to be reasonable and necessary in the particular circumstances of the case before they are properly visited upon the defendant.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particular circumstances of each case will determine if particular cost items and related disbursements should be borne by the unsuccessful party.</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assessing officer's review of Item 36 claims (out-of-town counsel) and related disbursements should be no different than the assessing officer's review of any other item and related disbursement, the sole question being reasonableness and necessity.</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Relative to Item 36 and related disbursements, there should be no set rule that a successful party will be denied indemnification relative to these costs unless exceptional circumstances are shown to exist.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reasonableness of the decision to engage out-of-town counsel must be demonstrated by the party submitting the bill, the onus remaining with him or her as it is with he or she demonstrating the necessity and reasonableness of any other disbursement incurred in the prosecution of the case for which indemnification from the unsuccessful party is claimed.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the reasonableness of the submitting party's decision to retain out-of-town counsel, the assessing officer should objectively attempt to determine whether or not the decision to retain the out-of-town counsel was reasonable and necessary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have no evidence that Mr. Margetts offered particular expertise (although he is experienced counsel) or had a pre-existing relationship with the plaintiff. The plaintiff has not satisfied me that retaining out of town counsel was reasonable and necessary. Considering the principles stated above, I allow only that mileage attributable to the attendance at the defendant Stewart's examination and to the meeting with Dr. Griffin (see </w:t>
      </w:r>
      <w:r>
        <w:rPr>
          <w:rFonts w:ascii="arial" w:eastAsia="arial" w:hAnsi="arial" w:cs="arial"/>
          <w:i/>
          <w:color w:val="000000"/>
          <w:sz w:val="20"/>
          <w:lang w:val="en-US" w:eastAsia="en-US" w:bidi="ar-SA"/>
        </w:rPr>
        <w:t>Moore v. Dhillon</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[1992] B.C.J. No. 3055</w:t>
        </w:r>
      </w:hyperlink>
      <w:r>
        <w:rPr>
          <w:rFonts w:ascii="arial" w:eastAsia="arial" w:hAnsi="arial" w:cs="arial"/>
          <w:color w:val="000000"/>
          <w:sz w:val="20"/>
          <w:lang w:val="en-US" w:eastAsia="en-US" w:bidi="ar-SA"/>
        </w:rPr>
        <w:t xml:space="preserve"> (S.C.). Only the meeting with Dr. Griffin is particularized. I allow the sum of $55.46 (59 km each way @ $.47 per km) for the travel to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Griffin - Trial Prep.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Griffin has charged a total of $5,508 for trial preparation. This figure represents about 17 hours of preparation billed at the rate of $324/hour.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submit that the amount is excessive, suggesting instead an appropriate allowance of 9 hours @ $324/hour or $2,916. The defendants say that 9 hours is reasonable given that Dr. Griffin would be questioned at trial for a total of 5 hours (as per the Witness List prepared). As well, the doctor is entitled to an allowance of 4 hours to prepare for that questioning.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do not take issue with Dr. Griffin's charges relating to the production of clinical records or preparation of one medical-legal report ($430.00).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his affidavit, Dr Griffin describes the trial preparation, as billed in three separate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Dr. Griffin met with Mr. Margetts for four hours on February 21, 2006. An additional six hours is claimed to prepare for that meeting and to subsequently discuss and prepare written opinion evidence for trial. Dr. Griffin did not prepare a medical-legal opinion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Instead, his evidence was presented in a narrative prepared by plaintiff's counsel and delivered to defence counsel pursuant to Rule 40A(2).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second invoice from Dr. Griffin is dated April 20, 2006 and "relates to a meeting with legal counsel in anticipation of giving evidence at trial". The meeting itself occupied two hours. Dr. Griffin spent about 30 minutes preparing for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third invoice dated June 1, 2006 also "related to preparation in contemplation of giving evidence at trial". Dr. Griffin undertook a second review of medical information provided by plaintiff's counsel in anticipation of the April 2006 trial date. Dr. Griffin spent four hours in this review. He did not charge a cancellation fee when the trial settled, although his entitlement to charge such a fee is questionable: </w:t>
      </w:r>
      <w:r>
        <w:rPr>
          <w:rFonts w:ascii="arial" w:eastAsia="arial" w:hAnsi="arial" w:cs="arial"/>
          <w:i/>
          <w:color w:val="000000"/>
          <w:sz w:val="20"/>
          <w:lang w:val="en-US" w:eastAsia="en-US" w:bidi="ar-SA"/>
        </w:rPr>
        <w:t>Mohr v. Dent</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1983), </w:t>
      </w:r>
      <w:hyperlink r:id="rId391" w:history="1">
        <w:r>
          <w:rPr>
            <w:rFonts w:ascii="arial" w:eastAsia="arial" w:hAnsi="arial" w:cs="arial"/>
            <w:i/>
            <w:color w:val="0077CC"/>
            <w:sz w:val="20"/>
            <w:u w:val="single"/>
            <w:shd w:val="clear" w:color="auto" w:fill="FFFFFF"/>
            <w:lang w:val="en-US" w:eastAsia="en-US" w:bidi="ar-SA"/>
          </w:rPr>
          <w:t>40 C.P.C. 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defends these charges on the basis that Dr. Griffin was a "frontline" witness. As Ms. Elder's family physician, Dr. Griffin would be expected to address many of the defence's theories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does indeed appear that Dr. Griffin was a very important witness for the plaintiff. However, that fact does not address the reasonableness of the time spent preparing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defendants are not obliged to pay whatever fee is negotiated between an expert and plaintiff's counsel: </w:t>
      </w:r>
      <w:r>
        <w:rPr>
          <w:rFonts w:ascii="arial" w:eastAsia="arial" w:hAnsi="arial" w:cs="arial"/>
          <w:i/>
          <w:color w:val="000000"/>
          <w:sz w:val="20"/>
          <w:lang w:val="en-US" w:eastAsia="en-US" w:bidi="ar-SA"/>
        </w:rPr>
        <w:t>Cloutier v. Wong</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[1992] B.C.J. No. 2940</w:t>
        </w:r>
      </w:hyperlink>
      <w:r>
        <w:rPr>
          <w:rFonts w:ascii="arial" w:eastAsia="arial" w:hAnsi="arial" w:cs="arial"/>
          <w:color w:val="000000"/>
          <w:sz w:val="20"/>
          <w:lang w:val="en-US" w:eastAsia="en-US" w:bidi="ar-SA"/>
        </w:rPr>
        <w:t xml:space="preserve"> (S.C.), at para. 11. Nor are the defendants obliged to pay for an expert's "extremely high standards of preparation": </w:t>
      </w:r>
      <w:r>
        <w:rPr>
          <w:rFonts w:ascii="arial" w:eastAsia="arial" w:hAnsi="arial" w:cs="arial"/>
          <w:i/>
          <w:color w:val="000000"/>
          <w:sz w:val="20"/>
          <w:lang w:val="en-US" w:eastAsia="en-US" w:bidi="ar-SA"/>
        </w:rPr>
        <w:t>Cloutier v. Wong</w:t>
      </w:r>
      <w:r>
        <w:rPr>
          <w:rFonts w:ascii="arial" w:eastAsia="arial" w:hAnsi="arial" w:cs="arial"/>
          <w:color w:val="000000"/>
          <w:sz w:val="20"/>
          <w:lang w:val="en-US" w:eastAsia="en-US" w:bidi="ar-SA"/>
        </w:rPr>
        <w:t>, supra,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circumstances of this case and based on the evidence provided, I allow 13 hours or $4,212 for Dr. Griffin's trial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David G.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Hunt is a psychiatrist practising at the St. Paul's Hospital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or about February 27, 2006, Dr. Hunt prepared an Outpatient Department Clinic Note (the "Clinic Note") for the purposes of Ms. Elder's admission. That report is some 10 pages in length and provides details of the plaintiff's medical history, symptoms and the recommendation that Ms. Elder be admitted immediately to the program. The report was necessary for Ms. Elder's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Subsequently, Mr. Margetts asked Dr. Hunt to deliver that same report for medical-legal purposes. Dr. Hunt has billed Mr. Margetts' firm $800 for the report, although its form and content is unchanged from the Clinic Note. In his invoice, Dr. Hunt describes this document as a "modified medical-legal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submit that they should not have to pay $800 for what is essentially a clinical record or report. They suggest that Dr. Hunt will be doubly compensated as he presumably billed Medical Services Plan ("MSP") and/or St. Paul's Hospital for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order to address this objection, the plaintiff was directed to obtain a letter (or affidavit) from Dr. Hunt setting out whether the cost of the report was billed to MSP. I expected the letter to state simply whether there was duplicate billing.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did not specifically direct that Dr. Hunt provide an affidavit, but such a direction should not have been necessary. As both the reasonableness and propriety of Dr. Hunt's charges are in issue, it should have been recognized that an affidavit from this individual is an indispensable requirement in proving the charge: </w:t>
      </w:r>
      <w:r>
        <w:rPr>
          <w:rFonts w:ascii="arial" w:eastAsia="arial" w:hAnsi="arial" w:cs="arial"/>
          <w:i/>
          <w:color w:val="000000"/>
          <w:sz w:val="20"/>
          <w:lang w:val="en-US" w:eastAsia="en-US" w:bidi="ar-SA"/>
        </w:rPr>
        <w:t>Bereti v. Schuette</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(1980) 17 C.P.C. 259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Hunt's letter offers "specific justification" for his invoice, including how his approach to Ms. Elder's assessment differed from his standard assessment. Dr. Hunt states that he proposed to charge over $1,200 for the modified medical legal report, but reduced the fee by the $440 charged to St. Paul's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letter is unnecessarily disparaging towards defence counsel. It does not address whether MSP was billed for any services relating to the Clinic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subsequent correspondence purporting to justify Dr. Hunt's charge, Mr. Margetts refers to "evidence" presented at the assessment. Other than Dr. Griffin's affidavit, no evidence was presented at the assessment. While registrars often accept unsworn statements from counsel in support of a bill of costs, those statements are not evidence. Neither of the plaintiffs' counsel gave evidence under oath. Counsels' statements are not opinion evidence under Rule 57(36). Correspondence received from counsel is not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Margetts has advised that the plaintiff is content to rely on the material presented to date. Based on that material, including the unsworn statements of counsel, I am not satisfied that Dr. Hunt's charges are to be borne by the defendants. Specifically, I am not satisfied that Dr. Hunt has not charged twice for the same report. The charge of $800 is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Proteus Consulting - $2,310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charge relates to the services of Dr. Sweet, a registered psychologist. Dr. Sweet's invoice was not before me, but I understand that the charges relate to the preparation of a written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intended to object to the admissibility of that report at trial. Their brief of argument was provided to me to support the submission that no allowance should be made for this disbursement.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Sweet's report is included in the defendants' brief. After reciting the medical information reviewed and his own qualifications, Dr. Sweet states that he is "responsible for synthesizing the information in this report". He interviewed the plaintiff by telephone but otherwise relies on secondary sources for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report is mainly of a generic overview of CRPS. There are intermittent references to Ms. Elder's symptoms. Dr. Sweet concludes his report by stating that Ms. Elder is unemployable. He bases this opinion, in part, on his experience as a personnel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Margetts conceded that the report was intended as an overview of Ms. Elder's condition. He submits that the overview was necessary because Ms. Elder did not have a "homogenous" presentation of symptoms. Dr. Sweet is allegedly an expert in CRPS. He was retained as an expert in Vocational Rehabilitation. The report was, at the very least, intended to assist counsel in addressing the plaintiff's condition and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report was also intended for use at trial to counter the opinion evidence of the defence's psychiatric expert, Dr. O'Shaugnessy.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defendants say that the overview was simply redundant as the report is drawn almost entirely from secondary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Counsel did not refer to any authorities in support of their respective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 similar issue arose in </w:t>
      </w:r>
      <w:r>
        <w:rPr>
          <w:rFonts w:ascii="arial" w:eastAsia="arial" w:hAnsi="arial" w:cs="arial"/>
          <w:i/>
          <w:color w:val="000000"/>
          <w:sz w:val="20"/>
          <w:lang w:val="en-US" w:eastAsia="en-US" w:bidi="ar-SA"/>
        </w:rPr>
        <w:t>Leverman v. Prince George (City)</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[2000] B.C.J. No. 892</w:t>
        </w:r>
      </w:hyperlink>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2000 BCSC 697</w:t>
        </w:r>
      </w:hyperlink>
      <w:r>
        <w:rPr>
          <w:rFonts w:ascii="arial" w:eastAsia="arial" w:hAnsi="arial" w:cs="arial"/>
          <w:color w:val="000000"/>
          <w:sz w:val="20"/>
          <w:lang w:val="en-US" w:eastAsia="en-US" w:bidi="ar-SA"/>
        </w:rPr>
        <w:t>. In that case, the court considered the propriety of a report from an occupational therapist. The defendants contended that the charge for that report should be disallowed for various reasons including that the report was probably inadmissible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paragraphs 18 through 22, the court reviewed the relevant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cost of disbursements is assessable pursuant to Rule 57(4) of the Rules of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fees allowed on an assessment under subrule (1) or (3) the registrar shall allow a reasonable amount for expenses and disbursements that were necessarily or properly incurred in the conduct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 am assisted in the application of this subrule by several cases. In Bell v. Fantini (#2) </w:t>
      </w:r>
      <w:hyperlink r:id="rId395" w:history="1">
        <w:r>
          <w:rPr>
            <w:rFonts w:ascii="arial" w:eastAsia="arial" w:hAnsi="arial" w:cs="arial"/>
            <w:i/>
            <w:color w:val="0077CC"/>
            <w:sz w:val="20"/>
            <w:u w:val="single"/>
            <w:shd w:val="clear" w:color="auto" w:fill="FFFFFF"/>
            <w:lang w:val="en-US" w:eastAsia="en-US" w:bidi="ar-SA"/>
          </w:rPr>
          <w:t>(1981) 32 B.C.L.R. 322</w:t>
        </w:r>
      </w:hyperlink>
      <w:r>
        <w:rPr>
          <w:rFonts w:ascii="arial" w:eastAsia="arial" w:hAnsi="arial" w:cs="arial"/>
          <w:color w:val="000000"/>
          <w:sz w:val="20"/>
          <w:lang w:val="en-US" w:eastAsia="en-US" w:bidi="ar-SA"/>
        </w:rPr>
        <w:t xml:space="preserve"> the court, in dismissing an appeal from a registrar's findings, described several occasions in which the court is justified in refusing or reducing disbursements: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work duplicates the work already done by two similar experts;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cost is unreasonable, compared to evidence of the cost of other similar experts;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report includes, improperly, extensive narrative;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out of province legal counsel are consulted unnecessarily;</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out of province experts are utilized, if there are equivalent and adequate experts locally available;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expert is not made available for cross-examination;</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expert's report is not made available to the opposing party;</w:t>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contents of a report are significantly recanted on cross-examination;</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suggested damages reported by the expert are "preposterous" in the view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fact that a report is not used at trial does not, in and of itself, preclude assessing the disbursement. The assessing officer is not to step into the shoes of the ultimate trier of fact, but rather is to focus "on whether, in the circumstances, it was a proper expenditure to fully and properly prepare the case for trial" (Morrissette v. Smith </w:t>
      </w:r>
      <w:hyperlink r:id="rId396" w:history="1">
        <w:r>
          <w:rPr>
            <w:rFonts w:ascii="arial" w:eastAsia="arial" w:hAnsi="arial" w:cs="arial"/>
            <w:i/>
            <w:color w:val="0077CC"/>
            <w:sz w:val="20"/>
            <w:u w:val="single"/>
            <w:shd w:val="clear" w:color="auto" w:fill="FFFFFF"/>
            <w:lang w:val="en-US" w:eastAsia="en-US" w:bidi="ar-SA"/>
          </w:rPr>
          <w:t>(1990) 39 C.P.C. (2d) 30</w:t>
        </w:r>
      </w:hyperlink>
      <w:r>
        <w:rPr>
          <w:rFonts w:ascii="arial" w:eastAsia="arial" w:hAnsi="arial" w:cs="arial"/>
          <w:color w:val="000000"/>
          <w:sz w:val="20"/>
          <w:lang w:val="en-US" w:eastAsia="en-US" w:bidi="ar-SA"/>
        </w:rPr>
        <w:t xml:space="preserve">). Similarly, in considering disbursements incurred in matters ultimately settled, with "... no evidence ... that this report could be considered as useless at trial ..." the disbursement will generally be permitted (Loopstra, Nixon, and McLeish v. Sopko, </w:t>
      </w:r>
      <w:hyperlink r:id="rId397" w:history="1">
        <w:r>
          <w:rPr>
            <w:rFonts w:ascii="arial" w:eastAsia="arial" w:hAnsi="arial" w:cs="arial"/>
            <w:i/>
            <w:color w:val="0077CC"/>
            <w:sz w:val="20"/>
            <w:u w:val="single"/>
            <w:shd w:val="clear" w:color="auto" w:fill="FFFFFF"/>
            <w:lang w:val="en-US" w:eastAsia="en-US" w:bidi="ar-SA"/>
          </w:rPr>
          <w:t>[1992] O.J. No. 1875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Finally, there are instances in which the court can conclude that an expert has been retained prematurely. In Fung v. Berkun (</w:t>
      </w:r>
      <w:hyperlink r:id="rId398" w:history="1">
        <w:r>
          <w:rPr>
            <w:rFonts w:ascii="arial" w:eastAsia="arial" w:hAnsi="arial" w:cs="arial"/>
            <w:i/>
            <w:color w:val="0077CC"/>
            <w:sz w:val="20"/>
            <w:u w:val="single"/>
            <w:shd w:val="clear" w:color="auto" w:fill="FFFFFF"/>
            <w:lang w:val="en-US" w:eastAsia="en-US" w:bidi="ar-SA"/>
          </w:rPr>
          <w:t>(1982) 36 B.C.L.R. 352</w:t>
        </w:r>
      </w:hyperlink>
      <w:r>
        <w:rPr>
          <w:rFonts w:ascii="arial" w:eastAsia="arial" w:hAnsi="arial" w:cs="arial"/>
          <w:color w:val="000000"/>
          <w:sz w:val="20"/>
          <w:lang w:val="en-US" w:eastAsia="en-US" w:bidi="ar-SA"/>
        </w:rPr>
        <w:t>) for example, it was held that an accident reconstruction expert had been retained on behalf of the plaintiff, despite counsel having been advised of the evidence of a lay witness that would very likely qualify or affect the expert's views. At pp. 354 and 355 the court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where factual assumptions must be made before costly expert opinions can be obtained, the disbursement for that opinion must be premised on a thorough and reasonable attempt to ascertain the assumed facts in order to give efficacy to that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It is important to remember that the defendant has led no evidence to challenge the cost of either the Kleeman or the Karp reports. I have no evidence to challenge either professional's hourly rate, nor to suggest that another occupational therapist or actuary could have performed equivalent analyses in less time, in less detail, or for less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Considering the circumstances of this case, I find that the commissioning of the report was reasonable. The diagnosis of CRPS was still controversial at this point in the litigation. Dr. Sweet was asked to provide an opinion on Ms. Elder's employability, an issue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Nonetheless, I am not persuaded that the charge for this report is reasonable. Most of the report is a generic overview of CRPS. Some of the sources of this overview are identified, but it is fair to assume that Dr. Sweet merely copied this overview from secondary sources. There are references to Ms. Elder's specific complaints and diagnosis but those references are few and far between.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absence of Dr. Sweet's invoice, I am unable to determine how the charge of $2,310 is determined. Based on my experience in similar matters, I allow this disbursement at $750.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Book - </w:t>
      </w:r>
      <w:r>
        <w:rPr>
          <w:rFonts w:ascii="arial" w:eastAsia="arial" w:hAnsi="arial" w:cs="arial"/>
          <w:b/>
          <w:i/>
          <w:color w:val="000000"/>
          <w:sz w:val="20"/>
          <w:lang w:val="en-US" w:eastAsia="en-US" w:bidi="ar-SA"/>
        </w:rPr>
        <w:t>Study of Pain</w:t>
      </w:r>
      <w:r>
        <w:rPr>
          <w:rFonts w:ascii="arial" w:eastAsia="arial" w:hAnsi="arial" w:cs="arial"/>
          <w:b/>
          <w:color w:val="000000"/>
          <w:sz w:val="20"/>
          <w:lang w:val="en-US" w:eastAsia="en-US" w:bidi="ar-SA"/>
        </w:rPr>
        <w:t xml:space="preserve"> - $147.17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Plaintiff's counsel acquired this book on the recommendation of Dr. Vincent, one of Ms. Elder's treating specialists. Dr. Vincent initially loaned a copy to counsel. The book apparently addresses CRPS. Mr. Margetts submits that the purchase of the book was necessary, or at least proper, because CRPS is an unusual diagnosis and information was needed to prepare the plaintiff's case and for cross-examination of the defence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submit that the purchase was extravagant. They should not be called upon to supply the library of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agree that the charge for this book is not to be borne by the defendants. It is overhead, an aid to counsel that would not be of any assistance to the trier-of fact. The charge is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Wyllie -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Wyllie is a chiropractor who treated the plaintiff post-accident. As part of his records, Dr. Wyllie took photographs of the plaintiff's legs to demonstrate the nature of her injuries. Mr. Margetts wanted to use these photographs at trial. Dr. Wyllie insisted on payment of $450 for their release. The invoice supporting this charge was not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defendants submit that the charge of $450 is excessive and should be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B.C. Chiropractic Association fee guide suggests the fee for providing clinical records at $105 plus $1 for each page reviewed. I did not see in that guide any special provision for the cost of sending photographs. While I am not bound to follow the guide, it is of some assistance in determining what might be a reasonable charge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photographs are without doubt part of Dr. Wyllie's records. Relying to some extent on the above guidelines, I allow $115.00 for this disbursement.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Gallant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My notes do not indicate whether the claim for this disbursement was formally abandoned. If not, it is disallowed. Dr. Gallant is, or was, the plaintiff's dentist. The defendants say that the charge relates to treatment and should have been claimed as a special damage. Plaintiff's counsel could not refute this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Kenneth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Craig is a psychologist and "leading expert" (according to plaintiff's counsel) in CRPS. The invoice issued by Dr Craig charges for a discussion of the "case" with both Mr. Margetts and Mr. Main and a six hour review of documentation. Dr. Craig's evidence was also summarized in writing by plaintiff's counsel. It is not clear whether that summary was delivered to the defendants, but that is not the basis of the objection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defendants initially challenged this disbursement because they were uncertain of the nature of the charges. Particulars had not been provided by plaintiff's counsel even though the objection was raised several months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Having seen the invoice, the defendants say that the disbursement should be disallowed because Dr. Craig's opinion was sought merely to bolster Dr. Sweet's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Based on the material presented, I am not persuaded that Dr. Craig's services were either necessary or proper for the prosecution of the plaintiff's case. The services could be duplicative. Neither the invoice nor the statements from counsel provide justification for this charge. The entire amount is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Trevor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Cohen is gynaecologist retained to address whether the injuries suffered in the accident would prevent Ms. Elder from having a successful pregnancy. A medical legal opinion was delivered by Dr. Cohen at the charge of $1,395.00.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defendants were not provided with the doctor's invoice in advance of the assessment. Thus, they were unable to reflect on the reasonableness of the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am satisfied by the explanation of counsel that a gynaecological opinion was proper and necessary in this case. The charges are allowed, except for the $400 charged by Dr. Cohen for two missed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Fees are allowed at $10, 893.20, inclusive of taxes. I have not calculated the amount allowed on disbursements as there remains the outstanding issue of taxable agents'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If there is an agreement on the agents' charges, the plaintiff may submit a certificate of costs calculated on the amounts allowed at the assessment and in these reasons. Otherwise, the parties may set down a continuation to address the agents' fees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DISTRICT REGISTRAR BOUCK</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6"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Engel v. Engel, [2000] B.C.J. No. 1794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22 - 26, 29, 1999 and May 15 - 19,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B950421 and B950419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1794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1330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Maria Engel, plaintiff, and Peter Alfred Engel, Northern-West Elevator Limited, Insurance Corporation of British Columbia, John Doe and Richard Doe, otherwise known as Peter James Smith, defendants, and Maria Engel, plaintiff, and Peter Alfred Engel, Northern-West Elevator Limited, Greg R. Gordon and Modern Roofing Co.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7"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1" w:name="Keywords_23"/>
      <w:bookmarkEnd w:id="151"/>
      <w:r>
        <w:rPr>
          <w:rFonts w:ascii="arial" w:eastAsia="arial" w:hAnsi="arial" w:cs="arial"/>
          <w:b/>
          <w:color w:val="000000"/>
          <w:sz w:val="20"/>
          <w:lang w:val="en-US" w:eastAsia="en-US" w:bidi="ar-SA"/>
        </w:rPr>
        <w:t>Damage awards — Injury and death — Neck injuries — Psychological injuries — Suicide attempts — Damages — General damages — General damages for personal injury — Aggravation of pre-existing condition — Special damages — Loss of wages.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2" w:name="Case Summary_19"/>
            <w:bookmarkEnd w:id="1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Ms. Engel for damages arising from two motor vehicle accidents. Liability was not an issue in the first accident but was contested in the second accident. Ms. Engel suffered soft tissue injuries in each accident. In the first accident Ms. Engel was a passenger in a vehicle driven by her former husband, the defendant Mr. Engel. The second accident occurred three and a half months after the first accident. At issue was whether Mr. or Ms. Engel was the driver of the vehicle. The Engel vehicle was hit by a vehicle driven by Gordon. Gordon's vehicle crossed the centre line of the road and encroached onto the Engels' lane. Ms. Engel's immediate complaints after the first accident were neck, back and shoulder pain, a hip bruise and abdominal pain. Ms. Engel did not take time off of work after the first accident. After the second accident, Ms. Engel claimed that her injuries from the first accident were made much worse. She was later admitted to hospital after attempting suicide by taking an overdose of medication. From that time onward, she experienced an increasing number of psychiatric problems. Ms. Engel had suffered depression for many years before the two accidents. She claimed that but for the accident she would have maintained annual earnings in the range of $28,000. The principal issue was whether the psychological and psychiatric problems suffered by Ms. Engel since the accidents were caused or contributed to by the accidents.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3" w:name="Holdings of Court_17"/>
            <w:bookmarkEnd w:id="15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Ms. Engel was entitled to non-pecuniary damages of $50,000; past loss of income in the amount of $15,000; and special damages as agreed between the parties. Ms. Engel suffered soft tissue injuries from the accidents. Her psychological problems pre-existed the accidents and were a part of her original position prior to the accidents. However, there were periods of time when Ms. Engel functioned reasonably well in her social and working life. It was not necessary that Ms. Engel prove that her psychological illness had its origin in the accidents. The evidence supported a finding that it was more probable than not that her condition was made worse by the accidents. Ms. Engel had not made out her claim that, but for the accident, she would have maintained annual earnings in the range of $28,000. The employment she was referring to had been of short duration, and did not reflect her earnings history. It was likely that the accident did affect her ability to perform her work and that upon losing that employment she required a reasonable time to train and seek alternative employment. A reasonable time period was fixed at six months.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4" w:name="Counsel_23"/>
      <w:bookmarkEnd w:id="1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8"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Oleh Ilnyckyj (March 22 - 26, 1999) and Thomas A. Davies (May 15 - 19, 2000), for the plaintiff. Margaret C. Hollis, for the defendants, Peter Engel, Northern-West Elevator Limited, Peter James Smith and Insurance Corporation of British Columbia. Valerie J. Anderson (March 22 - 26, 1999) and K.N. Schymon (May 15 - 19, 2000), for the defendants, Greg R. Gordon and Modern Roofing Co.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5" w:name="Judgment_23"/>
      <w:bookmarkEnd w:id="155"/>
      <w:r>
        <w:pict>
          <v:line id="_x0000_s1139" style="position:absolute;z-index:2517852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6" w:name="RALPH J."/>
            <w:bookmarkEnd w:id="156"/>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Engel was injured in motor vehicle accidents on September 20, 1990 and January 6, 1991. Two actions were commenced in New Westminster, consolidated for trial by consent, and later transferred to the Vancouver Registry for all purposes. Liability is not in issue in the first accident but is contested in the second accident. Ms. Engel suffered soft tissue injuries in each accident. The principal issue is whether the psychological and psychiatric problems suffered by Ms. Engel since the accidents were caused or contributed to by the accidents. The determination of that issue will have a substantial impact upon the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was a substantial gap between the first and second weeks of trial. The delay was the result of Ms. Engel dismissing her lawyer at the end of the first week of trial and a new lawyer having to be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Circumstances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first accident Ms. Engel was a passenger in a vehicle driven by her former husband, the defendant Mr. Engel. As Mr. and Mrs. Engel were travelling on an access road to the Guildford Mall parking lot in Surrey, their vehicle was struck broadside by another vehicle whose owner and driver are unknown. The Engel vehicle was struck on the passenger door. The force of the impact was sufficient to push the post abutting the door into the passenger area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Circumstances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second accident occurred a little over three and one-half months after the first accident. January 6, 1991, was a day in which considerable snow had accumulated on the streets of Surrey. Mr. and Ms. Engel were on their way to purchase groceries driving a vehicle owned by Mr. Engel's employer, Northern-West Elevator Limited ("the Engel vehicle"). An issue in the trial is whether the driver of the Engel vehicle was Mr. or Ms. Engel. The Engel vehicle made a left hand turn at 157A Street onto 157 Street, a street which has a right angle curve beginning to the west of 157 Street. As the Engel vehicle began to proceed west along 157 Street a vehicle owned by the defendant Modern Roofing Co. Ltd. ("Mr. Gordon's vehicle") and driven by the defendant, Greg R. Gordon, was proceeding east on the same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Gordon's vehicle was sliding as it came around the curve and was over the centre line of the road encroaching into the lane of travel of Mr. Engel's vehicle. Mr. Engel moved his vehicle to the right up against a snow bank on the side of the road but Mr. Gordon's vehicle collided with it, the left-hand front portion of each vehicle coming into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evidence concerning this collision came from the testimony at trial of Mr. and Ms. Engel and Mr. Gordon, the examination for discovery evidence of Mr. Gordon and the video deposition evidence of Barry Dreger, who was Mr. Gordon's passenger. On the basis of that evidence I am satisfied that Mr. Gordon was driving in a negligent manner and that his driving caused the accident which occurred. I am also satisfied that Mr. Gordon was driving the vehicle with the consent of its owner, the defendant Modern Roofing Co.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Dreger acknowledged that Mr. Gordon was driving too quickly for the road conditions at the time and that Mr. Gordon's vehicle was fishtailing. Mr. Gordon and Mr. Dreger were on their way home from a pub where they had each consumed four pints of beer in a short period of time. The collision occurred well over the centre line of the road and into Mr. Engel's lane. In his examination for discovery Mr. Gordon agreed that skidding around the ninety-degree curve in the road was "irresponsible"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was conflicting evidence about who was driving Mr. Engel's vehicle. Mr. Gordon and Mr. Dreger say that Ms. Engel was driving. Mr. and Ms. Engel say that Mr. Engel was driving. Immediately after the collision Mr. Engel said that he got out of the driver's side of his vehicle having first had to push substantially on the door of his vehicle which had become jammed shut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Engel subsequently moved over to the driver's seat and got out of the driver's side of the vehicle as well. Mr. Engel had climbed out of his vehicle quickly so that he could obtain the licence number of Mr. Gordon's vehicle which had passed on down the road after the collision before it came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am satisfied on the balance of probabilities that Mr. Engel was driving his company's vehicle at the time of the collision. His evidence is supported somewhat by the evidence of his daughter concerning the usual practice when her parents travel by car. She stated that, "Dad drives everywhere. He's a typical European man." Mr. Engel's evidence is also supported by the nature of the damage to his vehicle and the force he said he had to apply to open the damaged door on the driver's side of the vehicle after the collision. In my view Mr. Gordon and Mr. Dreger drew an incorrect inference about who was driving the Engel vehicle from the fact that Ms. Engel left the vehicle from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Injuries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Engel's immediate complaints after the first accident were neck strain extending into her right shoulder and arm, back strain, right hip bruise and abdominal pain. She was 49 years old at the time and had been employed as a cost accountant at Fibron Machine Corp. since January 1990. Ms. Engel did not take time off work following the accident but it was her evidence that she could not work at her pre-accident speed and was laid-off from her employment November 14, 1990, for working too slowly. A witness from the company called by the defendants did not agree that this was the reason for Ms. Engel's lay-off.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second accident Ms. Engel said her injuries from the first accident were made much worse. She suffered pain in her right flank area and some incontinence. Her family doctor, Dr. P.D. Golin, referred her to a urologist but no urological abnormalities were found. She continued, however, to experience anxiety, abdominal pain and pain in her right shoulder, right arm and right flank. In March 1992, Ms. Engel's family doctor referred her to Dr. W.O. Gittens, a neurosurgeon, who concluded that Ms. Engel was suffering from chronic pain syndrome secondary to a soft tissue injury to her neck and right rib cage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Engel continued to see her family doctor and to experience the pain described above. She was referred to a number of specialists in relation to these and other medical problems she was encountering. In early July 1994 she was admitted to hospital having taken a large quantity of alcohol and phenobarb medication. In late July she was again admitted to hospital having attempted suicide by taking an overdose of medication. She was in hospital until September 6, 1994. Her diagnosis on discharge was of major depression without psychotic features, chronic dysthymia, and borderline personality disorder. She was referred to the North Surrey Mental Health Centre for crisis intervention and was asked to see a physician in the addiction program. From mid-September to early October she was treated at the Maple Cottage Detox Centre for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expert's report of July 31, 1995, Ms. Engel's family doctor, Dr. Golin, noted that Ms. Engel was still experiencing the same physical problems and a number of new complaints. He stated that he was "unable to find any abnormality" that would explain the symptoms of the new complaints and he felt that most of her symptoms were likely due to her significant emotional and mental problems including anxiety and depression which he attributed to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From that time forward Ms. Engel experienced an increasing number of psychiatric problems which required admissions to hospital and care by a number of psychiatrists. Three of the hospital admissions were made necessary by Ms. Engel's attempted suicides. In addition Dr. Golin referred her to other specialists for some of her physical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was a common observation in the correspondence of the treatment providers, the expert reports and the oral evidence at trial that Ms. Engel has had a difficult, complex and highly unfortunate medical history both before and after the two accidents that give rise to this action. She was injured in motor vehicle accidents in 1968 and 1988. She was also injured in a fall in September 1986 and was referred to a neurologist, Dr. Rees. In October 1987, Dr. Rees noted a complaint from Ms. Engel of pain in her neck and passing down her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was seen by a urologist, Dr. Fenster, in 1988 complaining of abdominal and pelvic pain. A surgical procedure was carried out in May 1988. In addition, Ms. Engel had undergone spinal surgery on more than one occasion prior to the accidents which included surgery at the T11-T12 and L4-5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appears from the evidence that Ms. Engel suffered from depression for many years before the two accidents and that prior to the accidents she had been diagnosed as suffering from manic depression and chronic anxiety. Her personal and family life has been marked by tragic and extremely unhappy events, including the death of one of her children. Among the evidence was evidence of more than one attempted suicide at times of acute stress in her life. Closer to the time of the accidents, on August 27, 1987, her family doctor noted that Ms. Engel suffered an "acute anxiety state, paranoid, afraid ... acute depression, fears." He referred her to Dr. Roburn, a psychiatrist, who prescribed medication which Ms. Engel continued to take until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March 17, 1993, Ms. Engel slipped in the shower and banged her right arm. She saw Dr. Golin and advised him that she had aggravated her previous injuries. Dr. Golin's clinical notes state that when Ms. Engel attended at his office she had her arm in a sling.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Engel was also involved in motor vehicle accidents in July 1995, May 1997, September 1997, and September 1998. She said that she was not injured in any of those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Turning to her employment history, in March 1991 Ms. Engel completed a training program with the Surrey crisis line program and worked in a voluntary capacity through May of 1992. From January 1991 to June of 1993 Ms. Engel was also employed selling time-share vacation properties. During that period she studied for and obtained a realtor's licence and worked for a real estate company until the summer of 1994. It was her evidence that as a realtor she worked an average of 14 hours a day, six or seven days a week. She left that employment when the real estate market suffered a downturn.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medical evidence presented at trial is lengthy and complex. Over the period from 1991 to 1998 Ms. Engel was examined and treated by at least 14 physicians and two chiropractors. The physicians included specialists in urology, gastroenterology, orthopaedic surgery, physical medicine, gynaecology, neuropsychiatry, and psychiatry. This number does not include other physicians who examined and treated Ms. Engel at Burnaby General Hospital, Surrey Memorial Hospital and Surrey North Mental Health Centre or physicians who conducted independent medical examinations in connection with this litigation. In my view it is not necessary to set out a detailed review of all of the medical evidence but reference to some parts of it will further identify the issues that arise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Engel filed a series of expert reports prepared at various times between May 1991 and January 1998 by her family doctor, Dr. Golin. Dr. Golin also testified at the trial. In his opinion it is difficult to assess how much of Ms. Engel's symptoms are caused by the accidents and how much result from her "past history and in her social and family life." In his report of January 3, 1994,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Maria will probably suffer from depression and anxiety and possibly from drug abuse and alcohol abuse the rest of her life. These bouts will be intermittent and will require appropriate medical attention. Some of these episodes will probably be related to stressors relating to her MVAs such as chronic pain, and some will be due to reasons completely unrelated to her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One of the specialists to whom Dr. Golin referred Ms. Engel was Dr. Leon Berzen, a neuropsychiatrist. On November 21, 1996 he reported to one of Ms. Engel's physicians, Dr. Anna Maguire. Dr. Berzen diagnosed Ms. Engel's problems as: a major depressive disorder marked by a life-long history of depressive episodes; borderline personality traits characterized as a long history of impaired interpersonal interactions as well as impulsivity; and a somatization disorder. The somatization disorder ranged from factitious symptoms through to conversion disorder type symptoms. (A somatization disorder was described in part by Dr. Maellor Vallance in his deposition evidence as "a condition in which there are one or more physical complaints that are not fully explained by any known medical condition ... or at least do not explain any condition 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August 1995, Dr. Vallance examined extensive clinical data and conducted an examination of Ms. Engel at the request of the defendants. In his expert's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I believe that her continuing physical problems are an extension of a pre-existing somatoform disorder. Since these accidents, she has had further periods of depression, particularly since early in 1994, and even more so when she had to withdraw from real estate, having invested a great deal of effort and most of her own money in that endeavour, which was no doubt very disappointing for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I believe that Ms. Engel has a longstanding problem with a somatoform disorder, probably complicated by a mood disorder, bipolar in type, and with years of ongoing substance abuse. The two accidents under consideration may well have aggravated these problems to some extent, but they were not the cause of these problems but rather the accidents and their sequelae have simply come to be a focus for problems that were well established and likely ongoing, these accidents notwithstanding.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Vallance was cross-examined in a deposition which became evidence in the trial. He was not challenged on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legal issues in this action are shaped by the interplay of the law relating to causation as set out in Athey v. Leonati, </w:t>
      </w:r>
      <w:hyperlink r:id="rId13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Pryor v. Bains </w:t>
      </w:r>
      <w:hyperlink r:id="rId406" w:history="1">
        <w:r>
          <w:rPr>
            <w:rFonts w:ascii="arial" w:eastAsia="arial" w:hAnsi="arial" w:cs="arial"/>
            <w:i/>
            <w:color w:val="0077CC"/>
            <w:sz w:val="20"/>
            <w:u w:val="single"/>
            <w:shd w:val="clear" w:color="auto" w:fill="FFFFFF"/>
            <w:lang w:val="en-US" w:eastAsia="en-US" w:bidi="ar-SA"/>
          </w:rPr>
          <w:t>(1986), 69 B.C.L.R. 395</w:t>
        </w:r>
      </w:hyperlink>
      <w:r>
        <w:rPr>
          <w:rFonts w:ascii="arial" w:eastAsia="arial" w:hAnsi="arial" w:cs="arial"/>
          <w:color w:val="000000"/>
          <w:sz w:val="20"/>
          <w:lang w:val="en-US" w:eastAsia="en-US" w:bidi="ar-SA"/>
        </w:rPr>
        <w:t xml:space="preserve"> (C.A.) and the law dealing with injuries that have a psychological explanation as set out in Maslen v. Rubenstein </w:t>
      </w:r>
      <w:hyperlink r:id="rId407"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Athey v. Leonati the Supreme Court of Canada confirmed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plaintiff's injuries. If there are tortious and non-tortious causes of the injuries the defendants will be liable so long as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injuries beyond the de minimis range. The plaintiff must be placed in the position he or she would have been in ("the original position")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Where there is a pre-existing condition of a "crumbling skull" nature, Major J. stated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Pryor v. Bains established an approach to assessing damages where the plaintiff suffers a manifest and presently disabling pre-existing condition. Athey v. Leonati also recognized that damages assessments may need to be adjusted for contingencies such as events that might have affected the plaintiff's life without the tortious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Maslen v. Rubenstein set down basic principles to be applied where the personal injuries include psychological complications. At page 134 Taylor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them to end, their existence or continuation must, in my view, be said to have a subjective, or internal, cause. To show that the cause lies in an unlawful act of the defendant, rather than the plaintiff's own choice, the plaintiff must negative that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page 136, he also approved the over-all test stated by Spencer J. at trial for when chronic pain syndrome will attract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will happen where the plaintiff's condition is caused by the defendant and is not something within her control to prevent. If it is true of a chronic benign pain syndrome, then it will be true also of other psychologically-caused suffering where the psychological mechanism, whatever it is, is beyond the plaintiff's power to control and was set in motion by the defendant's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Yoshikawa v. Yu </w:t>
      </w:r>
      <w:hyperlink r:id="rId408"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the Court of Appeal elaborated upon the principles in Maslen. At para. 13 Lambert J.A.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sure Mr. Justice Taylor did not consider that the "basic" principles which he set out exhausted all the possibilities for the application of principle to the difficult problems in these cases. The general principles which apply in relation to causation in law will apply to psychological injury as they apply to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clear from the evidence that Ms. Engel has suffered significant distress over the last ten years. The critical question is to what extent the two accidents were the cause of that distress. In applying the law to the facts of this case it is my conclusion that in the first accident Ms. Engel suffered soft tissue injuries to her neck, back, right shoulder and arm. Those injuries were made worse by the second accident. I also conclude that some other injuries complained of by Ms. Engel, such as the abdominal pain, reflect the psychological problems afflicting her. Such a conclusion is consistent with Ms. Engel's somatoform disorder diagnosed by a number of professional observers.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my view that Ms. Engel's psychological problems pre-existed the accidents and that they were very much a part of her "original position" prior to the accidents. In spite of the fact that there were periods of time where Ms. Engel functioned reasonably well in her social and working life, it is my conclusion that her psychological illness was active and present at the time of the accidents. In the language of some of the cases, Ms. Engel's condition would be characterized as being in the nature of a "crumbling skull" rather than a "thin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not necessary, however, that Ms. Engel prove that her psychological illness had its origin in the accidents. It is only necessary that she prove that it was made worse by the accidents. I conclude that the evidence supports a finding that it was more probable than not that her condition was made worse by the accidents. It was "made worse" in the sense that it appears to have heightened her susceptibility to pain that could be accounted for by her somatoform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extremely difficult to determine what constitutes the "original position" to which Ms. Engel is entitled to be returned. In addition, and, as noted above in Athey v. Leonati, the defendants "need not compensate the plaintiff for any debilitating effects of the pre-existing condition which the plaintiff would have experienced anyway." In my view the evidence indicates that in Ms. Engel's "original position" she was subject to the continuing risk of suffering pain associated with her somatoform disorder, depression from her mood disorder and other problems associated with her borderline personality disorder. Before the accidents there existed a real and substantial possibility that she would suffer the illnesses and conditions that ultimately led to her hospitalization in 1994 and subsequent times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note as well that on March 17, 1993, Ms. Engel fell in the shower and aggravated the injuries sustained in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submits that the range of non-pecuniary damages indicated by relevant cases is $60,000 to $115,000 and that an appropriate award in this case is $100,000. The defendants submit that the plaintiff suffered some soft-tissue injuries which were short lived and should receive only a modest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submitted a number of cases including Chancey v. Chancey, </w:t>
      </w:r>
      <w:hyperlink r:id="rId409" w:history="1">
        <w:r>
          <w:rPr>
            <w:rFonts w:ascii="arial" w:eastAsia="arial" w:hAnsi="arial" w:cs="arial"/>
            <w:i/>
            <w:color w:val="0077CC"/>
            <w:sz w:val="20"/>
            <w:u w:val="single"/>
            <w:shd w:val="clear" w:color="auto" w:fill="FFFFFF"/>
            <w:lang w:val="en-US" w:eastAsia="en-US" w:bidi="ar-SA"/>
          </w:rPr>
          <w:t>[1999] B.C.J. No. 551</w:t>
        </w:r>
      </w:hyperlink>
      <w:r>
        <w:rPr>
          <w:rFonts w:ascii="arial" w:eastAsia="arial" w:hAnsi="arial" w:cs="arial"/>
          <w:color w:val="000000"/>
          <w:sz w:val="20"/>
          <w:lang w:val="en-US" w:eastAsia="en-US" w:bidi="ar-SA"/>
        </w:rPr>
        <w:t xml:space="preserve"> (S.C.), Kokkinis v. Hall </w:t>
      </w:r>
      <w:hyperlink r:id="rId410"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(C.M.), Lyn v. Weatherston, </w:t>
      </w:r>
      <w:hyperlink r:id="rId411" w:history="1">
        <w:r>
          <w:rPr>
            <w:rFonts w:ascii="arial" w:eastAsia="arial" w:hAnsi="arial" w:cs="arial"/>
            <w:i/>
            <w:color w:val="0077CC"/>
            <w:sz w:val="20"/>
            <w:u w:val="single"/>
            <w:shd w:val="clear" w:color="auto" w:fill="FFFFFF"/>
            <w:lang w:val="en-US" w:eastAsia="en-US" w:bidi="ar-SA"/>
          </w:rPr>
          <w:t>[1997] B.C.J. No. 876</w:t>
        </w:r>
      </w:hyperlink>
      <w:r>
        <w:rPr>
          <w:rFonts w:ascii="arial" w:eastAsia="arial" w:hAnsi="arial" w:cs="arial"/>
          <w:color w:val="000000"/>
          <w:sz w:val="20"/>
          <w:lang w:val="en-US" w:eastAsia="en-US" w:bidi="ar-SA"/>
        </w:rPr>
        <w:t xml:space="preserve"> (S.C.), Jones v. Trudel, </w:t>
      </w:r>
      <w:hyperlink r:id="rId412" w:history="1">
        <w:r>
          <w:rPr>
            <w:rFonts w:ascii="arial" w:eastAsia="arial" w:hAnsi="arial" w:cs="arial"/>
            <w:i/>
            <w:color w:val="0077CC"/>
            <w:sz w:val="20"/>
            <w:u w:val="single"/>
            <w:shd w:val="clear" w:color="auto" w:fill="FFFFFF"/>
            <w:lang w:val="en-US" w:eastAsia="en-US" w:bidi="ar-SA"/>
          </w:rPr>
          <w:t>[1998] B.C.J. No. 1748</w:t>
        </w:r>
      </w:hyperlink>
      <w:r>
        <w:rPr>
          <w:rFonts w:ascii="arial" w:eastAsia="arial" w:hAnsi="arial" w:cs="arial"/>
          <w:color w:val="000000"/>
          <w:sz w:val="20"/>
          <w:lang w:val="en-US" w:eastAsia="en-US" w:bidi="ar-SA"/>
        </w:rPr>
        <w:t xml:space="preserve"> (S.C.), and Teixeira v. Logue, </w:t>
      </w:r>
      <w:hyperlink r:id="rId413" w:history="1">
        <w:r>
          <w:rPr>
            <w:rFonts w:ascii="arial" w:eastAsia="arial" w:hAnsi="arial" w:cs="arial"/>
            <w:i/>
            <w:color w:val="0077CC"/>
            <w:sz w:val="20"/>
            <w:u w:val="single"/>
            <w:shd w:val="clear" w:color="auto" w:fill="FFFFFF"/>
            <w:lang w:val="en-US" w:eastAsia="en-US" w:bidi="ar-SA"/>
          </w:rPr>
          <w:t>[1998] B.C.J. No. 286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examining those cases it appears to me that where there was a psychological condition affecting the condition of the plaintiff there was no significant pre-existing condition affecting the award of non-pecuniary damages. In assessing Ms. Engel's claim it is necessary to take into account the impact of the pre-existing condition and also to adjust the award for the contingency that was ultimately realized in the summer of 1994, a serious setback caused by her psychological disorders. Taking those factors into account I would assess non-pecuniary damages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submits her past loss of income to be $246,000. That calculation is based upon the assumption that but for the accidents she would have maintained her employment as a cost accounting clerk from 1990 to the date of the trial at an average annual salary of $28,000. The defendant submits that Ms. Engel was dismissed from her employment in November 1990 for reasons not related to the accident and that any wage losses after that date are not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Engel worked as a cost accountant at Fibron Machine Corp. from January to November 14, 1990. Her earnings during that period were $23,346. It was her evidence that she was laid off from her employment because after the accident she could not work at the same speed she had before the accident. A former assistant office manager of the company testified that Ms. Engel was laid off not for her slow work but because over a period of time her attitude in working with other staff had become unacceptable. It was her evidence that Ms. Engel was confrontational and did not fit in with the small, closely-knit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evidence that Ms. Engel sought other employment as a cost accountant but in January 1991 she began work selling time-share properties and later residential real estate. Her earnings during that time were not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Prior to the accident Ms. Engel had a limited employment record. She had, however, undertaken training courses at Pacific Vocational Institute and Burnaby College, demonstrating aptitude and success in those programs. In addition Ms. Engel also took the real estate licensing course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assessing the evidence of Ms. Engel's departure from Fibron, I note that the evidence of the former assistant office manager was somewhat vague in terms of the timing of Ms. Engel's alleged attitudinal problems. That is understandable given the passage of time since 1990. It is likely, however, that they were occurring around the time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my conclusion that Ms. Engel has not made out her claim that but for the accident she would have maintained annual earnings in the range of $28,000. The employment had been of short duration and did not reflect her earnings history. It is likely, however, that the accident did affect to some extent her ability to perform her work and that upon losing that employment she would require a reasonable time to train for and to seek alternative employment. I would assess that reasonable time period as six months and the income loss to be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noted above, it is my conclusion that in the summer of 1994, Ms. Engel's pre-existing psychological illness set her back substantially. I have found that this setback was not caused by the accidents. As a result any past loss of income after that date and any future loss of income cannot, in my opinion, be attributed to the accidents. Similarly the claim for the cost of future care cannot be attributed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Special damages were not itemized. It was agreed that counsel would seek to settle this matter and failing agreement would have leave to speak to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summary, Ms. Engel will be entitled to damages as follows:</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in the amount of $50,000;</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in the amount of $15,000;</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as agreed between counsel or to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adjournment of the trial on March 29, 1999, I awarded the defendants costs of the day in any event of the cause but left the issue of other costs thrown away until argument at the end of the trial. If counsel are unable to settle this matter and other issues relating to costs they may arrange to speak to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0"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Gengenbacher v. Smith, [2016] B.C.J. No. 1337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13-4479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1337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1164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Daniel Gengenbacher, Plaintiff, and Dennis Emmerson Smith and S &amp; V Planning Corporation, Defendants, and Jeremy G. Carr,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1"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7" w:name="Keywords_24"/>
      <w:bookmarkEnd w:id="157"/>
      <w:r>
        <w:rPr>
          <w:rFonts w:ascii="arial" w:eastAsia="arial" w:hAnsi="arial" w:cs="arial"/>
          <w:b/>
          <w:color w:val="000000"/>
          <w:sz w:val="20"/>
          <w:lang w:val="en-US" w:eastAsia="en-US" w:bidi="ar-SA"/>
        </w:rPr>
        <w:t>Civil litigation — Civil procedure — Parties — Parties under disability — Children or incompetent persons — Adding or substituting — Pleadings — Amendment of — Statement of claim — Application by Gengenbacher to add his former lawyer and law firm ("lawyer") as defendants to action, to amend his Notice of Civil Claim, and to appoint litigation guardian to conduct action on his behalf allowed — Gengenbacher alleged that defendants represented to him that they had knowledge of superb investment, and that based on this representation, he invested large sum of money and lost it all — Lawyer invested funds in bonds — It was possible that it existed between Gengenbacher and lawyer question or issue related to Gengenbacher's claim for relief — Leave was not required for amendments sought Rule 6-2(7)(c).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8" w:name="Case Summary_20"/>
            <w:bookmarkEnd w:id="1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Gengenbacher to add his former lawyer and law firm (the "lawyer") as defendants to the action, to amend his Notice of Civil Claim, and to appoint a litigation guardian to conduct the action on his behalf. Gengenbacher alleged that the defendants represented to him that they had knowledge of a superb investment, and that based on this representation, he invested a large sum of money and lost it all. The proposed amendments largely involved allegations against Gengenbacher's former lawyer. The lawyer invested the funds in bonds. In the proposed amendments, Gengenbacher alleged that the lawyer was retained to prosecute a claim for damages for personal injury arising from a motor vehicle accident, and that the lawyer breached his contractual and common law duties. Counsel for Gengenbacher prepared a certificate of fitness certifying that Gengenbacher was a mentally incompetent person. The present defendants did not respond to the Notice of Application, and the proposed new defendants opposed all relief.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9" w:name="Holdings of Court_18"/>
            <w:bookmarkEnd w:id="15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ordered that the lawyer and the law firm be added as defendants in the action. It was ordered that Evans be appointed as litigation guardian for Gengenbacher. As no notice of trial had been served, leave was not required for the amendments sought. It was possible that it existed between Gengenbacher and the lawyer a question or issue related to Gengenbacher's claim for relief against the defendants at least insofar as the defendant plead that the lawyer was a sophisticated investor, and that they advised the lawyer, in his capacity as agent or trustee for Gengenbacher, of the risks in the investment. It would be manifestly just and convenient to determine the issues between Gengenbacher and the lawyer at the same time as the issues between Gengenbacher and the defendant, as the acts or omissions on the part of the lawyer acting as agent or attorney for Gengenbacher pleaded by the defendant could defeat Gengenbacher's claims against the defendant. It was clear that Gengenbacher sought to add a number of issues of no concern or risk to the defendant, and that those issues would prolong both the pre-trial processes of discovery and the trial itself. However, the defendants waived any such prejudice.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0" w:name="Counsel_24"/>
      <w:bookmarkEnd w:id="1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2"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R.S. Margetts,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 Foley.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and Carr Buchan &amp; Associates: M.G. Armstrong,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1" w:name="Judgment_24"/>
      <w:bookmarkEnd w:id="161"/>
      <w:r>
        <w:pict>
          <v:line id="_x0000_s1143" style="position:absolute;z-index:2517862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2" w:name="R. JOHNSTON J."/>
            <w:bookmarkEnd w:id="162"/>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to add his former lawyer, Mr. Carr, and Mr. Carr's law firm, Carr Buchan &amp; Associates (hereinafter the "lawyer"), as defendants to this action, to amend his Notice of Civil Claim, and to appoint a litigation guardian to conduct this action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present defendants did not respond to the Notice of Application although counsel attended by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proposed new defendant opposes all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December 31, 2013, Mr. Gengenbacher sued Mr. Smith and his company S &amp; V Planning Corporation ("S &amp; V"), alleging that he had engaged Smith and S &amp; V to provide investment advice, and that the defendants had advised him to invest in securities offered by Proforma Capital Bond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Gengenbacher alleged that the defendants represented to him that they had knowledge of and a long-term relationship with someone named Frost and Proforma, and knew them to be highly competent and trustworthy, that the defendants, Frost and Proforma had done the due diligence necessary to advise Mr. Gengenbacher of the sustainability of the investment as a "superb investment", which the defendants told Mr. Gengenbacher was risk-free because of available optional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Gengenbacher pleaded that he relied on the advice, invested $600,000, and lost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proposed amendments largely involve allegations against Mr. Gengenbacher's former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proposed amendments, Mr. Gengenbacher alleges:</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solicitor-client relationship with his former lawyer;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Through a </w:t>
      </w:r>
      <w:r>
        <w:rPr>
          <w:rFonts w:ascii="arial" w:eastAsia="arial" w:hAnsi="arial" w:cs="arial"/>
          <w:i/>
          <w:color w:val="000000"/>
          <w:sz w:val="20"/>
          <w:lang w:val="en-US" w:eastAsia="en-US" w:bidi="ar-SA"/>
        </w:rPr>
        <w:t>guardian ad litem</w:t>
      </w:r>
      <w:r>
        <w:rPr>
          <w:rFonts w:ascii="arial" w:eastAsia="arial" w:hAnsi="arial" w:cs="arial"/>
          <w:color w:val="000000"/>
          <w:sz w:val="20"/>
          <w:lang w:val="en-US" w:eastAsia="en-US" w:bidi="ar-SA"/>
        </w:rPr>
        <w:t>, he being a minor at the time, the lawyer and his firm were retained to prosecute a claim for damages for personal injury arising from a motor vehicle accident on his behalf;</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he lacked the capacity to understand and manage his affairs and was incapable of sustaining reasonably continuous gainful employment;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former lawyer knew this;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reached his majority on February 10, 2008, and that the lawyer "presumed to take instructions on his behalf" to further the retainer;</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Implied terms of the contractual arrangement with his former lawyer included that the lawyer would use all due care, skill and diligence in prosecuting his personal injury claim;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Additionally, the lawyer owed a common law duty of care;</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 breached his contractual and common law duties by:</w:t>
      </w:r>
    </w:p>
    <w:p>
      <w:pPr>
        <w:numPr>
          <w:numId w:val="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fully explore the extent of his losses arising from the accident;</w:t>
      </w:r>
    </w:p>
    <w:p>
      <w:pPr>
        <w:numPr>
          <w:numId w:val="1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ascertain the insurance limits available;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structure a settlement in his best interests;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advising him to settle his claims for $1,000,000.00 all-inclusive;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obtain the approval of the proposed settlement from the Public Guardian and Trustee; 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advising him to retain the lawyer and his firm to manage settlement funds on his behalf.</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contemplation of settlement, the lawyer had Mr. Gengenbacher sign a new contingent fee agreement that does not comply with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and the Rules of the Law Society;</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Shortly afterward the lawyer settled Mr. Gengenbacher's claims for the all-inclusive $1,000,000.00;</w:t>
      </w:r>
    </w:p>
    <w:p>
      <w:pPr>
        <w:numPr>
          <w:numId w:val="1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contingent fee agreement is null and void;</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the lawyer knew or ought to have known that Mr. Gengenbacher lacked capacity to instruct counsel, or otherwise exercise judgment in relation to the claims or accounts in issue and possible settlement;</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Mr. Gengenbacher was vulnerable and put his trust in his lawyer to protect his interests.</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 rendered an account that exceeded the percentage provided in the contingent fee agreement;</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contingent fee agreement and the account were not reasonable in all the circumstances, and in particular the contingent fee agreement was excessive relative to the risk, value and complexity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proposed amendments then turn to allegations arising after settlement of Mr. Gengenbacher's personal injury claim, alleging:</w:t>
      </w:r>
      <w:r>
        <w:rPr>
          <w:rFonts w:ascii="arial" w:eastAsia="arial" w:hAnsi="arial" w:cs="arial"/>
          <w:sz w:val="20"/>
          <w:lang w:val="en-US" w:eastAsia="en-US" w:bidi="ar-SA"/>
        </w:rPr>
        <w:cr/>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 had Mr. Gengenbacher sign a Power of Attorney appointing the lawyer as his attorney;</w:t>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 of Attorney is null and void;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 retained $625,770.59 in trust for Mr. Gengenbacher after deduction of his fees and disbursements;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 invested $600,000 of Mr. Gengenbacher's funds in bonds issued by Proforma Capital Bond Corporation;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investment was made through the existing defendants Smith and S &amp; V;</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done under the authority of the Power of Attorney;</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Gengenbacher does not know the full particulars of what he terms an "Investment Retainer" between the lawyer and the existing defendants;</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the defendants and the lawyer knew or ought to have known of Mr. Gengenbacher's circumstances and the need to exercise all reasonable prudence, care and skill with regard to investing his money;</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Smith and S &amp; V knew or ought reasonably to have known of Mr. Gengenbacher's particular vulnerability and understood and anticipated that Mr. Gengenbacher would repose trust and confidence in the defendants and all of them;</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existing defendants and the lawyer were fiduciaries and owed Mr. Gengenbacher fiduciary duties;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not qualified, licensed or capable of advising, managing, investing or otherwise acting in a financial and fiduciary capacity with respect to the settlement funds on Mr. Gengenbacher's behalf;</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failed to exercise care, skill and diligence in determining to invest in their capacities as barrister and solicitor, Power of Attorney, and/or financial and investment advisor;</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obtain appropriate information and consider Mr. Gengenbacher's financial circumstances in investing his funds;</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include but are not restricted to:</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undertake reasonable or any due diligence with respect to the nature of, and risks associated with, investment of Mr. Gengenbacher's settlement money;</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complete or otherwise consider a "Know Your Client" form;</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or otherwise obtain a Risk Acknowledgement form;</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meet an appropriate diversity with respect to the investment;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investing in market exempt securities.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Smith and S &amp; V knew or should have known that Mr. Gengenbacher was incapable, and they failed to exercise reasonable due diligence in acting on the Power of Attorney and in investing his funds without independently evaluating the suitability of the investment in light of his particular circumstances;</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about early 2012 Proforma failed and Mr. Gengenbacher's investment was lost;</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2013, the original action was commenced by the lawyer without Mr. Gengenbacher's knowledge or consent;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2013 the defendants Smith and S &amp; V filed a Third Party claim against the lawyer;</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December 22, 2014 the lawyer informed Mr. Gengenbacher that his money had been lost and the lawyer could no longer act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Gengenbacher proposes to claim this relief in the proposed amended Notice of Civil Claim:</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contingent fee agreement is null and void;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power of attorney is null and void;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and special damages;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Accounting and disgorgement of profit;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any profits of the defendants are held in constructive trust by them for his benefit;</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leave for Mr. Gengenbacher to have the lawyer's accounts reviewed by the Registrar;</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 damages for breach of contract,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at the [contingent fee] contract rate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Accounting;</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Tracing;</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or ordinary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will deal first with the application to substitute a litigation guardian, a Mr. Evens, on behalf of Mr. Gengenbacher. Mr. Evens has signed a consent stating that he is Mr. Gengenbacher's brother, undertakes to be responsible for the costs of the proceeding, and has no interest in the proceeding adverse to that of Mr. Gengenbacher.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Mr. Gengenbacher has prepared a certificate of fitness, in the terms required by Rule 20-2(8), certifying that Mr. Gengenbacher is a mentally incompetent person, and setting out the bases of that belief. Those bases include meetings and telephone conversations with Mr. Gengenbacher since 2014, and review of medical reports from a psychiatrist, a neurologist and Alberta government employees, all from between 2008 and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Counsel for the lawyer points to the age of the medical information on which the certificate is partly based, and is concerned that any order made with respect to appointing a litigation guardian not become either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in any later proceedings between Mr. Gengenbacher and his former lawyer, or influence any findings of fact in any later proceedings. The concern is that the order might be taken as a finding of Mr. Gengenbacher's capacity that might somehow be applied retrospectively.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view, the Rules with respect to conducting litigation through a litigation guardian clearly leave any assessment of capacity to counsel: the court does not inquire into capacity, nor does the court rule on capacity. It is enough that a lawyer, as an officer of the court, certify that a person is "a mentally incompetent person," in the words of Rule 20-2(8).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If this were a fresh action, no order would be required. Sub-rule (2) provides that no action may be by or against a person under legal disability except by his or her litigation guardian. "Person under legal disability" is a necessarily broader term than "mentally incompetent person" so as to permit infants to engage in litigation while minors. In </w:t>
      </w:r>
      <w:r>
        <w:rPr>
          <w:rFonts w:ascii="arial" w:eastAsia="arial" w:hAnsi="arial" w:cs="arial"/>
          <w:i/>
          <w:color w:val="000000"/>
          <w:sz w:val="20"/>
          <w:lang w:val="en-US" w:eastAsia="en-US" w:bidi="ar-SA"/>
        </w:rPr>
        <w:t>E.M.E. v. D.A.W.,</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2003 BCSC 1878</w:t>
        </w:r>
      </w:hyperlink>
      <w:r>
        <w:rPr>
          <w:rFonts w:ascii="arial" w:eastAsia="arial" w:hAnsi="arial" w:cs="arial"/>
          <w:color w:val="000000"/>
          <w:sz w:val="20"/>
          <w:lang w:val="en-US" w:eastAsia="en-US" w:bidi="ar-SA"/>
        </w:rPr>
        <w:t>, the court held at para. 16 that persons under legal disability for the purposes of Rule 20-2 were infants or mentally incompetent persons, based on a reading of the Rule as a whole. I note that sub-rule (12) contemplates a litigant who attains majority during the litigation, and who is "then under no legal disability" of assuming conduct of their litigation on filing an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Sub-rule (10) contemplates court involvement in this question only if a litigant becomes a mentally incompetent person while a party to a proceeding, in which case the court must appoint a litigation guardian if no committee has been appointed or the litigant has not nominated a representative under the </w:t>
      </w:r>
      <w:r>
        <w:rPr>
          <w:rFonts w:ascii="arial" w:eastAsia="arial" w:hAnsi="arial" w:cs="arial"/>
          <w:i/>
          <w:color w:val="000000"/>
          <w:sz w:val="20"/>
          <w:lang w:val="en-US" w:eastAsia="en-US" w:bidi="ar-SA"/>
        </w:rPr>
        <w:t>Representation Agreement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405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E.M.E. v. D.A.W.,</w:t>
      </w:r>
      <w:r>
        <w:rPr>
          <w:rFonts w:ascii="arial" w:eastAsia="arial" w:hAnsi="arial" w:cs="arial"/>
          <w:color w:val="000000"/>
          <w:sz w:val="20"/>
          <w:lang w:val="en-US" w:eastAsia="en-US" w:bidi="ar-SA"/>
        </w:rPr>
        <w:t xml:space="preserve"> does not require an inquiry into mental capacity in every case, as in there it was an opposing party seeking appointment of a litigation guardian for a self-represented litigant, with neither a lawyer's certificate nor consent of a proposed litigation guardian. In my view, the court can accept the certificate of one of its officers, even in the midst of an action, without having to go behind that certificate or requiring evidence to support it. Otherwise, a represented party might be exposed to collateral proceedings or inquiries, additional expense of expert opinions on mental capacity, or, in a worst case, investigation or examination by opposing counsel into capacity in the middle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filing a signed certificate of fitness, I order the appointment of Mr. Evens as litigation guardian for Mr. Gengenbacher.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Joinder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Gengenbacher relies on Rule 6-2(7)(b) and (c):</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Rule was explored in </w:t>
      </w:r>
      <w:r>
        <w:rPr>
          <w:rFonts w:ascii="arial" w:eastAsia="arial" w:hAnsi="arial" w:cs="arial"/>
          <w:i/>
          <w:color w:val="000000"/>
          <w:sz w:val="20"/>
          <w:lang w:val="en-US" w:eastAsia="en-US" w:bidi="ar-SA"/>
        </w:rPr>
        <w:t>Delta Sunshine Taxi (1972) Ltd. v. Vancouver (City)</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2014 BCSC 2100</w:t>
        </w:r>
      </w:hyperlink>
      <w:r>
        <w:rPr>
          <w:rFonts w:ascii="arial" w:eastAsia="arial" w:hAnsi="arial" w:cs="arial"/>
          <w:color w:val="000000"/>
          <w:sz w:val="20"/>
          <w:lang w:val="en-US" w:eastAsia="en-US" w:bidi="ar-SA"/>
        </w:rPr>
        <w:t xml:space="preserve"> at paras. 12-14: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addition of parties under Rule 6-2(7) is a matter of discretion, to be exercised generously to allow effective determination of the issues, without delay, inconvenience or separate hearings (</w:t>
      </w:r>
      <w:r>
        <w:rPr>
          <w:rFonts w:ascii="arial" w:eastAsia="arial" w:hAnsi="arial" w:cs="arial"/>
          <w:i/>
          <w:color w:val="000000"/>
          <w:sz w:val="20"/>
          <w:lang w:val="en-US" w:eastAsia="en-US" w:bidi="ar-SA"/>
        </w:rPr>
        <w:t>Schooff v. Medical Services Commission</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2009 BCSC 1596</w:t>
        </w:r>
      </w:hyperlink>
      <w:r>
        <w:rPr>
          <w:rFonts w:ascii="arial" w:eastAsia="arial" w:hAnsi="arial" w:cs="arial"/>
          <w:color w:val="000000"/>
          <w:sz w:val="20"/>
          <w:lang w:val="en-US" w:eastAsia="en-US" w:bidi="ar-SA"/>
        </w:rPr>
        <w:t xml:space="preserve"> at para. 199 (</w:t>
      </w:r>
      <w:r>
        <w:rPr>
          <w:rFonts w:ascii="arial" w:eastAsia="arial" w:hAnsi="arial" w:cs="arial"/>
          <w:i/>
          <w:color w:val="000000"/>
          <w:sz w:val="20"/>
          <w:lang w:val="en-US" w:eastAsia="en-US" w:bidi="ar-SA"/>
        </w:rPr>
        <w:t>Schooff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Ipsos S.A. et al. v. Angus Reid et al.</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2005 BCSC 1114</w:t>
        </w:r>
      </w:hyperlink>
      <w:r>
        <w:rPr>
          <w:rFonts w:ascii="arial" w:eastAsia="arial" w:hAnsi="arial" w:cs="arial"/>
          <w:color w:val="000000"/>
          <w:sz w:val="20"/>
          <w:lang w:val="en-US" w:eastAsia="en-US" w:bidi="ar-SA"/>
        </w:rPr>
        <w:t xml:space="preserve"> at para. 107).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Rule 6-2(7)(b) applies when a person "ought" to have been joined as a party or where a person's "participation in the proceeding is necessary to ensure that all matters in the proceeding may be effectively adjudicated on." As stated in </w:t>
      </w:r>
      <w:r>
        <w:rPr>
          <w:rFonts w:ascii="arial" w:eastAsia="arial" w:hAnsi="arial" w:cs="arial"/>
          <w:i/>
          <w:color w:val="000000"/>
          <w:sz w:val="20"/>
          <w:lang w:val="en-US" w:eastAsia="en-US" w:bidi="ar-SA"/>
        </w:rPr>
        <w:t>Kitimat</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[2006] B.C.J. No. 3179</w:t>
        </w:r>
      </w:hyperlink>
      <w:r>
        <w:rPr>
          <w:rFonts w:ascii="arial" w:eastAsia="arial" w:hAnsi="arial" w:cs="arial"/>
          <w:color w:val="000000"/>
          <w:sz w:val="20"/>
          <w:lang w:val="en-US" w:eastAsia="en-US" w:bidi="ar-SA"/>
        </w:rPr>
        <w:t xml:space="preserve"> at para. 28, if either of these tests is met, the person should be joined.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"Ought" is a broader concept than "necessary" and includes situations in which joining the person may be more than mere convenience but less than necessity (</w:t>
      </w:r>
      <w:r>
        <w:rPr>
          <w:rFonts w:ascii="arial" w:eastAsia="arial" w:hAnsi="arial" w:cs="arial"/>
          <w:i/>
          <w:color w:val="000000"/>
          <w:sz w:val="20"/>
          <w:lang w:val="en-US" w:eastAsia="en-US" w:bidi="ar-SA"/>
        </w:rPr>
        <w:t>Kitimat</w:t>
      </w:r>
      <w:r>
        <w:rPr>
          <w:rFonts w:ascii="arial" w:eastAsia="arial" w:hAnsi="arial" w:cs="arial"/>
          <w:color w:val="000000"/>
          <w:sz w:val="20"/>
          <w:lang w:val="en-US" w:eastAsia="en-US" w:bidi="ar-SA"/>
        </w:rPr>
        <w:t xml:space="preserve"> at para. 29). Necessary parties are those whose direct interests might be affected by the relief sought (</w:t>
      </w:r>
      <w:r>
        <w:rPr>
          <w:rFonts w:ascii="arial" w:eastAsia="arial" w:hAnsi="arial" w:cs="arial"/>
          <w:i/>
          <w:color w:val="000000"/>
          <w:sz w:val="20"/>
          <w:lang w:val="en-US" w:eastAsia="en-US" w:bidi="ar-SA"/>
        </w:rPr>
        <w:t>Canadian Labour Congress v. Bhindi</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(1985), 61 B.C.L.R. 85</w:t>
        </w:r>
      </w:hyperlink>
      <w:r>
        <w:rPr>
          <w:rFonts w:ascii="arial" w:eastAsia="arial" w:hAnsi="arial" w:cs="arial"/>
          <w:color w:val="000000"/>
          <w:sz w:val="20"/>
          <w:lang w:val="en-US" w:eastAsia="en-US" w:bidi="ar-SA"/>
        </w:rPr>
        <w:t xml:space="preserve"> at 94 (C.A.) (</w:t>
      </w:r>
      <w:r>
        <w:rPr>
          <w:rFonts w:ascii="arial" w:eastAsia="arial" w:hAnsi="arial" w:cs="arial"/>
          <w:i/>
          <w:color w:val="000000"/>
          <w:sz w:val="20"/>
          <w:lang w:val="en-US" w:eastAsia="en-US" w:bidi="ar-SA"/>
        </w:rPr>
        <w:t>Canadian Labour Congress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Kitimat</w:t>
      </w:r>
      <w:r>
        <w:rPr>
          <w:rFonts w:ascii="arial" w:eastAsia="arial" w:hAnsi="arial" w:cs="arial"/>
          <w:color w:val="000000"/>
          <w:sz w:val="20"/>
          <w:lang w:val="en-US" w:eastAsia="en-US" w:bidi="ar-SA"/>
        </w:rPr>
        <w:t xml:space="preserve"> at paras. 30-32). In </w:t>
      </w:r>
      <w:r>
        <w:rPr>
          <w:rFonts w:ascii="arial" w:eastAsia="arial" w:hAnsi="arial" w:cs="arial"/>
          <w:i/>
          <w:color w:val="000000"/>
          <w:sz w:val="20"/>
          <w:lang w:val="en-US" w:eastAsia="en-US" w:bidi="ar-SA"/>
        </w:rPr>
        <w:t>Kitimat,</w:t>
      </w:r>
      <w:r>
        <w:rPr>
          <w:rFonts w:ascii="arial" w:eastAsia="arial" w:hAnsi="arial" w:cs="arial"/>
          <w:color w:val="000000"/>
          <w:sz w:val="20"/>
          <w:lang w:val="en-US" w:eastAsia="en-US" w:bidi="ar-SA"/>
        </w:rPr>
        <w:t xml:space="preserve"> the petitioners sought to quash a decision of the province that authorized Alcan Inc. ("Alcan") to sell hydro power that it produced for use outside of Kitimat's aluminum industry, without adding Alcan as a party. The Court found that Alcan ought to have been joined and that Alcan was a necessary party because a binding order would limit the instruments held by Alcan, without its participation. In other words, the effect of the petition could be to limit the ability of Alcan to sell the hydro power it produced, so affecting the value of the power and the financial interests of Alcan.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Rule 6-2(7)(c), the court said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Under Rule 6-2(7)(c), the applicants must show that there exists, among themselves and any party to the proceeding, a question or issue connected with either the relief claimed in the proceeding or the subject matter of the proceeding such that it is just and convenient that they be added. In </w:t>
      </w:r>
      <w:r>
        <w:rPr>
          <w:rFonts w:ascii="arial" w:eastAsia="arial" w:hAnsi="arial" w:cs="arial"/>
          <w:i/>
          <w:color w:val="000000"/>
          <w:sz w:val="20"/>
          <w:lang w:val="en-US" w:eastAsia="en-US" w:bidi="ar-SA"/>
        </w:rPr>
        <w:t>Kitimat</w:t>
      </w:r>
      <w:r>
        <w:rPr>
          <w:rFonts w:ascii="arial" w:eastAsia="arial" w:hAnsi="arial" w:cs="arial"/>
          <w:color w:val="000000"/>
          <w:sz w:val="20"/>
          <w:lang w:val="en-US" w:eastAsia="en-US" w:bidi="ar-SA"/>
        </w:rPr>
        <w:t xml:space="preserve"> at paras. 24 and 35, Saunders J.A. evoked common law theory about the character of this Rule that is neither clearly defined nor founded upon positive and uniform principle, but is responsive to reasoning, considerations of convenience and expediency, and the dictates of natural justice. Because the petitioning District of Kitimat in </w:t>
      </w:r>
      <w:r>
        <w:rPr>
          <w:rFonts w:ascii="arial" w:eastAsia="arial" w:hAnsi="arial" w:cs="arial"/>
          <w:i/>
          <w:color w:val="000000"/>
          <w:sz w:val="20"/>
          <w:lang w:val="en-US" w:eastAsia="en-US" w:bidi="ar-SA"/>
        </w:rPr>
        <w:t>Kitimat</w:t>
      </w:r>
      <w:r>
        <w:rPr>
          <w:rFonts w:ascii="arial" w:eastAsia="arial" w:hAnsi="arial" w:cs="arial"/>
          <w:color w:val="000000"/>
          <w:sz w:val="20"/>
          <w:lang w:val="en-US" w:eastAsia="en-US" w:bidi="ar-SA"/>
        </w:rPr>
        <w:t xml:space="preserve"> sought remedies that would render invalid provincial instruments in favour of Alcan and that would restrict the range of uses to which Alcan could put the power that it generated, there was an issue between them related both to the relief claimed in the proceeding and to the subject matter of the proceeding. After referring in paragraph 37 to words of Lord Denning quoted in another case to the effect that a third party should be added if he is directly affected "in his legal rights or in his pocket", the learned jurist said at paragraph 38: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[38] In the same way, it would be most unjust if Alcan were bound to stand idly by watching the District of Kitimat and Mayor Wozney obtain judgment against the Province without its participation in the litigation, when it is Alcan who will directly suffer the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considered the previous version of the Rule, 15(5)(a)(ii) and (iii), which were in the same terms as present rule 6-2(7). Dealing with former Rule 15(5)(a)(ii), the court said at paras. 17 and 18:</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leading authority on this rule is </w:t>
      </w:r>
      <w:r>
        <w:rPr>
          <w:rFonts w:ascii="arial" w:eastAsia="arial" w:hAnsi="arial" w:cs="arial"/>
          <w:i/>
          <w:color w:val="000000"/>
          <w:sz w:val="20"/>
          <w:lang w:val="en-US" w:eastAsia="en-US" w:bidi="ar-SA"/>
        </w:rPr>
        <w:t>Enterprise Realty Ltd. v. Barnes Lake Cattle Co. Ltd.</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(1979), 13 B.C.L.R. 293</w:t>
        </w:r>
      </w:hyperlink>
      <w:r>
        <w:rPr>
          <w:rFonts w:ascii="arial" w:eastAsia="arial" w:hAnsi="arial" w:cs="arial"/>
          <w:color w:val="000000"/>
          <w:sz w:val="20"/>
          <w:lang w:val="en-US" w:eastAsia="en-US" w:bidi="ar-SA"/>
        </w:rPr>
        <w:t xml:space="preserve"> (C.A.), which settled the question whether the rule should be given a broad or a narrow construction. Lambert J.A. for the court held that the narrow construction must continue to prevail. In so doing, he applied the reasoning of Devlin J. (as he then was) in </w:t>
      </w:r>
      <w:r>
        <w:rPr>
          <w:rFonts w:ascii="arial" w:eastAsia="arial" w:hAnsi="arial" w:cs="arial"/>
          <w:i/>
          <w:color w:val="000000"/>
          <w:sz w:val="20"/>
          <w:lang w:val="en-US" w:eastAsia="en-US" w:bidi="ar-SA"/>
        </w:rPr>
        <w:t>Amon v. Raphael Tuck &amp; Sons Ltd.</w:t>
      </w:r>
      <w:r>
        <w:rPr>
          <w:rFonts w:ascii="arial" w:eastAsia="arial" w:hAnsi="arial" w:cs="arial"/>
          <w:color w:val="000000"/>
          <w:sz w:val="20"/>
          <w:lang w:val="en-US" w:eastAsia="en-US" w:bidi="ar-SA"/>
        </w:rPr>
        <w:t>, [1956] 1 Q.B. 357. Lambert J.A. said at 298:</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propose to turn first to the English cases. In </w:t>
      </w:r>
      <w:r>
        <w:rPr>
          <w:rFonts w:ascii="arial" w:eastAsia="arial" w:hAnsi="arial" w:cs="arial"/>
          <w:i/>
          <w:color w:val="000000"/>
          <w:sz w:val="20"/>
          <w:lang w:val="en-US" w:eastAsia="en-US" w:bidi="ar-SA"/>
        </w:rPr>
        <w:t>Amon v. Raphael Tuck &amp; Sons Ltd.</w:t>
      </w:r>
      <w:r>
        <w:rPr>
          <w:rFonts w:ascii="arial" w:eastAsia="arial" w:hAnsi="arial" w:cs="arial"/>
          <w:color w:val="000000"/>
          <w:sz w:val="20"/>
          <w:lang w:val="en-US" w:eastAsia="en-US" w:bidi="ar-SA"/>
        </w:rPr>
        <w:t>, [1956] 1 Q.B. 357, [1956] 1 All E.R. 273, in a most thorough historical analysis of the jurisprudence, Devlin J. concluded that the first condition, "ought to have been joined", had its origin in common law, with its relatively simple remedies, and applied to cases such as joint contractors and that the second condition, "necessary that all matters in the proceeding be effectually adjudicated", had its origin in equity, with its more complex remedies, and that it covered cases where a remedy such as specific performance could not be awarded without additional parties being added to make the remedy effective. Devlin J. then traced the two lines of authority and decided that the narrow construction was to be preferred. He did so for what I consider to be five reasons.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passage illustrates the kind of issues which may be taken into account in deciding whether the application is within subrule (ii). The gist of the matter is that the plaintiff must establish either that the persons sought to be added "ought to have been joined as a party" or that their "participation in the proceeding is necessary" in order to permit the issues between the existing parties to be effectually adjudicated. Here, the issues to the point of the application were, as between the plaintiff and Dr. Finley, whether the latter had been negligent and, as between the plaintiff and the Hospital, whether it was vicariously liable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perhaps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others. Those issues could have been effectually adjudicated between the original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 That is not to say that if Drs. Fenwick and Evans had been joined as defendants at the outset, that would have been an improper joinder. But that is an entirely different question from that as to whether they ought to have been joined or whether their joinder was necessary in order for the issues between the original parties to be adjudicated upon. The chambers judge having erred in holding that subrule (ii) applied, no element of discretion arises. That finding must be set aside on the basis that there was no jurisdiction to add the parties under subrule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And with respect to sub-rule (iii), after pointing out that it had been conceded that there existed between the new defendants and original parties a question or issue connected with the relief claimed in the action or with the subject matter of the action, the court turned to the discretion conferred by the "just and convenient" test, and considered the guidelines set out in its previous decision in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It was a factor there that adding a new defendant might deprive that party of an accrued limitation defence, a factor that was developed more fully in </w:t>
      </w:r>
      <w:r>
        <w:rPr>
          <w:rFonts w:ascii="arial" w:eastAsia="arial" w:hAnsi="arial" w:cs="arial"/>
          <w:i/>
          <w:color w:val="000000"/>
          <w:sz w:val="20"/>
          <w:lang w:val="en-US" w:eastAsia="en-US" w:bidi="ar-SA"/>
        </w:rPr>
        <w:t>McIntosh v. Nilsson Bros. Inc.</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There are no limitation concerns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Gengenbacher points out that Smith and S &amp; V have denied liability, and that they have pleaded:</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Smith did not meet with or speak to Mr. Gengenbacher directly;</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Smith told the lawyer that the Proforma investment was not his considered investment advice for Mr. Gengenbacher;</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Smith reasonably and properly rated the lawyer as a sophisticated investor;</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Smith advised the lawyer, in his capacity as agent or trustee for Mr. Gengenbacher, that the investment was risky and might be completely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Prior to purchasing the investment on behalf of Mr. Gengenbacher, the lawyer had purchased the investment on his own account;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Smith and S &amp; V did not intend to, nor did they, create contractual relations with Mr. Gengenbacher;</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valuable consideration passed from Mr. Gengenbacher to Smith and S &amp; V;</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terms agreed between Mr. Gengenbacher and Smith and S &amp; V;</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any losses (denied) were caused by the fault of Mr. Gengenbacher, the lawyer, or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Smith and S &amp; V plead that Mr. Gengenbacher and the lawyer were each at fault, for much the same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the lawyer ought to have been joined as a party when the action was brought. On the pleadings, it seems reasonably clear that most if not all of the dealings between Smith and S &amp; V, on the one hand, and Mr. Gengenbacher, on the other, were in fact dealings between Smith and S &amp; V and the lawyer, acting as agent or attorney for Mr. Gengenbacher in the investment of Mr. Gengenbacher's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not convinced that the lawyer's participation as a party in the proceeding is necessary to ensure that all matters in the proceeding may be effectually adjudicated. It seems to me that Mr. Gengenbacher's claims against Smith and S &amp; V can be as effectually adjudicated with the lawyer as a witness 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to sub-rule (c), I conclude that there may exist between Mr. Gengenbacher and the lawyer a question or issue related to Mr. Gengenbacher's claim for relief against Smith and S &amp; V, at least insofar as Smith and S &amp; V plead that the lawyer was a sophisticated investor, and that they advised the lawyer, in his capacity as agent or trustee for Mr. Gengenbacher, of the risks in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That finding invokes a discretionary inquiry conferred by sub-rule (c) into the question of whether it would be just and convenient to determine the issues referred to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most compelling argument on behalf of the lawyer arises out of the nature of the claims Mr. Gengenbacher seeks to raise against him if he is joined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are two broad categories of amendments sought by Mr. Gengenbacher: the first are those necessary to add Mr. Gengenbacher's claims against the lawyer to those already brought against Smith and S &amp; V; the second are amendments sought to raise claims that are purely between Mr. Gengenbacher and his former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this category are the allegations that the contingent fee agreement was void or unreasonable, that the Power of Attorney was void, that the settlement of Mr. Gengenbacher's damages claim was improvident, and that the fees and disbursements charged by the lawyer were excessive, unreasonable, or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These two broad categories are divided at or shortly after the settlement of Mr. Gengenbacher's damages claim, and the deduction from the settlement amount of the lawyer's claimed fees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Counsel for the lawyer cited </w:t>
      </w:r>
      <w:r>
        <w:rPr>
          <w:rFonts w:ascii="arial" w:eastAsia="arial" w:hAnsi="arial" w:cs="arial"/>
          <w:i/>
          <w:color w:val="000000"/>
          <w:sz w:val="20"/>
          <w:lang w:val="en-US" w:eastAsia="en-US" w:bidi="ar-SA"/>
        </w:rPr>
        <w:t>Zymtech Development Inc. v. Sport Central Enterprises Ltd.</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2004 BCSC 309</w:t>
        </w:r>
      </w:hyperlink>
      <w:r>
        <w:rPr>
          <w:rFonts w:ascii="arial" w:eastAsia="arial" w:hAnsi="arial" w:cs="arial"/>
          <w:color w:val="000000"/>
          <w:sz w:val="20"/>
          <w:lang w:val="en-US" w:eastAsia="en-US" w:bidi="ar-SA"/>
        </w:rPr>
        <w:t>. In that case the plaintiff sought to add a lawyer retained to draw up documents for the investment deal at the heart of the litigation. In dismissing the plaintiff's application, the court made the following comments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my view, it is only in rare instances that questions of breaches of duty owed by professionals should be joined in other causes of action. Causes of action based on what may be known as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are so unique that, generally speaking, they ought to be tried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clear that Mr. Gengenbacher seeks to add a number of issues of no concern or risk to Smith and S &amp; V, and that those issues will prolong both the pre-trial processes of discovery and the trial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Any prejudice flowing from expansion of issues, increase in complexity, or lengthening of trial would accrue to the defendants Smith and S &amp; V, and through counsel, those defendants waived any such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conclude that it would be manifestly just and convenient to determine the issues between Gengenbacher and the lawyer at the same time as the issues between Gengenbacher and Smith and S &amp; V, as the acts or omissions on the part of the lawyer acting as agent or attorney for Mr. Gengenbacher pleaded by Smith and S &amp; V could defeat Mr. Gengenbacher's claims against Smith and S &amp; 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order that Mr. Carr and the Carr Buchan law firm be added as defendants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Amendments to pleadings are governed by Rule 6-1, which states in sub-rule (1):</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Rules 6-2 (7) and (10) and 7-7 (5), a party may amend the whole or any part of a pleading filed by the party</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without leave of the court, at any time before service of the notice of trial, or</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notice of trial is served, only with</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of the court, or</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consent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no notice of trial has been served, leave is not required for the amendments sought; indeed, it is not clear that I have anything to say in the matter at this stage. Assuming the plaintiff makes the amendments he has a right to make, the defendants can decide which of the options that will be open to them to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Ordinary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4"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Knight v. Imperial Tobacco Canada Ltd., [2005] B.C.J. No. 216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Satanove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25 - 29,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L031300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250 D.L.R. (4th) 347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B.C.L.R. (4th) 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1004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Kenneth Knight, plaintiff, and Imperial Tobacco Canada Limited, defendant, and Her Majesty the Queen in Right of Canada,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5"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3" w:name="Keywords_25"/>
      <w:bookmarkEnd w:id="163"/>
      <w:r>
        <w:rPr>
          <w:rFonts w:ascii="arial" w:eastAsia="arial" w:hAnsi="arial" w:cs="arial"/>
          <w:b/>
          <w:color w:val="000000"/>
          <w:sz w:val="20"/>
          <w:lang w:val="en-US" w:eastAsia="en-US" w:bidi="ar-SA"/>
        </w:rPr>
        <w:t>Civil procedure — Parties — Class or representative actions — Certification — Members of class — Common interests — Commercial law — Consumer protection — Regulation of business practices — Advertising — Damages — For torts — Pure economic loss.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4" w:name="Case Summary_21"/>
            <w:bookmarkEnd w:id="1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proposed representative plaintiff, Knight, for certification of a class action against the defendant, Imperial Tobacco. The plaintiff alleged that the marketing of the defendant's light and mild cigarettes was false and misleading, contrary to the Trade Practices Act, because it conveyed the message that they were less harmful than regular cigarettes. The claim did not seek compensation for personal injuries, but rather for pure economic loss. The proposed class of plaintiffs included all persons who purchased the defendant's light and mild cigarettes in B.C. for personal, family or household use dating back to July 5, 1974, when the TPA came into force. Knight sought declaratory relief, a permanent injunction, publication of adverse findings against the defendant, disgorgement or restitution by the defendant, and general, punitive and exemplary damages. The action was commenced in 2003, and the TPA was repealed and replaced by the Business Practices and Consumer Protection Act in 2004.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5" w:name="Holdings of Court_19"/>
            <w:bookmarkEnd w:id="16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broad claims of the plaintiff should be allowed to proceed together as a single class action. Neither the substantive provisions of the BPCPA nor the transition provision deprived the plaintiff from continuing the action under the provisions of the TPA. The theories of causation and damages in this case might not succeed, but it was not plain and obvious that they would fail. The statement of claim disclosed a viable cause of action under the TPA prior to the enactment of the BPCPA, and a viable cause of action under the BPCPA thereafter. There was an identifiable class of plaintiffs. The proposed list of common issues met the requirements of the Class Proceedings Act. The quantum of damages could be readily determined for the class as a whole. Punitive damages did not require individual assessments. Whether the defendant concealed material facts was a common issue that would move the litigation forward. The common issues predominated over individual issues, such that the plaintiff should be allowed to pursue its allegations as common issues. This action was structured in a way that should be common to all class members. It was the preferable procedure to achieve a fair and efficient resolution of the proposed common issues. The plaintiff's litigation plan was adequate to try the common issues.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6" w:name="Legislation Cited_14"/>
      <w:bookmarkEnd w:id="1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6"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Practices and Consumer Protection Act, </w:t>
      </w:r>
      <w:hyperlink r:id="rId439" w:history="1">
        <w:r>
          <w:rPr>
            <w:rFonts w:ascii="arial" w:eastAsia="arial" w:hAnsi="arial" w:cs="arial"/>
            <w:i/>
            <w:color w:val="0077CC"/>
            <w:sz w:val="20"/>
            <w:u w:val="single"/>
            <w:shd w:val="clear" w:color="auto" w:fill="FFFFFF"/>
            <w:lang w:val="en-US" w:eastAsia="en-US" w:bidi="ar-SA"/>
          </w:rPr>
          <w:t>S.B.C. 2004, c. 2 ss. 4</w:t>
        </w:r>
      </w:hyperlink>
      <w:r>
        <w:rPr>
          <w:rFonts w:ascii="arial" w:eastAsia="arial" w:hAnsi="arial" w:cs="arial"/>
          <w:color w:val="000000"/>
          <w:sz w:val="20"/>
          <w:lang w:val="en-US" w:eastAsia="en-US" w:bidi="ar-SA"/>
        </w:rPr>
        <w:t>, 171, 171(1), 172, 172(3), 203.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Canada Business Corporations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440" w:history="1">
        <w:r>
          <w:rPr>
            <w:rFonts w:ascii="arial" w:eastAsia="arial" w:hAnsi="arial" w:cs="arial"/>
            <w:i/>
            <w:color w:val="0077CC"/>
            <w:sz w:val="20"/>
            <w:u w:val="single"/>
            <w:shd w:val="clear" w:color="auto" w:fill="FFFFFF"/>
            <w:lang w:val="en-US" w:eastAsia="en-US" w:bidi="ar-SA"/>
          </w:rPr>
          <w:t>R.S.B.C. 1996, c. 50, ss. 4(1)(a)</w:t>
        </w:r>
      </w:hyperlink>
      <w:r>
        <w:rPr>
          <w:rFonts w:ascii="arial" w:eastAsia="arial" w:hAnsi="arial" w:cs="arial"/>
          <w:color w:val="000000"/>
          <w:sz w:val="20"/>
          <w:lang w:val="en-US" w:eastAsia="en-US" w:bidi="ar-SA"/>
        </w:rPr>
        <w:t>, 4(1) (c), 4(1)(d), 4(2), 29, 30, 31, 33, 34,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1992, </w:t>
      </w:r>
      <w:hyperlink r:id="rId441" w:history="1">
        <w:r>
          <w:rPr>
            <w:rFonts w:ascii="arial" w:eastAsia="arial" w:hAnsi="arial" w:cs="arial"/>
            <w:i/>
            <w:color w:val="0077CC"/>
            <w:sz w:val="20"/>
            <w:u w:val="single"/>
            <w:shd w:val="clear" w:color="auto" w:fill="FFFFFF"/>
            <w:lang w:val="en-US" w:eastAsia="en-US" w:bidi="ar-SA"/>
          </w:rPr>
          <w:t>S.O. 1992, c. 6, s. 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Condominium Act, R.S.O. 1990, c.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hyperlink r:id="rId442" w:history="1">
        <w:r>
          <w:rPr>
            <w:rFonts w:ascii="arial" w:eastAsia="arial" w:hAnsi="arial" w:cs="arial"/>
            <w:i/>
            <w:color w:val="0077CC"/>
            <w:sz w:val="20"/>
            <w:u w:val="single"/>
            <w:shd w:val="clear" w:color="auto" w:fill="FFFFFF"/>
            <w:lang w:val="en-US" w:eastAsia="en-US" w:bidi="ar-SA"/>
          </w:rPr>
          <w:t>R.S.B.C. 1996, c. 238, ss. 35(1)(c)</w:t>
        </w:r>
      </w:hyperlink>
      <w:r>
        <w:rPr>
          <w:rFonts w:ascii="arial" w:eastAsia="arial" w:hAnsi="arial" w:cs="arial"/>
          <w:color w:val="000000"/>
          <w:sz w:val="20"/>
          <w:lang w:val="en-US" w:eastAsia="en-US" w:bidi="ar-SA"/>
        </w:rPr>
        <w:t>, 36(1)(b).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6(3)(e).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Trade Practice Act, R.S.B.C. 1996, c. 457, ss. 1, 3, 18, 18(1), 18(1)(a), 18(1)(b), 18(2), 18(3), 18(4), 22, 22(1), 22(1)(a), 22(10(b), 22(10(c).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7" w:name="Counsel_25"/>
      <w:bookmarkEnd w:id="16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7"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 Klein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D.C.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Paul Vickery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8" w:name="Judgment_25"/>
      <w:bookmarkEnd w:id="168"/>
      <w:r>
        <w:pict>
          <v:line id="_x0000_s1148" style="position:absolute;z-index:251838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9" w:name="SATANOVE J."/>
            <w:bookmarkEnd w:id="169"/>
            <w:r>
              <w:rPr>
                <w:rFonts w:ascii="arial" w:eastAsia="arial" w:hAnsi="arial" w:cs="arial"/>
                <w:b/>
                <w:color w:val="000000"/>
                <w:sz w:val="30"/>
                <w:lang w:val="en-US" w:eastAsia="en-US" w:bidi="ar-SA"/>
              </w:rPr>
              <w:t>SATANOVE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applies to certify this action as a class proceeding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"CPA"). The proposed class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Persons who, during the Class Period, purchased the Defendant's light or mild brands of cigarettes in British Columbia for personal, family or household use. The Defendant's light and mild brands of cigarettes includes the following brands: Player's Light, Player's Light Smooth, Player's Extra Light, du Maurier Light, du Maurier Extra Light, du Maurier Ultra Light, du Maurier Special Mild, Matinee Extra Mild, Matinee Ultra Mild and Cameo Extra Mild.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Class Period is the period from July 5, 1974, being the proclamation into force of the Trade Practice Act, </w:t>
      </w:r>
      <w:hyperlink r:id="rId443"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up to the opt-out / opt-in date set by the Court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common issues between the parties, as delineated and enumerated by the plaintiff are:</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sales of the defendant's light and mild brands of cigarettes to class members for the class members' personal, family or household use "consumer transactions" as defined in the Trade Practice Act, </w:t>
      </w:r>
      <w:hyperlink r:id="rId443"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xml:space="preserve"> (the "TPA")?</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solicitations and promotions by the defendant of its light and mild brands of cigarettes to class members for the class members' personal, family or household use "consumer transactions" as defined in the TPA?</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sales in British Columbia of the defendant's light and mild brands of cigarettes to class members for their personal, family or household use, is the defendant a "supplier" as defined in the TPA?</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class members "consumers" as defined in the TPA?</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engage in deceptive acts or practices in the solicitation, offer, advertisement and promotion of its light and mild brands of cigarettes contrary to the TPA, as alleged in the statement of claim?</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finds that the defendant has engaged in deceptive acts or practices contrary to the TPA, should an injunction be granted restraining the defendant from engaging or attempting to engage in those acts or practices?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finds that the defendant has engaged in deceptive acts or practices contrary to the TPA, should the defendant be required to advertise the court's judgment, declaration, order or injunction and, if so, on what terms or conditions?</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finds that the defendant has engaged in deceptive acts or practices contrary to the TPA, should a monetary award be made in favour of the class and, if so, in what amount?</w:t>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finds that the defendant has engaged in deceptive acts or practices contrary to the TPA, should punitive or exemplary damages be awarded against the defendant and, if so, in what amount?</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wilfully conceal material facts relating to the causes of action asserted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can be seen from the above description of the proposed class and common issues, the plaintiff's claim is not the usual type of claim against cigarette manufacturers, nor is it the type of products liability claim this court is usually asked to certify as a class action. The marketing of light and mild cigarettes is alleged to be deceptive because it conveys a false and misleading message that those cigarettes are less harmful than regular cigarettes. The plaintiff's claim is based on statute, not on common law or equitable principle. Although the claim arises from health concerns, it does not seek compensation for personal injury. It is a claim for pure economic loss. It aims to include all consumers of the defendant's product in British Columbia, not just British Columbia residents. The plaintiff does not seek damages for each class member, but rather an aggregate damage award that may be distributed in whole or in part to charitable institutions involved in researching and treating illnesses related to smoking. If the plaintiff succeeds in his allegations, the amount of damages could be significant and the ramification to the defendant's business could be serious. In addition, there are serious and sensitive social issues at 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Although the above characteristics of the plaintiff's claim are somewhat unusual, this does not automatically mean the action is unsuitable for a class action. The CPA is a purely procedural statute that should be construed generously (Hollick v. Toronto (City of), </w:t>
      </w:r>
      <w:hyperlink r:id="rId444"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The test for certification is set out in s. 4 of the CPA, and if it is met, the action must be certified. Although the application for certification is not a determination of the merits of the proceeding, the onus is on the plaintiff to show that all of the requirements for certification have been met. Ironically, upon closer scrutiny, some of the unusual features of this action may render it appropriate to be heard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Section 4(1)(a) of the CPA requires that the pleadings disclose a cause of action. The applicable test is akin to the test under s. 19(24) of our Rules of Court. Unless it is "plain and obvious" that the statement of claim discloses no reasonable cause of action, this test should be considered satisfied. Neither the length and complexity of the issues, nor the novelty of the cause of action, nor the potential for the defendant to present a strong defence should prevent the plaintiff from proceeding with his case. Unless there is some radical defect amounting to an abuse of the court's process such that the claim should be struck, the action should proceed to trial (Elms v. Laurentian Bank of Canada </w:t>
      </w:r>
      <w:hyperlink r:id="rId445" w:history="1">
        <w:r>
          <w:rPr>
            <w:rFonts w:ascii="arial" w:eastAsia="arial" w:hAnsi="arial" w:cs="arial"/>
            <w:i/>
            <w:color w:val="0077CC"/>
            <w:sz w:val="20"/>
            <w:u w:val="single"/>
            <w:shd w:val="clear" w:color="auto" w:fill="FFFFFF"/>
            <w:lang w:val="en-US" w:eastAsia="en-US" w:bidi="ar-SA"/>
          </w:rPr>
          <w:t>(2001), 90 B.C.L.R. (3d) 195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alleges that by the late 1960s, scientific studies suggested that smoking cigarettes with higher tar and nicotine levels might be correlated with an increased risk of developing smoking related diseases. The defendant tobacco company responded by designing, developing and marketing certain brands of cigarettes as "light" or "mild", allegedly suggesting that they are less harmful than regular cigarettes because they release significantly fewer toxic emissions. The plaintiff alleges that these light or mild cigarettes are not less harmful, nor do they transmit significantly fewer toxic emissions. The allegation is that the defendant designed these cigarettes in such a way that the standard testing machines used to measure toxic emissions would record lower levels because of the addition of tiny vents on or around the cigarette filter, as well as the alteration of the materials used in filter and cigarette papers, so that the toxic emissions of smoke per puff were diluted. However, it is alleged that the level of toxic emission that is actually delivered to the smoker was much higher because of a phenomenon known as "compensation". Compensation is a tendency of smokers to block the vents with their lips or fingers, inhale more deeply, puff more frequently, hold the smoke in their lungs for longer, and smoke more cigarettes.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basis of liability alleged by the plaintiff is that the defendant engaged in numerous deceptive acts or practices in the solicitation, offer, advertisement and promotion of its light cigarettes, contrary to the provisions of the TPA. The plaintiff sets out thirteen paragraphs of particulars of these alleged deceptive acts and practices, which include positive misrepresentations and failures to disclose material facts. The remedies which the plaintiff seeks are pursuant to sections 18(1)(a), 18(1)(b), 18(2), 18(4) and 22(1) of the TPA. The plaintiff pleads that relief under these sections does not require it to prove causation or actual reliance; alternatively, reliance should be assumed or inferred; or in the final alternative, he and the class members did act in reliance on the defendant's misrepresentations to their detriment when purchasing the light cigarettes. The plaintiff seeks declaratory relief, a permanent injunction, publication of adverse findings against the defendant, disgorgement or restitution by the defendant, general damages, punitive and exemplary damages, the cost of administering and distributing an aggregate damage award, costs under the CPA, and interest under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submits that the action, as pleaded in the Statement of Claim, is flawed for three reasons: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barred by s. 41 of the CPA;</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TPA has been repealed and replaced by the Business Practices and Consumer Protection Act,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enacted on July 4, 2004 (the "BPCPA");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alleges that causation and reliance are not necessary elements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41 of the 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Section 41 of the CPA states that the CPA does not apply to, among other things, a proceeding that may be brought in a representative capacity under another Act. Section 18(3) of the TPA states that an action for certain declaratory relief or an injunction pursuant to s. 18(1) of the TPA may be brought by any person on behalf of consumers generally, or on behalf of a designated class of consumers in British Columbia. Therefore, the defendant submits, the CPA cannot apply to claims brought under s. 18(1) of the TPA. If the defendant is correct in this submission, then the plaintiff's action under s. 18(4) of the TPA is also barred by s. 41 of the CPA because the restoration order sought in s. 18(4) is only available in an action for relief under s. 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Crawford v. London (City) </w:t>
      </w:r>
      <w:hyperlink r:id="rId446" w:history="1">
        <w:r>
          <w:rPr>
            <w:rFonts w:ascii="arial" w:eastAsia="arial" w:hAnsi="arial" w:cs="arial"/>
            <w:i/>
            <w:color w:val="0077CC"/>
            <w:sz w:val="20"/>
            <w:u w:val="single"/>
            <w:shd w:val="clear" w:color="auto" w:fill="FFFFFF"/>
            <w:lang w:val="en-US" w:eastAsia="en-US" w:bidi="ar-SA"/>
          </w:rPr>
          <w:t>(2000), 47 O.R. (3d) 784</w:t>
        </w:r>
      </w:hyperlink>
      <w:r>
        <w:rPr>
          <w:rFonts w:ascii="arial" w:eastAsia="arial" w:hAnsi="arial" w:cs="arial"/>
          <w:color w:val="000000"/>
          <w:sz w:val="20"/>
          <w:lang w:val="en-US" w:eastAsia="en-US" w:bidi="ar-SA"/>
        </w:rPr>
        <w:t xml:space="preserve"> (S.C.J.), the court found that the equivalent section to s. 41 in the Ontario Class Proceedings Act, 1992, </w:t>
      </w:r>
      <w:hyperlink r:id="rId447" w:history="1">
        <w:r>
          <w:rPr>
            <w:rFonts w:ascii="arial" w:eastAsia="arial" w:hAnsi="arial" w:cs="arial"/>
            <w:i/>
            <w:color w:val="0077CC"/>
            <w:sz w:val="20"/>
            <w:u w:val="single"/>
            <w:shd w:val="clear" w:color="auto" w:fill="FFFFFF"/>
            <w:lang w:val="en-US" w:eastAsia="en-US" w:bidi="ar-SA"/>
          </w:rPr>
          <w:t>S.O. 1992, c. 6</w:t>
        </w:r>
      </w:hyperlink>
      <w:r>
        <w:rPr>
          <w:rFonts w:ascii="arial" w:eastAsia="arial" w:hAnsi="arial" w:cs="arial"/>
          <w:color w:val="000000"/>
          <w:sz w:val="20"/>
          <w:lang w:val="en-US" w:eastAsia="en-US" w:bidi="ar-SA"/>
        </w:rPr>
        <w:t xml:space="preserve"> (s. 37) did not prevent the plaintiff from bringing a class action for claims under the Condominium Act, R.S.O. 1990, c. 26. The reasoning of the court was that although the Condominium Act provided for a representative action by the condominium corporation, the plaintiff as an individual owner could not maintain an action on behalf of other individual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analogy to the case at bar, the ability of the Director of Trade Practices to bring a representative action under s. 18 of the TPA would not affect the right of the plaintiff as an individual consumer to bring a class proceeding. However, s. 18(3) of the TPA specifically grants the right to an individual plaintiff to bring a representative proceeding under s. 18. Therefore, the court's reasoning in Crawford would suggest that it is not open to an individual plaintiff to bring an action under the CPA for relief under s. 18 of the TPA.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case before me the plaintiff has not restricted his claim to seeking relief under s. 18 of the TPA but has also claimed for damages under s. 22, which does not provide for a representative action and therefore would not be subject to s. 41 of the CPA. Were I to accept the defendant's submission, the result would be the plaintiff could bring his s. 22 claim as a class action, but would have to pursue his s. 18 claims in his individual capacity. It seems an inefficient administration of justice to require the plaintiff to bring two separate actions because of a strict technical interpretation of s. 41 of the CPA. It also seems contrary to the policy objectives underlying the CPA, which are meant to facilitate the administration of justice in redressing civil wrongs.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Stern v. Imasco Ltd., </w:t>
      </w:r>
      <w:hyperlink r:id="rId448" w:history="1">
        <w:r>
          <w:rPr>
            <w:rFonts w:ascii="arial" w:eastAsia="arial" w:hAnsi="arial" w:cs="arial"/>
            <w:i/>
            <w:color w:val="0077CC"/>
            <w:sz w:val="20"/>
            <w:u w:val="single"/>
            <w:shd w:val="clear" w:color="auto" w:fill="FFFFFF"/>
            <w:lang w:val="en-US" w:eastAsia="en-US" w:bidi="ar-SA"/>
          </w:rPr>
          <w:t>(1999), 38 C.P.C. (4th) 347</w:t>
        </w:r>
      </w:hyperlink>
      <w:r>
        <w:rPr>
          <w:rFonts w:ascii="arial" w:eastAsia="arial" w:hAnsi="arial" w:cs="arial"/>
          <w:color w:val="000000"/>
          <w:sz w:val="20"/>
          <w:lang w:val="en-US" w:eastAsia="en-US" w:bidi="ar-SA"/>
        </w:rPr>
        <w:t xml:space="preserve"> (Ont. S.C.J.), Cumming J. held that although an oppression action could be brought under the Canada Business Corporations Act as a representative proceeding, this did not preclude the plaintiff bringing such a claim as part of a class action seeking other non-representative relief as well. He stated that the Ontario equivalent of s. 41 of the CPA should be given a purposive interpretation and that the Canada Business Corporations Act and CPA were complimentary and could supplement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view the reasoning in Stern is applicable to the workings of the CPA and TPA as well. The broad claims of the plaintiff under the TPA, some of which may be representative and some of which may not be representative, should be allowed to proceed together as a single class action, provided all the tests for certification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TPA vs. 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parties spent a lot of time and effort arguing whether parts or all of the plaintiff's claim had to be brought under the BPCPA and not the TPA. The plaintiff conceded that all those causes of action arising after July 4, 2004 would be subject to the BPCPA, but submitted that this did not affect the suitability of the plaintiff's claim to be brought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insisted that the BPCPA repealed and replaced the TPA. It relied on the transition provision in s. 203 of the BPCPA and submitted that the BPCPA is expressly retrospective because it expressly changes substantive rights. The defendant submitted that any rights existing or accruing under the TPA are preserved, but the procedures and remedies of the BPCPA must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There are several flaws in the defendant's argument. Firstly, with the exception of s. 203, the BPCPA does not expressly state that it is intended to have retrospective effect on existing causes of action. Secondly, s. 203 (which states that Parts 2 - 4 of the BPCPA apply to contract and consumer transactions entered into before, on, or after the coming into force of those parts), does not apply to Part 15 wherein the TPA is repealed, nor does it apply to Part 10, which creates the statutory causes of action which the plaintiff is alleging. Thirdly, in the absence of a clear legislative directive, the repeal of a statute does not affect a right or obligation acquired, accrued or incurred under the enactment so repealed (Interpretation Act, </w:t>
      </w:r>
      <w:hyperlink r:id="rId442" w:history="1">
        <w:r>
          <w:rPr>
            <w:rFonts w:ascii="arial" w:eastAsia="arial" w:hAnsi="arial" w:cs="arial"/>
            <w:i/>
            <w:color w:val="0077CC"/>
            <w:sz w:val="20"/>
            <w:u w:val="single"/>
            <w:shd w:val="clear" w:color="auto" w:fill="FFFFFF"/>
            <w:lang w:val="en-US" w:eastAsia="en-US" w:bidi="ar-SA"/>
          </w:rPr>
          <w:t>R.S.B.C. 1996, c. 238, s. 35(1)(c)</w:t>
        </w:r>
      </w:hyperlink>
      <w:r>
        <w:rPr>
          <w:rFonts w:ascii="arial" w:eastAsia="arial" w:hAnsi="arial" w:cs="arial"/>
          <w:color w:val="000000"/>
          <w:sz w:val="20"/>
          <w:lang w:val="en-US" w:eastAsia="en-US" w:bidi="ar-SA"/>
        </w:rPr>
        <w:t xml:space="preserve">; and Sullivan and Driedger on the Construction of Statutes, 4th ed. (Markham: Butterworths, 2002) p. 566). In Re Fraser, </w:t>
      </w:r>
      <w:hyperlink r:id="rId449" w:history="1">
        <w:r>
          <w:rPr>
            <w:rFonts w:ascii="arial" w:eastAsia="arial" w:hAnsi="arial" w:cs="arial"/>
            <w:i/>
            <w:color w:val="0077CC"/>
            <w:sz w:val="20"/>
            <w:u w:val="single"/>
            <w:shd w:val="clear" w:color="auto" w:fill="FFFFFF"/>
            <w:lang w:val="en-US" w:eastAsia="en-US" w:bidi="ar-SA"/>
          </w:rPr>
          <w:t>[1986] B.C.J. No. 2376</w:t>
        </w:r>
      </w:hyperlink>
      <w:r>
        <w:rPr>
          <w:rFonts w:ascii="arial" w:eastAsia="arial" w:hAnsi="arial" w:cs="arial"/>
          <w:color w:val="000000"/>
          <w:sz w:val="20"/>
          <w:lang w:val="en-US" w:eastAsia="en-US" w:bidi="ar-SA"/>
        </w:rPr>
        <w:t xml:space="preserve"> (S.C.) the court held that once a member of the community takes a procedural step to enforce or establish his particular right, he becomes the possessor of an accrued or accruing right under a given statute. Thus any rights of the plaintiff in the case at bar under the TPA were acquired by or accrued to the plaintiff by May 8, 2003 when this action was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Section 36(1)(b) of the Interpretation Act requires a proceeding commenced under a former enactment to continue under the new enactment in so far as it is consistent with the new enactment. This is merely a reflection of the common law principle of statutory construction that rules of procedure may have retrospective effect but a statute that interferes with or destroys a previously acquired right is presumed not to be retrospective.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Sections 18 and 22 of the TPA allow the plaintiff to claim relief for "deceptive acts or practices" of the defendant. Deceptive acts or practices are defined in s. 3 of the TPA as oral, written, visual, descriptive or other representations, including a failure to disclose. Sections 171 and 172 of the BPCPA also allow the plaintiff to claim relief for deceptive acts or practices of the defendant, but s. 4 of the BPCPA has amended the definition of deceptive acts or practices so that a failure to disclose is no longer included. If the BPCPA were to be given retrospective effect for all purposes, the plaintiff would be foreclosed from seeking relief for many of the complaints which he has particularized in paragraph 13 of his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right of the plaintiff to sue the defendant for allegedly failing to disclose material facts which have the capability, tendency or effect of misleading a person is a substantive right, not a procedural one, and cannot be "expropriated" by the legislature in the absence of explicit and clear language (Sullivan and Dreidger, p. 569).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view, neither the substantive provisions of the BPCPA, nor its transitional provision can operate to deprive the plaintiff of continuing the action that he commenced on May 8, 2003 under the provisions of the TPA.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 and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submits that regardless of whether it is the TPA or the BPCPA that governs the plaintiff's claim, the plaintiff has no cause of action without proof of causation and reliance with respect to each individual member of the class. This is the main thrust of the defendant's objection to certification. Simply put, the defendant says that the assertion of a common cause of action alleging deceptive acts or practices by the defendant does not give rise to a common issue because the cause of action is not complete without the elements of causation and reliance. The defendants submit these are individual issues, making this case inappropriate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oral submissions, the defendant conceded that the definition of deceptive acts or practices under s. 3 of the TPA does not require evidence of individual reliance. However, the defendant maintained that any remedy under ss. 18(4) or 22 of the TPA, or s. 171 of the BPCPA, does require evidence of individual reliance to prove the causal link between the allegedly deceptive act and the alleged loss for which compensation is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conceded that the wording of ss. 18(4) and 22(1)(a) of the TPA and ss. 171(1) and 172(3) of the BPCPA suggested causation needs to be established, but argued that this could be proved by means other than demonstrating individual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light of the above concessions, I accept that the plaintiff's claim under ss. 18(1) and (2) is properly pleaded and I need only consider the claims made under ss. 18(4) and 22 of the TPA, together with the post-July 2004 claims made under s. 171 of the BPCPA.</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18(4) of the TPA and s. 172(3) of the 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Section 18(4) of the TPA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for a permanent injunction under subsection (1)(b), the court may restore to any person who has an interest in it any money or property that may have been acquired because of a deceptive or unconscionable act or practice by the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words "because of" in s. 18(4) require a causal link between the money or property acquired by the defendant and the deceptive act or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"Deceptive act or practice" is defined in s. 3 of the TPA as: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an oral, written, visual, descriptive or other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representation, including a failure to disclose, and</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the capability, tendency or effect of deceiving or misleading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common ground that no actual deception of the plaintiff is required to establish a deceptive act. The focus is on the conduct of the defendant and the capability or tendency or effect of the defendant's conduct to deceive, not whether a particular plaintiff was deceived or not. Similarly, the causal connection referred to in s. 18(4) arises out of the defendant's conduct in both deceiving and acquiring a benefit through its deception. Once again the focus is on the defendant's conduct and what it has been able to acquire in breach of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Collette v. Great Pacific Management Co., </w:t>
      </w:r>
      <w:r>
        <w:rPr>
          <w:rFonts w:ascii="arial" w:eastAsia="arial" w:hAnsi="arial" w:cs="arial"/>
          <w:i/>
          <w:color w:val="000000"/>
          <w:sz w:val="20"/>
          <w:lang w:val="en-US" w:eastAsia="en-US" w:bidi="ar-SA"/>
        </w:rPr>
        <w:t>(2004), 26 B.C.L.R. (4th) 252</w:t>
      </w:r>
      <w:r>
        <w:rPr>
          <w:rFonts w:ascii="arial" w:eastAsia="arial" w:hAnsi="arial" w:cs="arial"/>
          <w:color w:val="000000"/>
          <w:sz w:val="20"/>
          <w:lang w:val="en-US" w:eastAsia="en-US" w:bidi="ar-SA"/>
        </w:rPr>
        <w:t xml:space="preserve"> (C.A.), Mackenzie J.A. pointed out that if causation can be established otherwise, individual reliance may not be required. If the mortgage units at issue in that case had not met a due diligence standard, they would not have been offered for sale by the defendant to the members of the proposed class of investors. The breach of the duty of due diligence caused the investors' loss, independent of any individual reliance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wording of s. 172(3) of the BPCPA is similar to s. 18(4) of the TPA:</w:t>
      </w:r>
      <w:r>
        <w:rPr>
          <w:rFonts w:ascii="arial" w:eastAsia="arial" w:hAnsi="arial" w:cs="arial"/>
          <w:sz w:val="20"/>
          <w:lang w:val="en-US" w:eastAsia="en-US" w:bidi="ar-SA"/>
        </w:rPr>
        <w:cr/>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grants relief under subsection (1), the court may order one or more of the following:</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supplier restore to any person any money or other property or thing, in which the person has an interest, that may have been acquired because of a contravention of this Act or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mentioned earlier, the main difference between the BPCPA and the TPA is in the definition of deceptive act or practice. The BPCPA definition states, among other things, that a representation by a supplier that fails to state a material fact is a deceptive act or practice if the effect is misleading. Although this revised definition suggests a higher onus of proof with respect to misrepresentation by silence or omission as opposed to misrepresentation by express statement, it does not materially alter the causation requirement in s. 172(3). A restoration order under this section will still be contingent on the supplier's in breach of the statute that resulted in the supplier's acquisition of benefits from the consumer.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None of the cases cited to me specifically considered what needs to be proved in order to obtain a restoration remedy under s. 18(4) of the TPA or s. 172(3) of the BPCPA. However, I am of satisfied on a plain reading of the statutes that the necessary proof of causation under these sections does not mandate proof of reliance on the deceptive act or practice by the individual consumer.</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22(1) of the TPA and s. 171(1) of the 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Section 22(1)(a) of the TPA and s. 171(1) of the BPCPA clearly require a consumer to prove loss or damage suffered by the consumer (as an individual) in reliance upon the alleged deceptive act or practice (McKay v. CDI Career Development Institutes Ltd. </w:t>
      </w:r>
      <w:hyperlink r:id="rId450" w:history="1">
        <w:r>
          <w:rPr>
            <w:rFonts w:ascii="arial" w:eastAsia="arial" w:hAnsi="arial" w:cs="arial"/>
            <w:i/>
            <w:color w:val="0077CC"/>
            <w:sz w:val="20"/>
            <w:u w:val="single"/>
            <w:shd w:val="clear" w:color="auto" w:fill="FFFFFF"/>
            <w:lang w:val="en-US" w:eastAsia="en-US" w:bidi="ar-SA"/>
          </w:rPr>
          <w:t>(1999), 64 B.C.L.R. (3d) 386</w:t>
        </w:r>
      </w:hyperlink>
      <w:r>
        <w:rPr>
          <w:rFonts w:ascii="arial" w:eastAsia="arial" w:hAnsi="arial" w:cs="arial"/>
          <w:color w:val="000000"/>
          <w:sz w:val="20"/>
          <w:lang w:val="en-US" w:eastAsia="en-US" w:bidi="ar-SA"/>
        </w:rPr>
        <w:t xml:space="preserve"> (S.C.); Rushak v. Henneken </w:t>
      </w:r>
      <w:hyperlink r:id="rId451" w:history="1">
        <w:r>
          <w:rPr>
            <w:rFonts w:ascii="arial" w:eastAsia="arial" w:hAnsi="arial" w:cs="arial"/>
            <w:i/>
            <w:color w:val="0077CC"/>
            <w:sz w:val="20"/>
            <w:u w:val="single"/>
            <w:shd w:val="clear" w:color="auto" w:fill="FFFFFF"/>
            <w:lang w:val="en-US" w:eastAsia="en-US" w:bidi="ar-SA"/>
          </w:rPr>
          <w:t>(1991), 84 D.L.R. (4th) 87</w:t>
        </w:r>
      </w:hyperlink>
      <w:r>
        <w:rPr>
          <w:rFonts w:ascii="arial" w:eastAsia="arial" w:hAnsi="arial" w:cs="arial"/>
          <w:color w:val="000000"/>
          <w:sz w:val="20"/>
          <w:lang w:val="en-US" w:eastAsia="en-US" w:bidi="ar-SA"/>
        </w:rPr>
        <w:t xml:space="preserve"> (B.C.S.C.); and Robson v. Chrysler Canada Inc. </w:t>
      </w:r>
      <w:hyperlink r:id="rId452" w:history="1">
        <w:r>
          <w:rPr>
            <w:rFonts w:ascii="arial" w:eastAsia="arial" w:hAnsi="arial" w:cs="arial"/>
            <w:i/>
            <w:color w:val="0077CC"/>
            <w:sz w:val="20"/>
            <w:u w:val="single"/>
            <w:shd w:val="clear" w:color="auto" w:fill="FFFFFF"/>
            <w:lang w:val="en-US" w:eastAsia="en-US" w:bidi="ar-SA"/>
          </w:rPr>
          <w:t>(2002), 2 B.C.L.R. (4th) 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submits that he can satisfy the onus of proof in s. 22(1)(a) of the TPA or s. 171 of the BPCPA without the need for individual evidence, by tendering economic and statistical evidence showing that the entire market place was distorted by the defendant's deceptive practice, and that all class members paid too much for a product which did not truthfully exist. In other words, the plaintiff expects to show that all purchasers of the defendant's light cigarettes paid an amount which exceeded the product's true market value (i.e. what purchasers would have paid had they known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not at all convinced that this theory of causation of damages which has had some measure of success in American jurisdictions would succeed in a British Columbia action under the TPA, but I am not prepared at the certification stage to pronounce it plain and obvious that it will fail. The cause of action under s. 22(1)(a) and s. 171(1) should be allowed to proceed to trial as framed, and for the purposes of certification I will assume that the plaintiff will not be proving reliance on the alleged deceptive acts and practices of the defendant by individual members of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Furthermore, s. 22(1)(b) and (c) of the TPA do not necessarily import an element of individual reliance (there is no equivalent in the BPCPA, so these sections would not apply to the plaintiff's claims after July 2004). In Bouchanskaia v. Bayer Inc., </w:t>
      </w:r>
      <w:hyperlink r:id="rId453" w:history="1">
        <w:r>
          <w:rPr>
            <w:rFonts w:ascii="arial" w:eastAsia="arial" w:hAnsi="arial" w:cs="arial"/>
            <w:i/>
            <w:color w:val="0077CC"/>
            <w:sz w:val="20"/>
            <w:u w:val="single"/>
            <w:shd w:val="clear" w:color="auto" w:fill="FFFFFF"/>
            <w:lang w:val="en-US" w:eastAsia="en-US" w:bidi="ar-SA"/>
          </w:rPr>
          <w:t>[2003] B.C.J. No. 1969</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2003 BCSC 1306</w:t>
        </w:r>
      </w:hyperlink>
      <w:r>
        <w:rPr>
          <w:rFonts w:ascii="arial" w:eastAsia="arial" w:hAnsi="arial" w:cs="arial"/>
          <w:color w:val="000000"/>
          <w:sz w:val="20"/>
          <w:lang w:val="en-US" w:eastAsia="en-US" w:bidi="ar-SA"/>
        </w:rPr>
        <w:t xml:space="preserve">, Gray J. stated that it was at least arguable that detrimental reliance is not required under s. 22(1)(b) and (c), and I agree. If, for example, the allegation concerns a failure to disclose, reliance may not be necessary (Reid v. Ford Motor Co., </w:t>
      </w:r>
      <w:hyperlink r:id="rId454" w:history="1">
        <w:r>
          <w:rPr>
            <w:rFonts w:ascii="arial" w:eastAsia="arial" w:hAnsi="arial" w:cs="arial"/>
            <w:i/>
            <w:color w:val="0077CC"/>
            <w:sz w:val="20"/>
            <w:u w:val="single"/>
            <w:shd w:val="clear" w:color="auto" w:fill="FFFFFF"/>
            <w:lang w:val="en-US" w:eastAsia="en-US" w:bidi="ar-SA"/>
          </w:rPr>
          <w:t>[2003] B.C.J. No. 2489</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2003 BCSC 1632</w:t>
        </w:r>
      </w:hyperlink>
      <w:r>
        <w:rPr>
          <w:rFonts w:ascii="arial" w:eastAsia="arial" w:hAnsi="arial" w:cs="arial"/>
          <w:color w:val="000000"/>
          <w:sz w:val="20"/>
          <w:lang w:val="en-US" w:eastAsia="en-US" w:bidi="ar-SA"/>
        </w:rPr>
        <w:t xml:space="preserve">). In certain circumstances reliance may be assumed as all purchasers would expect to be told of a known defect in a product (Olsen v. Behr Process Corp., </w:t>
      </w:r>
      <w:hyperlink r:id="rId455" w:history="1">
        <w:r>
          <w:rPr>
            <w:rFonts w:ascii="arial" w:eastAsia="arial" w:hAnsi="arial" w:cs="arial"/>
            <w:i/>
            <w:color w:val="0077CC"/>
            <w:sz w:val="20"/>
            <w:u w:val="single"/>
            <w:shd w:val="clear" w:color="auto" w:fill="FFFFFF"/>
            <w:lang w:val="en-US" w:eastAsia="en-US" w:bidi="ar-SA"/>
          </w:rPr>
          <w:t>[2003] B.C.J. No. 627</w:t>
        </w:r>
      </w:hyperlink>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2003 BCSC 429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conclusion, I find that the plaintiff's statement of claim discloses a viable cause of action under ss. 18 and 22 of the TPA for all claims before July 4, 2004, and a viable cause of action under ss. 171 and 172 of the BPCPA for all claims from July 4, 2004 onwards. Due to the mixed representative nature of all these claims, I do not think it would be in keeping with the policy objectives of the CPA to apply s. 41 of the CPA as a bar to any of the claims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defines the proposed class as persons who, during the class period, purchased the defendant's "light" or "mild" brands of cigarettes in British Columbia for personal, family or household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class is intended to include persons who are "consumers" within the meaning of section 1 of the TPA and exclude directors, officers and employees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class period covers the period from July 5, 1974, (the date the TPA came into force) to an opt-out/opt-in date set by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more or less adopted the third party's objection to certification on the ground that the proposed class is overly broad and unmanageable. However, the majority of the third party submissions on over breadth have no relevance to this purely economic claim. The third party endeavours to characterize the nature of the plaintiff's cause of action as a claim for personal injury to health resulting from smoking. It complains that the class would include those who purchased but never smoked the product and those who did not rely on representations by the defendant in purchasing the product. These submissions fail to understand the real nature of the plaintiff's claim which is to obtain the disgorgement of revenues and profits earned by the defendant through the alleged deceptive marketing of the product. The benefit to the defendant is measured by the sales of the product in British Columbia to the end user, the consumer. The actual use made of the product by each individual consumer has no bearing on the plaintiff's claim that the defendant manipulated the market by falsely creating a value for the product that exceeded its true value. Therefore, the class is defined by the act of purchasing the product in British Columbia. According to the affidavit evidence, these purchases have likely been recorded and can be measured by sales statistics. The challenge to this proposed class will be to establish economic injury to its members' wallets as a result of their purchases, not personal injury to their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third party also complains that the proposed class would include persons all over the world who may have briefly passed through British Columbia and bought the defendant's products while in transit. I had considered limiting the class to residents of British Columbia, but upon reflection this seemed an arbitrary exclusion. Sheer size of a class and the inability to name each individual member should not be sufficient to prevent certification as long as the class is clearly definable by objective criteria (Western Canadian Shopping Centres Inc. v. Dutton, </w:t>
      </w:r>
      <w:hyperlink r:id="rId456"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and Hollick,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the plaintiff is seeking an aggregate damage award the defendant will not be involved in the distribution of compensation to individual plaintiffs. That is an administrative task with which the plaintiff will have to contend in the event that his suit is successful. As mentioned earlier, the residue of any unclaimed compensation will be donated to charitable and non-profitable organizations as per s. 34 of the 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conclusion, I find that there is an identifiable class of plaintiffs over and above the two named plaintiffs, Mr. Knight and his proposed alternate Ms. Leskun.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has proposed ten common issues to be tried as a class proceeding (listed in para. 2, p. 2 herein), four of which have been admitted by the defendant. The remaining six issues deal with:</w:t>
      </w:r>
      <w:r>
        <w:rPr>
          <w:rFonts w:ascii="arial" w:eastAsia="arial" w:hAnsi="arial" w:cs="arial"/>
          <w:sz w:val="20"/>
          <w:lang w:val="en-US" w:eastAsia="en-US" w:bidi="ar-SA"/>
        </w:rPr>
        <w:cr/>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engaged in deceptive acts or practices in the solicitation, offer, advertisement, and promotion of its product contrary to the TPA; and if so, whether the defendant should:</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 enjoined from continuing those deceptive acts or practices;</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 required to advertise the court's judgment, declaration, order or judgment, and if so, upon what terms;</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 a monetary award in favour of the class;</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 punitive or exemplary damages; and</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wilfully concealed material facts relating to the cause of action asserted in this proceeding (which would have a bearing on the limitation defence raised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submits that these issues are neither common nor relevant, and do not meet the test of commonality as described by the Supreme Court of Canada in Western Canadian Shopping Centers Inc., supra, and Hollick, supra. The defendant submits that resolution of these issues is not necessary for the resolution of each member's claim and that these issues do not form a substantial ingredient of each member's claim. Therefore the resolution of these issues would not move the litigation significantly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Once again, the defendant advances the above submissions based on a misconception of the nature of the plaintiff's claim. In summary, the defendant argues that the particular circumstances applicable to each representation and the recipient of the information need to be examined to determine whether a class member has actually been misled. The defendant also says that each individual's method and pattern of smoking must be analyzed to determine the extent to which the individual may have "compensated", and to determine the amount of tar actually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discussed under heading of cause of action, I have found that it may not be necessary for the plaintiff to show individual reliance on the conduct of the defendant to establish certain breaches of the TPA or BPCPA. With the exception of a failure to disclose contrary to the BPCPA, the defendant's conduct does not have to actually mislead consumers to be actionable. Evidence from individual class members will not be required to determine the extent of the defendant's knowledge about the deceptive nature of its product and whether it kept silent about the alleged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early as 1977, this court decided in Stubbe v. P. F. Collier &amp; Son Ltd. </w:t>
      </w:r>
      <w:hyperlink r:id="rId457" w:history="1">
        <w:r>
          <w:rPr>
            <w:rFonts w:ascii="arial" w:eastAsia="arial" w:hAnsi="arial" w:cs="arial"/>
            <w:i/>
            <w:color w:val="0077CC"/>
            <w:sz w:val="20"/>
            <w:u w:val="single"/>
            <w:shd w:val="clear" w:color="auto" w:fill="FFFFFF"/>
            <w:lang w:val="en-US" w:eastAsia="en-US" w:bidi="ar-SA"/>
          </w:rPr>
          <w:t>(1977), 74 D.L.R. (3d) 605</w:t>
        </w:r>
      </w:hyperlink>
      <w:r>
        <w:rPr>
          <w:rFonts w:ascii="arial" w:eastAsia="arial" w:hAnsi="arial" w:cs="arial"/>
          <w:color w:val="000000"/>
          <w:sz w:val="20"/>
          <w:lang w:val="en-US" w:eastAsia="en-US" w:bidi="ar-SA"/>
        </w:rPr>
        <w:t xml:space="preserve"> (B.C.S.C.), var'd on other grounds </w:t>
      </w:r>
      <w:hyperlink r:id="rId458" w:history="1">
        <w:r>
          <w:rPr>
            <w:rFonts w:ascii="arial" w:eastAsia="arial" w:hAnsi="arial" w:cs="arial"/>
            <w:i/>
            <w:color w:val="0077CC"/>
            <w:sz w:val="20"/>
            <w:u w:val="single"/>
            <w:shd w:val="clear" w:color="auto" w:fill="FFFFFF"/>
            <w:lang w:val="en-US" w:eastAsia="en-US" w:bidi="ar-SA"/>
          </w:rPr>
          <w:t>(1978), 85 D.L.R. (3d) 77</w:t>
        </w:r>
      </w:hyperlink>
      <w:r>
        <w:rPr>
          <w:rFonts w:ascii="arial" w:eastAsia="arial" w:hAnsi="arial" w:cs="arial"/>
          <w:color w:val="000000"/>
          <w:sz w:val="20"/>
          <w:lang w:val="en-US" w:eastAsia="en-US" w:bidi="ar-SA"/>
        </w:rPr>
        <w:t xml:space="preserve"> (B.C.S.C.), that the provisions of the TPA must be construed so as to protect not only alert potential customers, but also those who are not alert, and are unsuspicious and credulous. There is no duty resting upon a citizen to suspect the honesty of those with whom he transacts business. The best element of the business community has long since decided that honesty should govern competitive enterprises, and that the rule of caveat emptor should not be relied upon to reward fraud and deception.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Common issue numbers eight and nine deal with a form of monetary award. The plaintiff submits that ss. 29 and 30 of the CPA permit aggregate monetary awards and the use of statistical evidence to determine the amount of an aggregate monetary award and how it should be distributed. The plaintiff has tendered some affidavit evidence to indicate that the quantum of restitution or disgorgement can be established through the defendant's business records and statistical evidence. Alternatively, the plaintiff proposes to prove that the defendant's alleged deceptive practices have distorted the entire marketplace for tobacco products through the defendant's creation and sale of a supposedly safer cigarette, a product which the plaintiff says does not exist. The plaintiff's theory is that the fair market price of the defendant's product would have been different but for the defendant's alleged deceptive conduct. Therefore all class members paid too much for the product. There is no need for individual trials when the quantum of such an economic claim can be proved for the class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This model of damages is not without precedent in Canada (Kerr v. Danier Leather Inc. </w:t>
      </w:r>
      <w:hyperlink r:id="rId459" w:history="1">
        <w:r>
          <w:rPr>
            <w:rFonts w:ascii="arial" w:eastAsia="arial" w:hAnsi="arial" w:cs="arial"/>
            <w:i/>
            <w:color w:val="0077CC"/>
            <w:sz w:val="20"/>
            <w:u w:val="single"/>
            <w:shd w:val="clear" w:color="auto" w:fill="FFFFFF"/>
            <w:lang w:val="en-US" w:eastAsia="en-US" w:bidi="ar-SA"/>
          </w:rPr>
          <w:t>(2004), 23 C.C.L.T. (3d) 77</w:t>
        </w:r>
      </w:hyperlink>
      <w:r>
        <w:rPr>
          <w:rFonts w:ascii="arial" w:eastAsia="arial" w:hAnsi="arial" w:cs="arial"/>
          <w:color w:val="000000"/>
          <w:sz w:val="20"/>
          <w:lang w:val="en-US" w:eastAsia="en-US" w:bidi="ar-SA"/>
        </w:rPr>
        <w:t xml:space="preserve"> (Ont. S.C.J.) and Hague v. Liberty Mutual Insurance Co., </w:t>
      </w:r>
      <w:hyperlink r:id="rId460" w:history="1">
        <w:r>
          <w:rPr>
            <w:rFonts w:ascii="arial" w:eastAsia="arial" w:hAnsi="arial" w:cs="arial"/>
            <w:i/>
            <w:color w:val="0077CC"/>
            <w:sz w:val="20"/>
            <w:u w:val="single"/>
            <w:shd w:val="clear" w:color="auto" w:fill="FFFFFF"/>
            <w:lang w:val="en-US" w:eastAsia="en-US" w:bidi="ar-SA"/>
          </w:rPr>
          <w:t>[2004] O.J. No. 3057</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Sections 31 - 33 of the CPA detail the procedure for distribution of aggregate monetary awards to class members. Where it would be impractical or inefficient to determine the exact amount owing to individual class members, the court can order that all or part of the aggregate award be shared on an average or proportional basis. Section 34 of the CPA permits an order that any undistributed portion of an aggregate award may be applied in any manner that may reasonably be expected to benefit class members, such as distribution to charitable organizations treating or researching smoking related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objection to aggregate monetary damages is based on its approach to causation and reliance, which I have already found inapplicable to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Common issue number nine deals with punitive damages, which are an appropriate common issue because they focus on the defendant's conduct and do not require individual class member participation or assessment (Rumley v. British Columbia, </w:t>
      </w:r>
      <w:hyperlink r:id="rId461"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Common issue number ten is more problematic. The plaintiff submits that the defendant wilfully concealed material facts and therefore the limitation period for its claims has been postponed under s. 6(3)(e) of the Limitation Act, </w:t>
      </w:r>
      <w:hyperlink r:id="rId46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The defendant argues that discoverability is an individual issue and the question of wilful concealment cannot be easily severed from it. I am not satisfied that the limitations defence as a whole can be tried as a common issue. However, the question of whether the defendant wilfully concealed material facts is an issue common to the class, and, if established, would be of significance in a decision regarding postponement of the limitation period. In that sense, resolution of common issue number ten would move the litigation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defendant pleads, among other things, conformity with federal government requirements, volenti non fit injuria,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submits that all these issues require individual examination at a trial on the merits. The plaintiff submits that these defences raise the following common issues which could be resolved in these proceedings were they to be certified:</w:t>
      </w:r>
      <w:r>
        <w:rPr>
          <w:rFonts w:ascii="arial" w:eastAsia="arial" w:hAnsi="arial" w:cs="arial"/>
          <w:sz w:val="20"/>
          <w:lang w:val="en-US" w:eastAsia="en-US" w:bidi="ar-SA"/>
        </w:rPr>
        <w:cr/>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interactions with the Government of Canada constitute a defence to claims under the TPA;</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doctrine of volenti non fit injuria constitutes a defence to claims under the TPA;</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relating to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any application to a claim under the TPA.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agree that the legal question of whether any of these defences can apply to the plaintiff's claim under the TPA is common to all parties, and answering it would be a desirable if not necessary step in moving the litigation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Therefore, I find that the list of common issues proposed by the plaintiff, together with the three legal questions I have listed above, meet the requirements of s. 4(1)(c) of the CPA. However, all these common issues are still subject to the preferability test under s. 4(1)(d).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PREFERABILITY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preferability test is at the heart of the judicial discretion to grant or decline certification under the CPA. When exercising this discretion, the legislative goals and objectives of access to justice, judicial economy and behaviour modification must be kept in mind: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 reflects an increasing recognition of the important advantages that the class action offers as a procedural tool. As I discussed at some length in Western Canadian Shopping Centres (at paras. 27-29), class actions provide three important advantages over a multiplicity of individual suits. First, by aggregating similar individual actions, class actions serve judicial economy by avoiding unnecessary duplication in fact-finding and legal analysis. Second, by distributing fixed litigation costs amongst a large number of class members, class actions improve access to justice by making economical the prosecution of claims that any one class member would find too costly to prosecute on his or her own. Third, class actions serve efficiency and justice by ensuring that actual and potential wrongdoers modify their behaviour to take full account of the harm they are causing, or might cause, to the public. ... In my view, it is essential therefore that courts not take an overly restrictive approach to the legislation, but rather interpret the Act in a way that gives full effect to the benefits foreseen by the drafters. (Hollick, supra,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is common ground between the parties that access to justice is the overriding consideration. The cost of proving common issues is often a complete deterrent to modest individual claims such as that of the plaintiff in this case (Bouchanskaia, supra; Endean v. Canadian Red Cross Society </w:t>
      </w:r>
      <w:hyperlink r:id="rId463"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(C.A.)). Given the broad time span and multitude of acts and practices which the plaintiff alleges constitute breaches of the TPA, together with the expert scientific and economic evidence which will be required at trial, there is no doubt that the litigation expenses would be prohibitive for a single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Behaviour modification, while a less important factor, may also have a bearing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Section 4(2) of the CPA sets out the list of factors a court must consider in determining whether a class proceeding is the preferable procedure for the fair and efficient resolution of the common issues:</w:t>
      </w:r>
      <w:r>
        <w:rPr>
          <w:rFonts w:ascii="arial" w:eastAsia="arial" w:hAnsi="arial" w:cs="arial"/>
          <w:sz w:val="20"/>
          <w:lang w:val="en-US" w:eastAsia="en-US" w:bidi="ar-SA"/>
        </w:rPr>
        <w:cr/>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preferable for the fair and efficient resolution of the common issues, the court must consider all relevant matters including the following:</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proceedings would involve claims that are or have been the subject of any other proceedings;</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Common Issues Predominant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 submits that any finding on the common issues proposed by the plaintiff cannot be applied to the substantive rights of the parties because the plaintiff's cause of action necessarily involves analysis of a multitude of communications in changing circumstances over thirty years, made to ever changing, evolving and diverse persons. In other words, the defendant submits that the transaction specific nature of the plaintiff's claim should predominate over any common issues and it would be unfair to decide liability in a global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have already dealt with this submission to some extent but it bears repeating that the defendant's submission in this regard is predicated on an assumption that the plaintiff would have to establish individual reliance and causation for each class member in order to succeed on liability. I have found that this is not necessarily so, and that the plaintiff should be allowed the opportunity to try its allegations as common issues. The defendant is not estopped from proving at trial that commonality has not been demonstrated on the facts of the case, so in that sense, the procedure is not unfair (Reid, supra; Price v. Phillip Morris, 341 Ill. App. 3d 941).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On my analysis, the common issues predominate over any individual issues such as postponement of limitation periods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Class Members have Interest in Separate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no evidence of any other class member having filed a TPA claim against this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Claims are Not Subject of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Minister of Health of British Columbia is suing a number of cigarette manufacturers for health care costs, but the Province makes no claim on behalf of any individual consumers such as the plaintiff herein. Although there may be elements of similarity, I am not persuaded that the Ministry of Health action overlaps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Means of Resolving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the TPA authorizes the Director of Trade Practices to commence an action on behalf of consumers generally, there has been no indication that the Director intends to do so, despite being served with this writ and statement of claim in February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Administration of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If the plaintiff is correct in his theory and allegations, then determination of the proposed common issues could dispose of the entire case. There would be no need for individual suits and administration of the award would not involve the defendant. The claim is focused on a specific product and specific pieces of legislation, and although the relevant time period is lengthy, this should not constitute undue difficulty for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defendant relies heavily on the finding of Mr. Justice Winkler in Caputo v. Imperial Tobacco </w:t>
      </w:r>
      <w:hyperlink r:id="rId464" w:history="1">
        <w:r>
          <w:rPr>
            <w:rFonts w:ascii="arial" w:eastAsia="arial" w:hAnsi="arial" w:cs="arial"/>
            <w:i/>
            <w:color w:val="0077CC"/>
            <w:sz w:val="20"/>
            <w:u w:val="single"/>
            <w:shd w:val="clear" w:color="auto" w:fill="FFFFFF"/>
            <w:lang w:val="en-US" w:eastAsia="en-US" w:bidi="ar-SA"/>
          </w:rPr>
          <w:t>(2004), 236 D.L.R. (4th) 348</w:t>
        </w:r>
      </w:hyperlink>
      <w:r>
        <w:rPr>
          <w:rFonts w:ascii="arial" w:eastAsia="arial" w:hAnsi="arial" w:cs="arial"/>
          <w:color w:val="000000"/>
          <w:sz w:val="20"/>
          <w:lang w:val="en-US" w:eastAsia="en-US" w:bidi="ar-SA"/>
        </w:rPr>
        <w:t xml:space="preserve"> (Ont. S.C.) that a certified class proceeding for smokers' claims is unmanageable. However, Caputo involved a claim by smokers for personal injury damages. It included claims for addiction, injury and death based on common law torts which required proof of individual reliance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case at bar is more akin to a product liability suit. It is a claim for pure economic loss brought by purchasers of a "defective" product. The TPA and BPCPA are forms of general consumer protection legislation which have superseded the common law doctrines of privity of contract, parole evidence and restricted remedies. (See E. Belobaba, "Unfair Trade Practises Legislation: Symbolism and Substance in Consumer Protection" (1977) 15(2) Osgoode Hall L.J. 327). Unlike the suit in Caputo, this suit will be more than merely bringing together a number of disparate claims; it is structured in a way that should be truly common to all class members. I am satisfied that this class action as contemplated is the preferable procedure for a fair and efficient resolution of the proposed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final requirement for certification is that the plaintiff must propose a representative who can adequately represent the class and produce a reasonable litigation plan, and who does not have a conflict with other class members on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objection under this heading is that the plaintiff has not produced a workable litigation plan. The defendant also submits it would have been impossible to do so because of the plethora of individual issues for this enormous class. In effect, the defendant submits that the plaintiff cannot in fact create a feasible plan to deal with the multitude of individual claims which would be included in this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already stated, I do not agree with the defendant's characterization of the plaintiff's claims. I am of the view that the plaintiff's litigation plan as proposed is adequate to try the common issues. The plan provides for notice to the class, pre-trial discovery, case management, trial of the common issues and distribution of any aggregate award. The plaintiff proposes to proceed first with respect to the defendant's two highest selling brands of light cigarettes, Player's Light and Du Maurier Light. If the plaintiff is unsuccessful in establishing liability for these brands, it is unlikely he would succeed with the other brands, and therefore he would not pursue the litigation further. This will provide a narrower focus to the common issues which should make the litigation more manageable.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summary, I find that the plaintiff's claim as pleaded and the common issues as presented by the plaintiff and supplemented with the three common issues arising from the statement of defence, are amenable to certification, meet the criteria of s. 4 of the CPA, and should be certified as a class proceeding. I do not find that the plaintiff is barred by s. 41 of the CPA or the provisions of the new BPCPA. All claims prior to July 4, 2004 will be governed by the TPA, and all claims after that date to the date of judgment will be governed by the 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SATANOVE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9"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Lee Men International Enterprises Co. v. Siegle Properties BC Ltd., [2007] B.C.J. No. 1685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15 - 18 and 22 - 25,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S036894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1685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1128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60 R.P.R. (4th) 112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159 A.C.W.S. (3d) 910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1757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Lee Men International Enterprises Company Limited, Plaintiff, and Siegle Properties BC Limited, AA Property Management Limited, Johnson T.K. Ho Co. Ltd., doing business as New MacDonald Poultry and Meat Supplies, Chi T. Hon doing business as Lai Lai Tea Store, Supreme Nutrition Enterprises Ltd. doing business as 12 Baskets Nutrition &amp; Health, Peppers Produce Ltd., Jie Bing Liang doing business as Happy Happy, and The Owners, Strata Plan LMS 1590,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0"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0" w:name="Keywords_26"/>
      <w:bookmarkEnd w:id="170"/>
      <w:r>
        <w:rPr>
          <w:rFonts w:ascii="arial" w:eastAsia="arial" w:hAnsi="arial" w:cs="arial"/>
          <w:b/>
          <w:color w:val="000000"/>
          <w:sz w:val="20"/>
          <w:lang w:val="en-US" w:eastAsia="en-US" w:bidi="ar-SA"/>
        </w:rPr>
        <w:t xml:space="preserve">Real property law — Interests in land — Restrictive covenants — Action by the plaintiff dismissed — The parties owned strata lots upon which they operated businesses within a public market — The plaintiff claimed that the defendants sold items that contravened restrictions on use of their lots to their detriment — They claimed that the strata council's failure to uphold their complaints constituted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breach of contract — The court found that the plaintiff was unable to rely on restrictive covenants, and that the defendants' businesses did not breach strata bylaws — The actions of the Strata Council were not significantly unfair — Strata Property Act, s. 164.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1" w:name="Case Summary_22"/>
            <w:bookmarkEnd w:id="1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Lee Men International Enterprises, against the defendants, the Owners, Strata Plan LMS 2590, Peppers Produce and New MacDonald Poultry and Meat Supplies -- The Strata Corporation owned lots within a public market -- The plaintiff, Peppers and New MacDonald, owned strata lots and operated businesses within the market -- The plaintiff claimed that Peppers and New MacDonald sold products in breach of the restrictions on use for their respective lots, and in conflict with the uses granted to the plaintiff -- The plaintiff claimed that the Strata Council breached a duty to the plaintiff by failing to enforce the restrictions to its detriment -- The Strata Council relied on a Registry to inform itself as to the respective permitted uses for lots involved in disputes -- However, the extent to which the Registry was accurate was uncertain -- Over several years, the plaintiff objected in writing to the sale of various grocery items by the defendants as conflicting with its stated use -- The Strata Council sought legal advice regarding the disputes, and found that there were no exclusive rights in the conduct of business in the market, and that no violation of the bylaws persisted -- The plaintiff submitted that the Strata Council was negligent, and in breach of the initial strata lot purchase agreement -- HELD: Action dismissed -- The restrictive covenants relied upon by the plaintiff were never registered -- Such covenants were between the developer and the purchaser -- There was thus no privity with the Strata Corporation or other purchasers -- By their own terms, the covenants had expired, or no longer applied to the defendants -- No community of interest could thus be asserted -- There was no breach of the applicable bylaws -- The primary nature of the business and the products offered by New MacDonald and Peppers were reasonably related and substantially similar to their original business use -- The actions of the Strata Council were not significantly unfair -- It followed that the related claims against the Strata were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2" w:name="Legislation Cited_15"/>
      <w:bookmarkEnd w:id="1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1"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Strata Property Act, </w:t>
      </w:r>
      <w:hyperlink r:id="rId472" w:history="1">
        <w:r>
          <w:rPr>
            <w:rFonts w:ascii="arial" w:eastAsia="arial" w:hAnsi="arial" w:cs="arial"/>
            <w:i/>
            <w:color w:val="0077CC"/>
            <w:sz w:val="20"/>
            <w:u w:val="single"/>
            <w:shd w:val="clear" w:color="auto" w:fill="FFFFFF"/>
            <w:lang w:val="en-US" w:eastAsia="en-US" w:bidi="ar-SA"/>
          </w:rPr>
          <w:t>S.B.C. 1998, c. 43, s. 164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3" w:name="Counsel_26"/>
      <w:bookmarkEnd w:id="1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2"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Martin A. Thomas, D.K. Loo.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Johnson T.K. Ho Co. Ltd. and Peppers Produce Ltd.: Kenneth H. Jang.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Owners, Strata Plan LMS 1590: C. Grant Haddock.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4" w:name="Judgment_26"/>
      <w:bookmarkEnd w:id="174"/>
      <w:r>
        <w:pict>
          <v:line id="_x0000_s1153"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5" w:name="ROSS J._0"/>
            <w:bookmarkEnd w:id="175"/>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claim arises out of a series of disputes between the plaintiff, Lee Men International Enterprises Company Limited ("Lee Men"), and the defendants concerning the operation and bylaws at the Richmond Public Market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Lee Men owns Strata Lots 25 (Unit 1590), 26 and 27 (Unit 1580) at the Market. It operates two businesses from these units, Lee Men Chinese Herbs and Lee Men Grocery. Lee Men seeks remedies against The Owners, Strata Plan LMS 1590 (the "Strata Corp.") the defendant strata corporation, and the operators of two other businesses at the Market: the defendant Peppers Produce Ltd. ("Peppers") and the defendant New MacDonald Poultry and Meat Supplies ("New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essence of Lee Men's claim against New MacDonald and Peppers is that they have been selling products in breach of the restrictions on use for their respective lots and in conflict with the uses granted to Lee Men. Lee Men asserts that the Strata Corp., in breach of its duty, has failed to enforce these restrictions to the detriment of Lee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Lee Men discontinued the action against defendants Siegle Properties BC Limited, AA Property Management Limited, Chi T. Hon d.b.a. Lai Lai Tea Store, Supreme Nutrition Enterprises Ltd. d.b.a. 12 Baskets Nutrition &amp; Health, and Jie Bing Liang d.b.a. Happy Happy. By consent, and pursuant to the Order of Master Bolton of December 28, 2006, the trial dealt solely with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Market is a two-level commercial strata development that opened in 1994 located at 8620 Westminster Highway in Richmond. The ground floor consists of a variety of retail and service businesses. The first floor features various food and beverage outlets like a food court. There are in total 86 strata units in the Market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Strata Corp. is the strata corporation which comprises the owners of the strata lots at the Market. The Strata came into existence when the strata plan was filed in the Land Title Office in September 1994, in accordance with the provisions of the </w:t>
      </w:r>
      <w:r>
        <w:rPr>
          <w:rFonts w:ascii="arial" w:eastAsia="arial" w:hAnsi="arial" w:cs="arial"/>
          <w:b/>
          <w:i/>
          <w:color w:val="000000"/>
          <w:sz w:val="20"/>
          <w:lang w:val="en-US" w:eastAsia="en-US" w:bidi="ar-SA"/>
        </w:rPr>
        <w:t>Condominium Act</w:t>
      </w:r>
      <w:r>
        <w:rPr>
          <w:rFonts w:ascii="arial" w:eastAsia="arial" w:hAnsi="arial" w:cs="arial"/>
          <w:color w:val="000000"/>
          <w:sz w:val="20"/>
          <w:lang w:val="en-US" w:eastAsia="en-US" w:bidi="ar-SA"/>
        </w:rPr>
        <w:t xml:space="preserve">, S.B.C. 1979, c. 61. The Strata Corp. became registered under s. 2 of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on July 1, 2000, when the </w:t>
      </w:r>
      <w:r>
        <w:rPr>
          <w:rFonts w:ascii="arial" w:eastAsia="arial" w:hAnsi="arial" w:cs="arial"/>
          <w:b/>
          <w:i/>
          <w:color w:val="000000"/>
          <w:sz w:val="20"/>
          <w:lang w:val="en-US" w:eastAsia="en-US" w:bidi="ar-SA"/>
        </w:rPr>
        <w:t>Condominium Act</w:t>
      </w:r>
      <w:r>
        <w:rPr>
          <w:rFonts w:ascii="arial" w:eastAsia="arial" w:hAnsi="arial" w:cs="arial"/>
          <w:color w:val="000000"/>
          <w:sz w:val="20"/>
          <w:lang w:val="en-US" w:eastAsia="en-US" w:bidi="ar-SA"/>
        </w:rPr>
        <w:t xml:space="preserve"> was repealed and replaced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powers and duties of the Strata Corp. are exercised and performed by its council (the "Strata Council"), as prescribed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bylaws of the Strata.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original owner and developer of the Market was RPM Ventures Ltd. (the "Developer"). George Kropinski was a director of the Developer. The Developer sold Lots to purchasers. In some case, where it was unable to find a purchaser for a Lot, the Developer leased Lots directly to tenants. In order to attract businesses to the Market in the early years of the project, the Developer took certain measures to ensure a suitable merchandise mix' and to limit certain forms of competition amongst the owners and tenants of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appears that from about 1993 to about 1994, when the Developer entered into a sale and purchase contract for the sale of a Lot (the "Initial Purchase Contract"), each Initial Purchase Contract contained a Clause 14, entitled "Restrictive Covenant",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14.1 The Purchaser agrees that the Strata Lot shall be used exclusively for the trade or business of: [USE] for a period of three (3) years, commencing on the Closing Date, and thereafter the Purchaser will not use the Strata Lot for any other trade or business except with the express written approval of the Strata Corporation, in accordance with Article XVII, Clause 18 of the Bylaws.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14.2 In order to produce a suitable merchandise mix for the [market], the Vendor believes that it is appropriate to initially control the retail uses of the individual Strata Lots. Accordingly, the vendor hereby covenants and agrees with the Purchaser that it will not sell more than [ ] strata lot(s) to any other purchaser(s) who has an identical and directly competing use to that of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"Restrictive Covenant")</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original bylaws of the Strata (the "Original Bylaws") were filed with the Land Title Office on September 15, 1994. Article XVII, Clause 18 of the Original Bylaws reads as follows:</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shall not carry on any trade or business, other than its original trade or business, without a Special Resolution of the Strata Corporation, which requires approval of 75% of all Strata Lot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a Special Resolution passed on May 28, 1996 Article XVII Clause 18 was amended by replacing it with a new Clause 18 which begins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strata lot owner shall only be permitted to conduct the trade or business in or from his strata lot or use his strata lot as listed in Section 14 of the Purchase and Sale Agreement between the Developer and the Initial Purchaser unless otherwise modified. An owner shall be permitted to change the designated use of a strata lot upon compliance to the following criteria: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Original Bylaws were replaced by new bylaws in November 2000. The new bylaws were filed in the Land Title Office on December 11, 2000 (the "Bylaws"). Amendments to the Bylaws were made on August 17, 2001; October 18, 2001; and March 4,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Article XVII Clause 18 was deleted in November, 2000 and s. 2.10.1 of the current Bylaws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owner, tenant or occupant shall only be permitted to conduct the trade or business in or from his strata lot or use his strata lot as listed in Section 14 of the Purchase and Sale Agreement between the Developer and the Initial Purchaser unless otherwise modified. An owner shall be permitted to change the designated use of a strata lot upon compliance with the following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ss. 2.10.2 to 2.10.5, the Bylaws set out the criteria for Change of Use and provide guidelines to assist the Strata Council in considering applications for Change of Use,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2.10.3 For strata lots which have been occupied and opened for an approved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owner must apply to and obtain the written approval of the strata council to change the strata lot to a use which is substantially different from the trade/business in which the strata lot is or has been used. The strata council must promptly consider any written request for a change of use which includes the strata lot owner detailing the proposed operator, the proposed use of the premises and any other relevant information, and the strata council shall reply in writing within seven (7) days from the date of the next regularly scheduled council meeting once the written request is received from the strata lot owner. All written requests must be received no less than seven (7) days prior to a strata council meeting to be considered on the agenda of the council meeting ...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2.10.4 Guidelines for strata council considering applications for Change of Use:</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owner shall be allowed to change the usage of his/her strata lot to a business of which the primary nature is either actively carried out in one or more of the strata lots in the Richmond Public Market, or has been designated by the developer to a strata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some point the Strata began to keep a document entitled Central Use Registry (the "Registry") that purports to record the "Original Use" and "Current Use" for each Strata Lot in the Market and, where applicable, the "Date of Change". The Strata Corp. could not locate any records to provide details with respect to the origin of this Registry. It was not in existence when the strata plan for the Market was deposited in September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References in the documents to the origins of the Registry appear to start in 1996 when by letter dated June 28, 1996, the Strata's Property Manager, PCI Realty Corp. ("PCI"), advised a Strata Lot owner that the owner's application for a change of use could not be processed as no use registry had been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Then by letter to all owners dated July 18, 1996, PCI requested that each owner provide copies of their permitted use clause from each owner's purchase and sale agreement with the Developer. The Strata has no record of the responses to this letter and it is not known whether PCI was successful in obtaining the information requested from the Strata Lot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Strata Council met on September 23, 1997, to discuss, among other things, the status of the Registry. According to the Minutes of that meeting, it appeared that Strata's records were "inadequate" with respect to the actual uses of a number of units and information on original uses that were permitted by the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Strata's records show dated versions of the Registry commencing March 9, 1999, through to March 31,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From time to time the Strata has engaged a mall administrator - sometimes referred to as the mall manager (the "Mall Manager") - to report to the Property Manager and Strata Council. The Mall Manager is authorized by council to provide warning letters to owners pursuant to instructions from the Strata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Strata engaged Charles Kwok Wing Hau ("Hau") as Mall Manager effective June 6, 1999. Mr. Hau's stated job duties included "process change-of-use applications ..." and "enforce rules and bylaws which are drawn up and adopted by the Strata Corporation and ensure owners/tenants comply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From time to time the Strata Council has been made aware of complaints from Strata Lot owners or tenants, alleging that other owners or tenants are exceeding or violating the permitted use' for their Strata Lots (the "Usage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Once advised of an alleged breach of the Central Use Registry, the Strata Council has typically taken advice from the Property Manager and Mall Manager as to the nature of the breach. In addition, the Strata Council has on occasion undertaken its own investigation which might include obtaining photographic evidence to determine if there is 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it has been called upon to deal with Usage Complaints, the Strata Council has typically relied on the Registry to inform itself as to the respective uses for the Strata Lots that are involved in the usage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Over the years a number of property management companies have been engaged to manage the Strata. It appears that these companies have made use of the Registry. The extent to which the Registry is accurate is uncertain. Peppers and New MacDonald did not admit the truth of the contents of the various copies of the Registry that were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Uses Designated to the Lots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Lee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Lee Men purchased Strata Lots 26 and 27 (Unit 1590) from the Developer by a contract of purchase and sale dated April 12, 1993. Clause 14 of the Initial Purchase Contract states in part that the Strata Lot shall be used exclusively for the trade or business consisting of Chinese groceries and western canned goods, plus tofu and bean curd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Lee Men has never applied to change the use for Strata Lots 26 and 27. In the Registry, both the Original and Current Use for Strata Lots 26 and 27 are stated to be: "Chinese groceries and western canned goods, tofu, and bean curd products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Lee Men purchased Strata Lot 25 (Unit 1590) in April 2000. Clause 14 in the Initial Purchase Contract with the Developer, dated July 20, 1994, states that Strata Lot 25 was to be used exclusively for the trade or business of: "Chinese herbal medicines".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Original Use for Strata Lot 25 is recorded in the Registry as "Chinese Herbal medicines"; the Current Use is "Chinese Herbal medicines plus varieties".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New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July 21, 1993, the Developer as vendor and Shui Hing Yeung and Wai Han So as purchasers entered into a written contract for the purchase and sale of Strata Lot 47. Clause 14 of the Initial Purchase Contract for Strata Lot 47 states that it was to be used exclusively for the trade or business of: "specialty food, the use to be approved by the vendor on or before October 1993; such approval not to be unreasonably withheld".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Prior to the completion of the purchase and sale or Strata Lot 47 and in about June, 1994, the Developer entered into a written five year lease with MacDonald Poultry and Meat Supplies Ltd. ("Old MacDonald") for the lease of Strata Lot 47 (the "MacDonald Lease"). Old MacDonald was the predecessor of New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MacDonald Lease was dated June, 1994, named the Developer RPM Ventures Ltd. as landlord, and included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USE:</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tenant shall utilize the premises solely for the following </w:t>
      </w:r>
      <w:r>
        <w:rPr>
          <w:rFonts w:ascii="arial" w:eastAsia="arial" w:hAnsi="arial" w:cs="arial"/>
          <w:b/>
          <w:color w:val="000000"/>
          <w:sz w:val="20"/>
          <w:u w:val="single"/>
          <w:lang w:val="en-US" w:eastAsia="en-US" w:bidi="ar-SA"/>
        </w:rPr>
        <w:t>use</w:t>
      </w:r>
      <w:r>
        <w:rPr>
          <w:rFonts w:ascii="arial" w:eastAsia="arial" w:hAnsi="arial" w:cs="arial"/>
          <w:color w:val="000000"/>
          <w:sz w:val="20"/>
          <w:lang w:val="en-US" w:eastAsia="en-US" w:bidi="ar-SA"/>
        </w:rPr>
        <w:t>: All poultry items. Poultry gourmet specialties (fresh and frozen). Ready to cook poultry items. No wild game products.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Landlord hereby covenants and agrees with Tenant that during the term hereof it will not sell or lease another Strata Lot in the Richmond Public market that has an </w:t>
      </w:r>
      <w:r>
        <w:rPr>
          <w:rFonts w:ascii="arial" w:eastAsia="arial" w:hAnsi="arial" w:cs="arial"/>
          <w:b/>
          <w:color w:val="000000"/>
          <w:sz w:val="20"/>
          <w:u w:val="single"/>
          <w:lang w:val="en-US" w:eastAsia="en-US" w:bidi="ar-SA"/>
        </w:rPr>
        <w:t>identical and directly competing use</w:t>
      </w:r>
      <w:r>
        <w:rPr>
          <w:rFonts w:ascii="arial" w:eastAsia="arial" w:hAnsi="arial" w:cs="arial"/>
          <w:color w:val="000000"/>
          <w:sz w:val="20"/>
          <w:lang w:val="en-US" w:eastAsia="en-US" w:bidi="ar-SA"/>
        </w:rPr>
        <w:t xml:space="preserve"> with that of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October 11, 1994, the purchase and sale of Strata Lot 47 between RPM Ventures Ltd. as vendor and Shui Hing Yeung and Wai Han So as purchasers completed. The sale and purchase of Strata Lot included the MacDonald Lease. Shui Hing Yeung and Wai Han So continue to be the registered owners of Strata Lot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about 1996, New MacDonald purchased the business from Old MacDonald and took an assignment of the MacDonald Lease of Strata Lot 47. Since 1996, New MacDonald has continued to renew its lease of Strata Lot 47 and has continued to operate the same business at Strata Lot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entry in the Registry relating to New MacDonald as of March, 1999, the first version of the Registry in evidence, described the Original Use as "Speciality Foods" and the Current Use as "Poultry Gourmet Speciality" with no Date of Change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October 1999, the owner for Strata Lot 47 applied to amend the Central Use Registry for Strata Lot 47. Records produced by the Strata disclose that in October 1999, the Strata Council approved an application by the registered owner of Strata Lot 47 to change its use from "Specialty foods" to "Poultry". As of October 1999, the Central Use Registry shows the use of Strata Lot 47 to be "Poultry Gourmet Specialty".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current MacDonald lease is dated November 27, 2006, names Chui Hing Leung and Wai Han So as landlords, and includes the following relevant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7.01 - Use of Premises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Tenant shall use the leased premises solely for the purposes of the sale of all poultry items, poultry gourmet specialties (fresh and frozen), and ready cooked poultry items.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a written lease dated August 18, 1993 (the "Peppers Lease") Peppers, under its original name, Four Seasons 1993, leased Strata Lot 31 from the Developer. The Peppers' Lease included the following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USE:</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sale of raw fruits, nuts on a seasonal basis and vegetables not intended for immediate consumption, honey, and bottled fruit and vegetable juices packaged in 1 litre or larger packages.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SPECIFIC CONDITIONS:</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Landlord hereby expressly agrees that Landlord will not, during the Term of this Lease or any renewals thereof, let or lease or allow more than three (3) strata lots or units in the Richmond Public Market, to operate or permit the same to be occupied or used by or for the purpose of operating a produce [sic] for the sale of raw fruits, nuts on a seasonal basis and vegetables not intended for immediate consumption, honey, and bottled fruit and vegetable juices packaged in 1 litre or larger packages that are in competition with the Tenant's business. Landlord shall cause such restriction to be incorporated in the by-laws made by the Landlord and the Strata Corporations with respect to the Richmond Public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By a contract of purchase and sale dated January 21, 1999, Peppers agreed to purchase Strata Lot 31 from the Hong Kong Bank of Canada ("HKBC") as a consequence of a court ordered sale of the assets of the Developer. Under the terms of this purchase, Peppers agreed to the termination of the Lease, and HKBC released Peppers from any and all claims arising out of the Lease. The purchase agreement did not contain a Restrictive Covenant or any similar term regarding the use of Strata Lot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March 31, 1999, Peppers executed a Surrender of Lease which terminated the Peppers Lease. The landlord and tenant released each other from any further liability under the Peppers Lease. As at March 31, 1999, the Peppers Lease ceased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By a court vesting order dated March 19, 1999, Strata Lot 31 was "conveyed to and vest(ed) in the Purchaser, in fee simple, free and clear of any estate, title, right, interest, equity of redemption, and other claims of the parties, except the reservations, provisos, exceptions, and conditions expressed in the original grants thereof from the Crown". Accordingly, there was no restriction on the title of Strata Lot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March 1999 version of the Registry, the Original Use for Strata Lot 31 is recorded as "Lease: The sale of raw fruits, nuts on a seasonal basis and vegetables not intended for immediate consumption, honey and bottled fruit and vegetable juices packaged in 1 litre or larger packages." The Current Use is recorded as "Unchanged".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 Baskets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or about December 1994, 12 Baskets entered into a lease for Strata Lot 10 (Unit 1120) with its owner, Ada Tam. In the March 1999 version of the Registry, the Original Use for Strata Lot 10 is recorded as: "Health Food and/or vitamins".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or about June 2002, 12 Baskets entered into a lease for Strata Lot 9 (Unit 1100). The Original Use for Strata Lot 9 was: "Florist shop: the sale of flowers and plants and related gift merchandise only". On October 15, 1996, the Original Use was forfeited when the use was changed to "Travel Agency and Associated Services: the sale of related gift items will be permitted as long as they do not conflict with any other merchant in the Richmond Public Market". In September 1999, the use was further changed to "Telecommunications Business". On January 17, 2001, the use was further changed to "Health Food and/or vitamins due to expansion of business of Strata Lot 10". On March 1, 2006, the use was further changed to "Travel Agency".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Lai 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March 1999 version of the Registry recorded the Original Use of unit 2120, Strata Lot 80, as "A California Crepes retail outlet or speciality food use that does not conflict with the uses of other strata lots in the Richmond Public Markets". The Current Use is stated to be: "The sale at retail of adult ladies formal and casual wear including woollen sweaters, jackets, t-shirts, knitwear, pants, skirts, anoraks, snow suits, quilted jackets, overcoats and suits. In addition, not more than 20 percent of the total merchandise mix may be used for the sale of adult ladies accessories including broaches, earrings, necklaces, bracelets, hair clips, scarves, hats, socks, imitation leather handbags and imitation leather belts." The Date of Change is listed as May 3,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August 27, 2002, the owner of Strata Lot 80 applied to the Strata Council to change the use to the retail sale of Chinese tea. At the Strata Council meeting of September 12, 2002, Council approved the change of use to "Retail sales of Chinese Tea", subject to certain conditions. Danny Lam, Lee Men's authorized representative, attended the September 12, 2002, Council meeting as a member of the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change of use was not reflected in the version of the Registry dated October, 2002. The August 2003 version records the Current Use as "Chinese Tea no sale of health tea, medicine tea, pearl tea. Not for immediate consumption." The Date of Change recorded is September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December 2003 version of the Registry records the Current Use as: "Retail sales of Chinese Tea subject to the following conditions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sale of "Health Tea"</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sale of "Medicine Tea"</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sale of "Pearl Milk Tea"</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sale of immediate consumption tea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Date of Change remains September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January 2004 version of the Registry records the Current Use as: "Retail sales of Chinese Tea subject to the following conditions:</w:t>
      </w:r>
      <w:r>
        <w:rPr>
          <w:rFonts w:ascii="arial" w:eastAsia="arial" w:hAnsi="arial" w:cs="arial"/>
          <w:sz w:val="20"/>
          <w:lang w:val="en-US" w:eastAsia="en-US" w:bidi="ar-SA"/>
        </w:rPr>
        <w:cr/>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sale of "Health Tea"</w:t>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sale of "Medicine Tea"</w:t>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sale of "Pearl Milk Tea"</w:t>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sale of immediate consumption tea products</w:t>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Usage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Date of Change remains September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December 2005 version of the Registry contains another change. This time the Current Use is recorded as: "Retail sales of Chinese Tea Boiling Eggs. Subject to the following conditions:</w:t>
      </w:r>
      <w:r>
        <w:rPr>
          <w:rFonts w:ascii="arial" w:eastAsia="arial" w:hAnsi="arial" w:cs="arial"/>
          <w:sz w:val="20"/>
          <w:lang w:val="en-US" w:eastAsia="en-US" w:bidi="ar-SA"/>
        </w:rPr>
        <w:cr/>
      </w:r>
    </w:p>
    <w:p>
      <w:pPr>
        <w:numPr>
          <w:numId w:val="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sale of "Health Tea"</w:t>
      </w:r>
    </w:p>
    <w:p>
      <w:pPr>
        <w:numPr>
          <w:numId w:val="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sale of "Medicine Tea"</w:t>
      </w:r>
    </w:p>
    <w:p>
      <w:pPr>
        <w:numPr>
          <w:numId w:val="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sale of "Pearl Milk Tea"</w:t>
      </w:r>
    </w:p>
    <w:p>
      <w:pPr>
        <w:numPr>
          <w:numId w:val="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sale of immediate consumption tea products</w:t>
      </w:r>
    </w:p>
    <w:p>
      <w:pPr>
        <w:numPr>
          <w:numId w:val="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exclusivity."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Date of Change is recorded as September 26,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Lee Men's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Lee Men made a number of complaints to the Strata Council over the years, a number of which form the basis of this litigation. The common element to all of the complaints is Lee Men alleges that other merchants are acting in violation of what it considers its exclusive right to sell various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following describes Lee Men's complaints in 2001.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New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July 16, 2001, Lee Men made a written complaint to the Strata Council against New MacDonald for selling soy sauce and sauce packs.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July 17, 2001, the Market Manager issued a warning notice to New MacDonald for selling sauces in violation of strata lot usage. The Strata Council considered Lee Men's complaint against New MacDonald at a meeting of the Strata Council on August 1, 2001. The Strata Council noted that the management office had issued a warning letter and also that a verbal warning had been given.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July 16, 2001, Lee Men made a written complaint to the Strata Council against Peppers for selling packaged grocery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August 1, 2001, the Strata Council considered complaints by Lee Men that Peppers was selling groceries. The Council resolved that the three grocery items alleged to be sold by Peppers were in fact fruit produce and therefore there was no use violation.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Lee Men's Complaints in 2002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New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By notification dated November 29, 2002, the Strata Council issued New MacDonald a fine for violation of strata lot usage for selling hot pot frozen meat'. This does not appear to have been related to the plaintiff's complaints.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June 24, 2002, Lee Men made a written complaint to the Strata Council against Peppers for selling various grocery items outside their permitted use. The complaint referred to a history of prior complaints made by Lee Men against Peppers. The products referred to included ginger tea, pomelo tea, Kumquat twigs, pack pressed peanuts, garlic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By letter dated June 25, 2002, the Mall Manager wrote to Peppers to advise that the Strata had received a complaint from another owner regarding the selling of items not authorized by the Central Use Registry. Peppers was instructed to cease selling the products within 14 (fourteen) days or face fines. The products referred to in the letter are citron tea, kumquat strips, packaged peanuts, packaged garlic slices and ready to eat seaweed.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Strata Council met on July 10, 2002, to discuss, among other things, a complaint by Lee Men that Peppers was selling products in violation of their usage under its exclusive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Lee Men's Complaints in 2003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New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Lee Men wrote to the Strata Council on July 11, 2003, complaining about a number of matters. Under item 5 of the letter, Lee Men reiterated its complaint against New MacDonald for selling soy sauce and complained that the Council had not taken any follow-up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By letter dated August 11, 2003, the Mall Manager wrote to New MacDonald requesting that it cease selling "oyster sauce items" within 7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November 1, 2003, Lee Men wrote again to the Strata Council. Under item 2 of the letter, Lee Men complained about New MacDonald expanding its sale of various kinds of soy sauce.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all times, New MacDonald has maintained the position that it had the right to sell sauces or sauce mixes as part of its business, trade or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the Strata Council meeting of November 13, 2003, Council again looked at Lee Men's complaint against New MacDonald. Council resolved to seek a legal opinion on the matter prior to making any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At the Strata Council meeting of December 11, 2003, Council considered a letter received from counsel for Lee Men regarding usage complaints against Strata Lots 80, 47, 10, 31, Lot 47 being that of New MacDonald and 73. Council resolved to forward Lee Men's lawyer's letter to the Strata Corporation's lawyer for review and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By letter dated December 11, 2003, the Strata Corporation's general counsel, Tommy Tao, provided a general opinion regarding the Registry and how the Strata Council was to deal with disputes regarding the Central Use Registry. Mr. Tao's letter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common misunderstanding that each owner has an "exclusive right" to conduct the business that his or her strata lot has been approved to carry out in the market, and that the strata management has a duty to enforce such "exclusive right". However, a thorough review of the strata Bylaws (and the original Purchase Contract if applicable) will reveal that in fact there is no provision granting such "exclusive rights" to any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Tao then provided a legal opinion by letter dated December 17, 2003, specifically dealing with Lee Men's complaints concerning New MacDonald. His opinion states in part:</w:t>
      </w:r>
      <w:r>
        <w:rPr>
          <w:rFonts w:ascii="arial" w:eastAsia="arial" w:hAnsi="arial" w:cs="arial"/>
          <w:sz w:val="20"/>
          <w:lang w:val="en-US" w:eastAsia="en-US" w:bidi="ar-SA"/>
        </w:rPr>
        <w:cr/>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"exclusive right" as explained in Section A of the Usage Disputes general opinion letter.</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SL47s allowed usage is for selling "poultry gourmet specialty". On the one hand, the word "poultry" limits the unit to the sale of poultry products. On the other hand, the words "gourmet specialty" suggest food preparation appealing to refined tastes.</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wording of the allowed usage for SL47 is broad enough to allow the sale of specialty food preparation sauces. However, the primary nature of the business approved for SL47 is the sale of poultry, not the sale of sauces. High profile promotion of the sale of sauces may amount to a change of use without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recommended by Mr. Tao, the Strata ended its attempts to ban New MacDonald from selling sauces and instead requested that the sauces be placed in a less prominent place within the New MacDonald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After receiving Mr. Tao's opinion, the Strata Council no longer considered that New MacDonald was in violation of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Lee Men then commenced this action, filing the Statement of Claim on December 22, 2003.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April 2003, Lee Men filed another written complaint concerning Peppers with the Strata Council. Lee Men's complaint referred to infringements with respect to "my goods that enjoy the exclusive right in the Public Market". The goods referred to in the complaint include packaged foods, bottled foods, dried mushrooms, and pickles.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Strata Council in response, through the Mall Manager, issued a warning letter to Peppers, requesting it to refrain from selling canned products, dried mushrooms, salted vegetables preserved in sauce, and packaged food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Strata Council met on April 10, 2003, to consider, among other things, a dispute between Lee Men and Peppers. Council acknowledged that it had received a complaint from Lee Men and sent a warning letter to Peppers.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By letter dated April 22, 2003, the Strata's property manager wrote to Lee Men informing it of the decisions of Council on April 10, 2003, and further setting out that Peppers had agreed not to sell the items complained of by Lee Men except for salted mustard cabbage and spiced cabbage.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May 28, 2003, Lee Men made a written complaint to Strata Council that Peppers should not be permitted to sell salted mustard cabbage and spiced cabbage since these were grocery foods.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the Strata Council meeting held on June 19, 2003, Council again considered the complaints of Lee Men against Peppers regarding salty and sour pickles and dong choy. Council decided that the complaints by Lee Men in regard to these items are not valid as the sale of these items is within the Pepper's permitted use under the Central Use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Lee Men wrote to the Strata Council on July 11, 2003, complaining that the Strata Council and management company had ignored Lee Men's "exclusive right" in a number of respects. Lee Men complained that Peppers was continuing to infringe Lee Men's "exclusive right" by selling grocery items. The items complained of included groceries, cans, salted mustard cabbages, spiced cabbages, dried mushrooms, and sauces.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the Strata Council meeting held on August 14, 2003, the Council considered a complaint by Lee Men against Peppers.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November 1, 2003, Lee Men filed a written complaint against Peppers for continuing to sell goods within Lee Men's exclusive right. The goods complained of included jellyfish, chestnuts roasted with sugar, rice paper, pickled mustard cabbage, and dried lychee.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By letter dated November 4, 2003, the Mall Manager wrote to Peppers on behalf of the Strata, warning them to stop selling jellyfish, chestnuts in sugar, and dry lychee within 7 days or face fines.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the Strata Council meeting of November 13, 2003, Council again looked at the complaint of Lee Men against Peppers. Council resolved to seek a legal opinion on the matter prior to making any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the Strata Council meeting of December 11, 2003, Council considered a letter received from counsel for Lee Men regarding usage complaints against Strata Lots 80, 47, 10, 31, Lot 31 being that of Peppers, and 73. Council resolved to forward Lee Men's lawyer's letter to the Strata's lawyer for review and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By letter dated December 18, 2003, the Strata Council received a legal opinion from Mr. Tao specifically regarding the usage dispute between Lee Men and Peppers.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Tao reiterated his opinion that there was no "exclusive right" to sell products as he stated in his general opinion letter. He noted that there was some ambiguity in the description of Peppers' use, for example "nuts on a seasonal basis". He concluded that the sale of dried jellyfish, roasted chestnuts and dried lychee fell outside the allowed use, but that preserved vegetables and dong choy fell within.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 Baskets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October 14, 2003, Lee Men filed a written complaint against 12 Baskets, alleging that 12 Baskets was selling a number of Chinese herbal medicine items that infringed Lee Men's exclusive right, including American ginseng, royal jelly, broth of Chinese herbal medicine, health tea, and loquat leaf extract.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By letter dated October 20, 2003, the Mall Manager wrote to 12 Baskets on behalf of the Strata, warning it to stop selling royal jelly, American ginseng, and health tea within 7 days or face fines.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By letter dated October 23, 2003, 12 Baskets replied to the Mall Manager's letter, defending its right to sell the products complained of and complaining about Lee Men selling certain products including calcium tablets, honey, and ginseng tea that infringed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the Strata Council meeting of November 13, 2003, Council considered the dispute between Lee Men and 12 Baskets and resolved to seek a legal opinion on the matter prior to making any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By letter dated November 19, 2003, 12 Baskets wrote to the Mall Manager of the Market complaining about Lee Men selling certain products contrary to its "exclusive right". The letter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Attached is one of the copy of the purchase agreement which showed that the developer of LMS 1590 granted the exclusive right to the owner of Strata Lot #1100 and #1120 for doing business of health food and/or vitamins, or herbs and spices, or specialty foods in Richmond Public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been informed that Lee Man Enterprises Ltd. have been engaging in activities that are in violation of the exclusive right granted to Strata Lot #1100 and #1120. Specifically, they are selling vitamin product, for example, BioCalth, which is definitely violate our exclusive right. These actions have caused and are continuing to cause our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letter encloses an extract from the Initial Purchase Agreement for Strata Lot 10. Clause 14.1 of that agreement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14.1 The Purchaser agrees that the Strata Lot shall be used exclusively for the trade or business consisting of: Health food and/or vitamins, or herbs and spices, or specialty foods that do not conflict with existing uses in the market or with the general merchandise mix, (Purchaser to inform vendor of the choice of use prior to January 31, 1994) for a period of three (3) years, commencing on the Closing Date, and thereafter the Purchaser will not use the Strata Lot for any other trade or business except with the express written approval of the Strata Corporation, in accordance with Article XVII, Clause 18 of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Strata Council received a legal opinion by letter dated December 23, 2003, from Mr. Tao concerning the usage dispute between Lee Men and 12 Baskets. Mr. Tao's letter notes the usage recorded in the Registry for SL10 (12 Baskets) is "health food and/or vitamins" while the usage for SL25 (Lee Men) is Chinese herbal medicines. Mr. Tao concluded that Lee Men's sale of BioCalth fell outside its allowed use while the sale of honey, ginseng, and health tea was within the use of 12 Baskets.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Following the receipt of Mr. Tao's opinion, the Strata Council took no enforcement action against 12 Baskets in relation to the sale of honey, ginseng, and health tea products.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Lai 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Lee Men wrote to the Strata Council on July 11, 2003, complaining that the Strata Council and management company had ignored Lee Men's "exclusive right" in a number of respects. Under item 7 in the letter, Lee Men said that the selling of teas by Unit 2120 infringed Lee Men's "exclusive right on selling teas".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response to a letter dated November 12, 2003, from Lee Men's solicitors, complaining inter alia about unit 2120's violation of Lee Men's exclusive use, the Strata Council sought a legal opinion from Mr. Tao.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By letter dated December 24, 2003, the Strata Council received a legal opinion from Mr. Tao specifically regarding the usage dispute between Lee Men and Strata Lot 80 (which contain Unit 2120) who concluded that Strata Lot 80 was not violating its allowed usage by selling Chinese tea.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Lee Men's Complaints in 2005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New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By letter dated July 19, 2005, the Strata responded to letters from Lee Men complaining about, among other matters, an alleged continued breach of usage by New MacDonald. The Council decided that there was no usage violation and requested further particulars from Lee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or about August 17, 2005, then Strata Council president, Dr. John Yuen, and strata council member Duncan Wong inspected the premises of New MacDonald to ascertain whether any of the items complained of in Lee Men's Amended Statement of Claim were actually for sale at this establishment. The results of the inspection were reduced to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notes of the inspection state that LKK sauce package is "sold". The report states that the items were not prominently displayed, but were placed in a shelf facing inside and that all cans were full of dust.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At the Strata Council meeting of March 8, 2006, Council considered another letter received from Lee Men regarding usage complaints against New MacDonald. In light of the ongoing litigation involving Lee Men, Council resolved to forward the complaints to the Strata Corporation's lawyer for review and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New MacDonald has admitted in these proceedings that at various times between about July 2001 and about December 2003, it sold a variety of items, including:</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Chicken bouillon mix;</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Abalone sauce;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soy sauce;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dark soy sauce;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Lee Kum Kee sauce packages;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Sauce for mushroom with dried scallop;</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Chicken soupbase hotpot;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Satay soup base;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Oyster sauce;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Sesame oil.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By letter dated July 19, 2005, the Strata Council responded to letters from the Lee Men complaining about, among other matters, an alleged continued breach of usage by Peppers. The Council decided that there was no usage violation and requested further particulars from Lee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August 17, 2005, then Strata Council president, Dr. John Yuen, and Strata Council member Duncan Wong inspected the premises of Peppers to ascertain whether any of the items complained of in Lee Men's Amended Statement of Claim were actually for sale at this establishment. The results of the inspection were reduced to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report of the inspection identified citron tea, honey lime, and dried vegetables as being sold.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 Baskets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August 17, 2005, then Strata Council president, Dr. John Yuen, and Strata Council member Duncan Wong inspected the premises of 12 Baskets to ascertain whether any of the items complained of in the Lee Men's Amended Statement of Claim were actually for sale at this establishment. The results of the inspection were reduced to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inspection report identified that following products as sold by 12 Baskets:</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Yun Zhi Mushrooms;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Reishi Mushrooms;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Reishi Mushrooms (100 mg);</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Fucren Joint;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Kidney-Force;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Prost-Guard;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Diabe-Care;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Supera-X for Men and Women;</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Dong Quai;</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Nu Fem;</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TNT Plus; 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Cordyceps extract.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Lee Men's Complaints in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At the Strata Council meeting of March 8, 2006, Council considered a letter received from Lee Men regarding usage complaints against Peppers. In light of the ongoing litigation involving Lee Men, council resolved to forward the complaints to the Strata Corporation's lawyer for review and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Peppers has admitted in these proceedings that at various times it has sold a variety of items from Strata Lot 31, including:</w:t>
      </w:r>
      <w:r>
        <w:rPr>
          <w:rFonts w:ascii="arial" w:eastAsia="arial" w:hAnsi="arial" w:cs="arial"/>
          <w:sz w:val="20"/>
          <w:lang w:val="en-US" w:eastAsia="en-US" w:bidi="ar-SA"/>
        </w:rPr>
        <w:cr/>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Preserved Vegetables;</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Preserved or sour Mustard green or stems;</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Peeled chestnuts;</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Dried figs;</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Packaged bamboo;</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Citron Tea;</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Aloe Vera;</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Honey Lime;</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Dried seaweed;</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Tian Jin preserved vegetables;</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Salted radish;</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Dried lychee;</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Walnuts;</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Gingko nuts; and</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Preserved olives.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Lee Men pleads that the strata owners and occupiers of the Market have a legal relationship between each other and the Strata Corporation that is governed by the Bylaws. Lee Men submits further that this legal relationship is also governed by the Initial Purchase Contract entered into between the strata owners and the Developer. One aspect of this relationship, Lee Men asserts, is that each strata owner or occupier is only permitted to sell goods in accordance with the registered use of their respective Strata Lots. Lee Men submits that in addition, the Bylaws form a contract between members and that New MacDonald, Peppers, 12 Baskets and Lai Lai, in breach of the Bylaws, have sold products that are not within the scope of their respective registered uses. Lee Men further asserts that the owners and occupiers owe each other a duty of care to conduct their business consistent with the Bylaws and any applicable restrictive covenants and that the Strata Corporation has a duty to enforce the Bylaws. In the result, Lee Men's action is brought against the defendants in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Status of the Restrictive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Lee Men relies upon the Restrictive Covenants contained in the Initial Purchase Agreement. In my view, these covenants cannot serve as the foundation for the relief the plaintiff seeks in this action for several reasons:</w:t>
      </w:r>
      <w:r>
        <w:rPr>
          <w:rFonts w:ascii="arial" w:eastAsia="arial" w:hAnsi="arial" w:cs="arial"/>
          <w:sz w:val="20"/>
          <w:lang w:val="en-US" w:eastAsia="en-US" w:bidi="ar-SA"/>
        </w:rPr>
        <w:cr/>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Restrictive Covenants were not registered against the land or as running with the land, see </w:t>
      </w:r>
      <w:r>
        <w:rPr>
          <w:rFonts w:ascii="arial" w:eastAsia="arial" w:hAnsi="arial" w:cs="arial"/>
          <w:b/>
          <w:i/>
          <w:color w:val="000000"/>
          <w:sz w:val="20"/>
          <w:lang w:val="en-US" w:eastAsia="en-US" w:bidi="ar-SA"/>
        </w:rPr>
        <w:t>Debra's Hotel Inc. v. Lee</w:t>
      </w:r>
      <w:r>
        <w:rPr>
          <w:rFonts w:ascii="arial" w:eastAsia="arial" w:hAnsi="arial" w:cs="arial"/>
          <w:color w:val="000000"/>
          <w:sz w:val="20"/>
          <w:lang w:val="en-US" w:eastAsia="en-US" w:bidi="ar-SA"/>
        </w:rPr>
        <w:t xml:space="preserve"> (1994), </w:t>
      </w:r>
      <w:hyperlink r:id="rId473" w:history="1">
        <w:r>
          <w:rPr>
            <w:rFonts w:ascii="arial" w:eastAsia="arial" w:hAnsi="arial" w:cs="arial"/>
            <w:i/>
            <w:color w:val="0077CC"/>
            <w:sz w:val="20"/>
            <w:u w:val="single"/>
            <w:shd w:val="clear" w:color="auto" w:fill="FFFFFF"/>
            <w:lang w:val="en-US" w:eastAsia="en-US" w:bidi="ar-SA"/>
          </w:rPr>
          <w:t>24 Alta. L.R. (3d) 199</w:t>
        </w:r>
      </w:hyperlink>
      <w:r>
        <w:rPr>
          <w:rFonts w:ascii="arial" w:eastAsia="arial" w:hAnsi="arial" w:cs="arial"/>
          <w:color w:val="000000"/>
          <w:sz w:val="20"/>
          <w:lang w:val="en-US" w:eastAsia="en-US" w:bidi="ar-SA"/>
        </w:rPr>
        <w:t xml:space="preserve"> at para. 2 &amp; 3 (Q.B.); </w:t>
      </w:r>
      <w:r>
        <w:rPr>
          <w:rFonts w:ascii="arial" w:eastAsia="arial" w:hAnsi="arial" w:cs="arial"/>
          <w:b/>
          <w:i/>
          <w:color w:val="000000"/>
          <w:sz w:val="20"/>
          <w:lang w:val="en-US" w:eastAsia="en-US" w:bidi="ar-SA"/>
        </w:rPr>
        <w:t>Hon's Wun-Tun House (Robson) Ltd. v. Strata Plan VAS2846</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2006 BCCA 456</w:t>
        </w:r>
      </w:hyperlink>
      <w:r>
        <w:rPr>
          <w:rFonts w:ascii="arial" w:eastAsia="arial" w:hAnsi="arial" w:cs="arial"/>
          <w:color w:val="000000"/>
          <w:sz w:val="20"/>
          <w:lang w:val="en-US" w:eastAsia="en-US" w:bidi="ar-SA"/>
        </w:rPr>
        <w:t xml:space="preserve"> at para. 4;</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Restrictive Covenants are between the Developer and the purchaser. There is no privity with the Strata and none with the other Purchasers;</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Restrictive Covenants were, by their own terms, to be in effect for a period of three years following which the use was to be governed by the Bylaws. By their own terms, the covenants are spent;</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every Purchaser obtained a promise from the Developer not to sell to a competing business;</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Peppers, the agreement of Purchase and Sale did not contain any Restrictive Covenant or similar term regarding the use of the strata lot; and</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New MacDonald, the restrictive covenant relied upon is in the original MacDonald lease dated June 1994, which no longer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relies upon the "community of interest"cases. Lee Men submits that the imposition of initial restrictions on the Strata Lots in the Market, whether by way of Initial Purchase Contracts or leases granted by the Developer, is akin to a common law building scheme, creating a community of interest amongst owners and occupiers such that occupiers have standing to insist that another occupier live up to its contractual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doctrine of "community of interest" was discussed in </w:t>
      </w:r>
      <w:r>
        <w:rPr>
          <w:rFonts w:ascii="arial" w:eastAsia="arial" w:hAnsi="arial" w:cs="arial"/>
          <w:b/>
          <w:i/>
          <w:color w:val="000000"/>
          <w:sz w:val="20"/>
          <w:lang w:val="en-US" w:eastAsia="en-US" w:bidi="ar-SA"/>
        </w:rPr>
        <w:t>Salmon Arm Pharmacy Ltd. v. R.P. Johnson Construction Ltd</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(1994), 94 B.C.L.R. (2d) 169</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Salmon Arm</w:t>
      </w:r>
      <w:r>
        <w:rPr>
          <w:rFonts w:ascii="arial" w:eastAsia="arial" w:hAnsi="arial" w:cs="arial"/>
          <w:color w:val="000000"/>
          <w:sz w:val="20"/>
          <w:lang w:val="en-US" w:eastAsia="en-US" w:bidi="ar-SA"/>
        </w:rPr>
        <w:t>]. Mr. Justice Finch, as he then was, writing for the Court, noted that the doctrine is an exception to the rule of privity of contract, which allows one tenant to insist that another tenant live up to its contractual obligations. The circumstances under which the doctrine has been found to have been applicable were stated as follows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of "community of interest" apparently derives from the English common law relating to "building schemes": see </w:t>
      </w:r>
      <w:r>
        <w:rPr>
          <w:rFonts w:ascii="arial" w:eastAsia="arial" w:hAnsi="arial" w:cs="arial"/>
          <w:b/>
          <w:i/>
          <w:color w:val="000000"/>
          <w:sz w:val="20"/>
          <w:lang w:val="en-US" w:eastAsia="en-US" w:bidi="ar-SA"/>
        </w:rPr>
        <w:t>Scharf v. Mac's Milk Ltd.</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[1965] 2 O.R. 640</w:t>
        </w:r>
      </w:hyperlink>
      <w:r>
        <w:rPr>
          <w:rFonts w:ascii="arial" w:eastAsia="arial" w:hAnsi="arial" w:cs="arial"/>
          <w:color w:val="000000"/>
          <w:sz w:val="20"/>
          <w:lang w:val="en-US" w:eastAsia="en-US" w:bidi="ar-SA"/>
        </w:rPr>
        <w:t xml:space="preserve"> at 645-647, and applied in more recent times to shopping-centre leases. Consideration as to whether or not the doctrine is applicable seems to arise only where:</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one tenant seeks to enforce a contractual obligation owed by another tenant to the landlord;</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tenants have restrictive covenants in their leases which limit the use to which the tenants can put their premises; and</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tenants have the benefit of restrictive covenants by which the landlord promises not to allow the use of any portion of the shopping centre for a purpose which competes with that of another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Court of Appeal in </w:t>
      </w:r>
      <w:r>
        <w:rPr>
          <w:rFonts w:ascii="arial" w:eastAsia="arial" w:hAnsi="arial" w:cs="arial"/>
          <w:b/>
          <w:i/>
          <w:color w:val="000000"/>
          <w:sz w:val="20"/>
          <w:lang w:val="en-US" w:eastAsia="en-US" w:bidi="ar-SA"/>
        </w:rPr>
        <w:t>Salmon Arm</w:t>
      </w:r>
      <w:r>
        <w:rPr>
          <w:rFonts w:ascii="arial" w:eastAsia="arial" w:hAnsi="arial" w:cs="arial"/>
          <w:color w:val="000000"/>
          <w:sz w:val="20"/>
          <w:lang w:val="en-US" w:eastAsia="en-US" w:bidi="ar-SA"/>
        </w:rPr>
        <w:t xml:space="preserve"> was not prepared to extend the doctrine. I agree with the submissions of the defendants that the conditions for the application of the doctrine are not present in the case at bar. In my view the doctrine of "community of interest" does not assist the plaintiff. I would not extend the doctrine, where as here, the Restrictive Covenant sought to be relied upon expressly contemplates that the subsequent use will be governed by the provisions of the ByLaws. Rather, Lee Men must look to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there been a breach of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Section 2.10.1 of the current Bylaws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owner, tenant or occupant shall only be permitted to conduct the </w:t>
      </w:r>
      <w:r>
        <w:rPr>
          <w:rFonts w:ascii="arial" w:eastAsia="arial" w:hAnsi="arial" w:cs="arial"/>
          <w:b/>
          <w:color w:val="000000"/>
          <w:sz w:val="20"/>
          <w:u w:val="single"/>
          <w:lang w:val="en-US" w:eastAsia="en-US" w:bidi="ar-SA"/>
        </w:rPr>
        <w:t>trade or business</w:t>
      </w:r>
      <w:r>
        <w:rPr>
          <w:rFonts w:ascii="arial" w:eastAsia="arial" w:hAnsi="arial" w:cs="arial"/>
          <w:color w:val="000000"/>
          <w:sz w:val="20"/>
          <w:lang w:val="en-US" w:eastAsia="en-US" w:bidi="ar-SA"/>
        </w:rPr>
        <w:t xml:space="preserve"> in or from his strata lot or use his strata lot as listed in Section 14 of the Purchase and Sale Agreement between the Developer and the Initial Purchaser unless otherwise modified. An owner shall be </w:t>
      </w:r>
      <w:r>
        <w:rPr>
          <w:rFonts w:ascii="arial" w:eastAsia="arial" w:hAnsi="arial" w:cs="arial"/>
          <w:color w:val="000000"/>
          <w:sz w:val="20"/>
          <w:u w:val="single"/>
          <w:lang w:val="en-US" w:eastAsia="en-US" w:bidi="ar-SA"/>
        </w:rPr>
        <w:t xml:space="preserve">permitted to change the designated </w:t>
      </w:r>
      <w:r>
        <w:rPr>
          <w:rFonts w:ascii="arial" w:eastAsia="arial" w:hAnsi="arial" w:cs="arial"/>
          <w:b/>
          <w:color w:val="000000"/>
          <w:sz w:val="20"/>
          <w:u w:val="single"/>
          <w:lang w:val="en-US" w:eastAsia="en-US" w:bidi="ar-SA"/>
        </w:rPr>
        <w:t>use</w:t>
      </w:r>
      <w:r>
        <w:rPr>
          <w:rFonts w:ascii="arial" w:eastAsia="arial" w:hAnsi="arial" w:cs="arial"/>
          <w:color w:val="000000"/>
          <w:sz w:val="20"/>
          <w:u w:val="single"/>
          <w:lang w:val="en-US" w:eastAsia="en-US" w:bidi="ar-SA"/>
        </w:rPr>
        <w:t xml:space="preserve"> of a strata lot upon compliance with the following criteria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Sections 2.10.2 to 2.10.5 of the Bylaws set out the criteria for a change of use and provide guidelines to assist the strata council in considering applications for change of use,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2.10.3 </w:t>
      </w:r>
      <w:r>
        <w:rPr>
          <w:rFonts w:ascii="arial" w:eastAsia="arial" w:hAnsi="arial" w:cs="arial"/>
          <w:i/>
          <w:color w:val="000000"/>
          <w:sz w:val="20"/>
          <w:lang w:val="en-US" w:eastAsia="en-US" w:bidi="ar-SA"/>
        </w:rPr>
        <w:t>For strata lots which have been occupied and opened for an approved use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owner must apply to and obtain the written approval of the strata council to change the strata lot to a </w:t>
      </w:r>
      <w:r>
        <w:rPr>
          <w:rFonts w:ascii="arial" w:eastAsia="arial" w:hAnsi="arial" w:cs="arial"/>
          <w:b/>
          <w:color w:val="000000"/>
          <w:sz w:val="20"/>
          <w:u w:val="single"/>
          <w:lang w:val="en-US" w:eastAsia="en-US" w:bidi="ar-SA"/>
        </w:rPr>
        <w:t>use</w:t>
      </w:r>
      <w:r>
        <w:rPr>
          <w:rFonts w:ascii="arial" w:eastAsia="arial" w:hAnsi="arial" w:cs="arial"/>
          <w:color w:val="000000"/>
          <w:sz w:val="20"/>
          <w:lang w:val="en-US" w:eastAsia="en-US" w:bidi="ar-SA"/>
        </w:rPr>
        <w:t xml:space="preserve"> which is </w:t>
      </w:r>
      <w:r>
        <w:rPr>
          <w:rFonts w:ascii="arial" w:eastAsia="arial" w:hAnsi="arial" w:cs="arial"/>
          <w:b/>
          <w:color w:val="000000"/>
          <w:sz w:val="20"/>
          <w:u w:val="single"/>
          <w:lang w:val="en-US" w:eastAsia="en-US" w:bidi="ar-SA"/>
        </w:rPr>
        <w:t>substantially different</w:t>
      </w:r>
      <w:r>
        <w:rPr>
          <w:rFonts w:ascii="arial" w:eastAsia="arial" w:hAnsi="arial" w:cs="arial"/>
          <w:color w:val="000000"/>
          <w:sz w:val="20"/>
          <w:lang w:val="en-US" w:eastAsia="en-US" w:bidi="ar-SA"/>
        </w:rPr>
        <w:t xml:space="preserve"> from the </w:t>
      </w:r>
      <w:r>
        <w:rPr>
          <w:rFonts w:ascii="arial" w:eastAsia="arial" w:hAnsi="arial" w:cs="arial"/>
          <w:b/>
          <w:color w:val="000000"/>
          <w:sz w:val="20"/>
          <w:u w:val="single"/>
          <w:lang w:val="en-US" w:eastAsia="en-US" w:bidi="ar-SA"/>
        </w:rPr>
        <w:t>trade/business</w:t>
      </w:r>
      <w:r>
        <w:rPr>
          <w:rFonts w:ascii="arial" w:eastAsia="arial" w:hAnsi="arial" w:cs="arial"/>
          <w:color w:val="000000"/>
          <w:sz w:val="20"/>
          <w:lang w:val="en-US" w:eastAsia="en-US" w:bidi="ar-SA"/>
        </w:rPr>
        <w:t xml:space="preserve"> in which the strata lot is or has been used. The strata council must promptly consider any written request for a change of use which includes the strata lot owner detailing the proposed operator, the proposed use of the premises and any other relevant information, and the strata council shall reply in writing within seven (7) days from the date of the next regularly scheduled council meeting once the written request is received from the strata lot owner. All written requests must be received no less than seven (7) days prior to a strata council meeting to be considered on the agenda of the council meeting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2.10.4 </w:t>
      </w:r>
      <w:r>
        <w:rPr>
          <w:rFonts w:ascii="arial" w:eastAsia="arial" w:hAnsi="arial" w:cs="arial"/>
          <w:i/>
          <w:color w:val="000000"/>
          <w:sz w:val="20"/>
          <w:lang w:val="en-US" w:eastAsia="en-US" w:bidi="ar-SA"/>
        </w:rPr>
        <w:t>Guidelines for strata council considering applications for Change of Use</w:t>
      </w:r>
      <w:r>
        <w:rPr>
          <w:rFonts w:ascii="arial" w:eastAsia="arial" w:hAnsi="arial" w:cs="arial"/>
          <w:color w:val="000000"/>
          <w:sz w:val="20"/>
          <w:lang w:val="en-US" w:eastAsia="en-US" w:bidi="ar-SA"/>
        </w:rPr>
        <w:t>:</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owner shall be allowed to change the </w:t>
      </w:r>
      <w:r>
        <w:rPr>
          <w:rFonts w:ascii="arial" w:eastAsia="arial" w:hAnsi="arial" w:cs="arial"/>
          <w:b/>
          <w:color w:val="000000"/>
          <w:sz w:val="20"/>
          <w:u w:val="single"/>
          <w:lang w:val="en-US" w:eastAsia="en-US" w:bidi="ar-SA"/>
        </w:rPr>
        <w:t>usage</w:t>
      </w:r>
      <w:r>
        <w:rPr>
          <w:rFonts w:ascii="arial" w:eastAsia="arial" w:hAnsi="arial" w:cs="arial"/>
          <w:color w:val="000000"/>
          <w:sz w:val="20"/>
          <w:lang w:val="en-US" w:eastAsia="en-US" w:bidi="ar-SA"/>
        </w:rPr>
        <w:t xml:space="preserve"> of his/her strata lot to a </w:t>
      </w:r>
      <w:r>
        <w:rPr>
          <w:rFonts w:ascii="arial" w:eastAsia="arial" w:hAnsi="arial" w:cs="arial"/>
          <w:b/>
          <w:color w:val="000000"/>
          <w:sz w:val="20"/>
          <w:u w:val="single"/>
          <w:lang w:val="en-US" w:eastAsia="en-US" w:bidi="ar-SA"/>
        </w:rPr>
        <w:t>business</w:t>
      </w:r>
      <w:r>
        <w:rPr>
          <w:rFonts w:ascii="arial" w:eastAsia="arial" w:hAnsi="arial" w:cs="arial"/>
          <w:color w:val="000000"/>
          <w:sz w:val="20"/>
          <w:lang w:val="en-US" w:eastAsia="en-US" w:bidi="ar-SA"/>
        </w:rPr>
        <w:t xml:space="preserve"> of which the </w:t>
      </w:r>
      <w:r>
        <w:rPr>
          <w:rFonts w:ascii="arial" w:eastAsia="arial" w:hAnsi="arial" w:cs="arial"/>
          <w:b/>
          <w:color w:val="000000"/>
          <w:sz w:val="20"/>
          <w:u w:val="single"/>
          <w:lang w:val="en-US" w:eastAsia="en-US" w:bidi="ar-SA"/>
        </w:rPr>
        <w:t>primary nature</w:t>
      </w:r>
      <w:r>
        <w:rPr>
          <w:rFonts w:ascii="arial" w:eastAsia="arial" w:hAnsi="arial" w:cs="arial"/>
          <w:color w:val="000000"/>
          <w:sz w:val="20"/>
          <w:lang w:val="en-US" w:eastAsia="en-US" w:bidi="ar-SA"/>
        </w:rPr>
        <w:t xml:space="preserve"> is either actively carried out in one or more of the strata lots in the Richmond Public Market, or has been designated by the developer to a strata lot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relevant questions then are:</w:t>
      </w:r>
      <w:r>
        <w:rPr>
          <w:rFonts w:ascii="arial" w:eastAsia="arial" w:hAnsi="arial" w:cs="arial"/>
          <w:sz w:val="20"/>
          <w:lang w:val="en-US" w:eastAsia="en-US" w:bidi="ar-SA"/>
        </w:rPr>
        <w:cr/>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owner, tenant or occupier changed the trade or business to a use that is substantially different from the use listed in the Restrictive Covenant of the Initial Purchase contract?</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has the owner, tenant or occupier changed the usage of his strata lot to that of a business, trade or use the primary nature of which is the same as that of one or more other strata lots in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use Bylaw has been found not to be ultra vires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or an unenforceable restraint of trade, see </w:t>
      </w:r>
      <w:r>
        <w:rPr>
          <w:rFonts w:ascii="arial" w:eastAsia="arial" w:hAnsi="arial" w:cs="arial"/>
          <w:b/>
          <w:i/>
          <w:color w:val="000000"/>
          <w:sz w:val="20"/>
          <w:lang w:val="en-US" w:eastAsia="en-US" w:bidi="ar-SA"/>
        </w:rPr>
        <w:t>Kok v. Strata Plan LMS 463</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(1999), 23 R.P.R. (3d) 296</w:t>
        </w:r>
      </w:hyperlink>
      <w:r>
        <w:rPr>
          <w:rFonts w:ascii="arial" w:eastAsia="arial" w:hAnsi="arial" w:cs="arial"/>
          <w:color w:val="000000"/>
          <w:sz w:val="20"/>
          <w:lang w:val="en-US" w:eastAsia="en-US" w:bidi="ar-SA"/>
        </w:rPr>
        <w:t xml:space="preserve"> (B.S.C.S.).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With respect to the role of the Registry in the determination of these issues, I agree with the submissions of counsel for the Strata that the Registry is a neither contractual document, nor document referred to in the Bylaws. Counsel's characterization of the Registry as akin to notes taken by subsequent property managers who were attempting to create a database for the original uses that were allowed by Clause 14 of the Initial Purchase Contracts, and to record Council's decisions with respect to changes in use that it had approved, is apt.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With respect to the construction of the Bylaw, the language used in bylaws is to be given its plain and ordinary meaning, see </w:t>
      </w:r>
      <w:r>
        <w:rPr>
          <w:rFonts w:ascii="arial" w:eastAsia="arial" w:hAnsi="arial" w:cs="arial"/>
          <w:b/>
          <w:i/>
          <w:color w:val="000000"/>
          <w:sz w:val="20"/>
          <w:lang w:val="en-US" w:eastAsia="en-US" w:bidi="ar-SA"/>
        </w:rPr>
        <w:t>Harvey v. Strata Plan NW 2489</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2003 BCSC 1316</w:t>
        </w:r>
      </w:hyperlink>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18 B.C.L.R. (4th) 103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Harvey</w:t>
      </w:r>
      <w:r>
        <w:rPr>
          <w:rFonts w:ascii="arial" w:eastAsia="arial" w:hAnsi="arial" w:cs="arial"/>
          <w:color w:val="000000"/>
          <w:sz w:val="20"/>
          <w:lang w:val="en-US" w:eastAsia="en-US" w:bidi="ar-SA"/>
        </w:rPr>
        <w:t xml:space="preserve">]. Covenants restricting the rights to use of the property should not be extended by implication. In </w:t>
      </w:r>
      <w:r>
        <w:rPr>
          <w:rFonts w:ascii="arial" w:eastAsia="arial" w:hAnsi="arial" w:cs="arial"/>
          <w:b/>
          <w:i/>
          <w:color w:val="000000"/>
          <w:sz w:val="20"/>
          <w:lang w:val="en-US" w:eastAsia="en-US" w:bidi="ar-SA"/>
        </w:rPr>
        <w:t>Buchbinder v. Strata Plan VR2096</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(1992), 65 B.C.L.R. (2d) 325</w:t>
        </w:r>
      </w:hyperlink>
      <w:r>
        <w:rPr>
          <w:rFonts w:ascii="arial" w:eastAsia="arial" w:hAnsi="arial" w:cs="arial"/>
          <w:color w:val="000000"/>
          <w:sz w:val="20"/>
          <w:lang w:val="en-US" w:eastAsia="en-US" w:bidi="ar-SA"/>
        </w:rPr>
        <w:t xml:space="preserve"> at para. 12 (C.A.), Proudfoot J.A., speaking for the Court, cited with approval, the following passage from </w:t>
      </w:r>
      <w:r>
        <w:rPr>
          <w:rFonts w:ascii="arial" w:eastAsia="arial" w:hAnsi="arial" w:cs="arial"/>
          <w:b/>
          <w:i/>
          <w:color w:val="000000"/>
          <w:sz w:val="20"/>
          <w:lang w:val="en-US" w:eastAsia="en-US" w:bidi="ar-SA"/>
        </w:rPr>
        <w:t>Fairwood Greens Homeowners' Association Inc. v. Young</w:t>
      </w:r>
      <w:r>
        <w:rPr>
          <w:rFonts w:ascii="arial" w:eastAsia="arial" w:hAnsi="arial" w:cs="arial"/>
          <w:color w:val="000000"/>
          <w:sz w:val="20"/>
          <w:lang w:val="en-US" w:eastAsia="en-US" w:bidi="ar-SA"/>
        </w:rPr>
        <w:t>, 26 Wash. App. 758 (1980), 614 P.R. (2d) 219, in which Dore J. makes these comments (at p. 223):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Restrictions being in derogation of the common law right to use land for all lawful purposes will not be extended by implication to include any use not clearly expressed, </w:t>
      </w:r>
      <w:r>
        <w:rPr>
          <w:rFonts w:ascii="arial" w:eastAsia="arial" w:hAnsi="arial" w:cs="arial"/>
          <w:b/>
          <w:i/>
          <w:color w:val="000000"/>
          <w:sz w:val="20"/>
          <w:lang w:val="en-US" w:eastAsia="en-US" w:bidi="ar-SA"/>
        </w:rPr>
        <w:t>Burton v. Douglas County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nor will they be aided or extended by judicial construction, </w:t>
      </w:r>
      <w:r>
        <w:rPr>
          <w:rFonts w:ascii="arial" w:eastAsia="arial" w:hAnsi="arial" w:cs="arial"/>
          <w:b/>
          <w:i/>
          <w:color w:val="000000"/>
          <w:sz w:val="20"/>
          <w:lang w:val="en-US" w:eastAsia="en-US" w:bidi="ar-SA"/>
        </w:rPr>
        <w:t>Gwinn v. Clearer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Granger v. Boulls</w:t>
      </w:r>
      <w:r>
        <w:rPr>
          <w:rFonts w:ascii="arial" w:eastAsia="arial" w:hAnsi="arial" w:cs="arial"/>
          <w:color w:val="000000"/>
          <w:sz w:val="20"/>
          <w:lang w:val="en-US" w:eastAsia="en-US" w:bidi="ar-SA"/>
        </w:rPr>
        <w:t>, 21 Wash. 2nd 597, 152 P. 2d 325 (1944).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Harvey</w:t>
      </w:r>
      <w:r>
        <w:rPr>
          <w:rFonts w:ascii="arial" w:eastAsia="arial" w:hAnsi="arial" w:cs="arial"/>
          <w:color w:val="000000"/>
          <w:sz w:val="20"/>
          <w:lang w:val="en-US" w:eastAsia="en-US" w:bidi="ar-SA"/>
        </w:rPr>
        <w:t xml:space="preserve">, Ballance J. applied these principles to conclude that replacing wall to wall carpet with floating hardwood flooring did not amount to an alteration to the structure requiring the written permission of the Strata Council. See also </w:t>
      </w:r>
      <w:r>
        <w:rPr>
          <w:rFonts w:ascii="arial" w:eastAsia="arial" w:hAnsi="arial" w:cs="arial"/>
          <w:b/>
          <w:i/>
          <w:color w:val="000000"/>
          <w:sz w:val="20"/>
          <w:lang w:val="en-US" w:eastAsia="en-US" w:bidi="ar-SA"/>
        </w:rPr>
        <w:t>Rutland Pharmacy Ltd v. Al Stober Construction Ltd.</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[1993] B.C.J. No. 1106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Applying these principles to the Bylaws at issue, I find that an owner or tenant may offer products or services as part of their business, trade or use which may result in incidental similarity with a product or service offered by another owner or tenant in their business trade or use, without the strata council's approval, provided that:</w:t>
      </w:r>
      <w:r>
        <w:rPr>
          <w:rFonts w:ascii="arial" w:eastAsia="arial" w:hAnsi="arial" w:cs="arial"/>
          <w:sz w:val="20"/>
          <w:lang w:val="en-US" w:eastAsia="en-US" w:bidi="ar-SA"/>
        </w:rPr>
        <w:cr/>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 product or service is reasonably related to the original business, trade or use; and</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nature of the business, trade or use remains substantially the same as the original business trade or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primary nature of the business, trade or use may become different if the promotion of or quantity of the new product or service becomes substantial compared to the original products or services offered in the business, trade or use. In such a case the owner, tenant or occupier would be obliged to seek approval pursuant to the Bylaws.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New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use described in Clause 14 of the Initial Purchase Contract for New MacDonald was "Specialty Food, the use to be approved by the Vendor ...". The use contained in the original lease was "All Poultry items. Poultry gourmet specialities (fresh and frozen). Ready to cook poultry items. No wild game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records of the Strata reflect an application by the registered owner in October 1999 to change use from "Specialty foods" to "Poultry". The first version of the Registry in evidence, dated October 1999, shows the Current Use for New MacDonald as "poultry gourmet speciality". That Current Use carries forward in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Lee Men submits that the relevant trade or business is "poultry". New MacDonald's position is that the relevant trade or business is "poultry gourmet speciality". The position of the Strata is that the two are the same from the perspective of what trade or business is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stated earlier, the Registry is neither a contractual document nor one referenced in the Bylaws. It appears that the change of use that was applied for and approved by Council in 1999 was from "specialty foods" to "poultry". I find that the relevant trade or business is "poultry".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However, I also agree with the submission of the Strata that it makes no difference to the determination of the issues before the Court whether the trade or business is described as "poultry" or "poultry gourmet speciality". In my view, applying the principles referred to in the case law, the trade or business whether poultry or poultry gourmet specialty, includes the incidental sale of items that have to do with or relate to poultry.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next question is whether the sale of sauces and sauce mixes by New MacDonald constitutes a change of the trade or business to a use that is substantially different from that of poultry.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was not contested, and I find, that poultry stores often sell sauces or sauce mixes as an incidental part of their business. In the case of New MacDonald, I find that all of the sauces and sauce mixes offered for sale could be used for the cooking of chicken. I find further that the display of sauces or sauce mixes was small, by no means a prominent or dominant part of the shop. The volume of sale was very modest in relation to the total sales, amounting to approximately $50 - $60 per month of total sales of $10,000 - $12,000 per month. I find that the sale of sauces and sauce mixes in those circumstances by New MacDonald did not amount to a change in its trade or business. Its trade or business remained "poultry". It follows that the incidental sale by New MacDonald of sauces and sauce mixes that could be used in the cooking of chicken did not constitute a breach of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Having found that the sale of sauces and sauce mixes did not in the circumstances amount to a change in trade or business, renders the next question academic. However, the parties have indicated that these reasons are being sought in part to provide guidance with respect to the issue of permitted uses in the Market. I will therefore address this issue as well. The question is whether by the sale of sauces and sauce mixes incidental to the sale of poultry, the business or trade of New MacDonald was the same as the primary nature of the business of Lee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focus of the inquiry must be directed to the primary nature of the businesses in question, not to individual products. Both stores have sold sauces and sauce mixes, although New MacDonald has not done so for some time. It is, however, clear from the evidence, and I find, that the primary nature of the businesses or trades operated by Lee Men and New MacDonald remained different during the period in which New MacDonald was selling sauces and sauce mixes. Such sale did not constitute a violation of the Bylaws.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Peppers did not enter into an Initial Purchase Contract with the developer and it did not purchase from a third party who had done so. Peppers purchased the strata lot on a foreclosure with no restrictions. It has no Clause 14 restrictions on use. There has been no application for a change of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was a trade or business described in the original lease with the Developer. Lee Men submits that even though that use was not contained in Clause 14 of an Initial Purchase Contract, it was a description of a trade or business for purposes of the Bylaws because it was the use designated to it by the Developer in the Lease, and hence this falls within the "otherwise modified" language of the Bylaw. Lee Men submits that there is a use recorded in the Registry and that throughout everyone, including Mr. Wong, has conducted themselves on the understanding that there is a use for purposes of the Bylaws associated with the strata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my view, in this case, the parties have been conducting themselves under a mistaken understanding. The Peppers Lease was surrendered in March 1999 and the landlord and tenant released each other from any further liability under that lease. The Court vesting order dated March 19, 1999, conveyed the strata lot to the purchaser, free and clear of any restrictions except those expressed in the original Crown grants. In the circumstances, the description of use within the original Peppers Lease cannot be said, in my view, to fall within the phrase "unless otherwise modified" for purposes of the Bylaw. To do so would be inconsistent with the order by which the Purchaser acquired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the event that I am wrong, I will address the issue on the assumption that the described use in the original lease does constitute a trade or business for purposes of the Bylaws. The use contained in the original lease and recorded in the Registry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sale of raw fruits, nuts on a seasonal basis and vegetables not intended for immediate consumption, honey, and bottled fruit and vegetable juices packaged in 1 litre or larger packages.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All parties concede, and I agree, that it is not entirely clear what trade or business is identified by that description. In that regard, evidence of the factual matrix in which this description was created is helpful. In </w:t>
      </w:r>
      <w:r>
        <w:rPr>
          <w:rFonts w:ascii="arial" w:eastAsia="arial" w:hAnsi="arial" w:cs="arial"/>
          <w:b/>
          <w:i/>
          <w:color w:val="000000"/>
          <w:sz w:val="20"/>
          <w:lang w:val="en-US" w:eastAsia="en-US" w:bidi="ar-SA"/>
        </w:rPr>
        <w:t>Gubbels v. Anderson</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(1995), 8 B.C.L.R. (3d) 193</w:t>
        </w:r>
      </w:hyperlink>
      <w:r>
        <w:rPr>
          <w:rFonts w:ascii="arial" w:eastAsia="arial" w:hAnsi="arial" w:cs="arial"/>
          <w:color w:val="000000"/>
          <w:sz w:val="20"/>
          <w:lang w:val="en-US" w:eastAsia="en-US" w:bidi="ar-SA"/>
        </w:rPr>
        <w:t xml:space="preserve"> at para. 15 (C.A.), Lambert J.A., speaking for the Court, stated that such a covenant:</w:t>
      </w:r>
      <w:r>
        <w:rPr>
          <w:rFonts w:ascii="arial" w:eastAsia="arial" w:hAnsi="arial" w:cs="arial"/>
          <w:sz w:val="20"/>
          <w:lang w:val="en-US" w:eastAsia="en-US" w:bidi="ar-SA"/>
        </w:rPr>
        <w:cr/>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be interpreted in the context of its own factual matrix;</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be looked at as the conditions existed at the time it was created; and</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its purpose at the time may provide guidance for what was meant.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With respect to the factual matrix at the time the description was created, Mr. Wong has been the operator of Peppers from the outset, first by way of lease, and then purchase of the strata lot. It was his testimony that, starting in 1987, he was operating a store at Granville Island called Four Season Farms. In that store, he sold fresh and preserved fruits and vegetables, nuts, honey and honey products, syrup and pickles, olives and sauerkraut, Chinese preserved vegetables, jams and juices.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Kropinski, a director of the original Developer, shopped in his store and told him about his plans for the Market. He suggested that Mr. Wong come to the Market and operate the same type of store. Mr. Wong testified that they reviewed his operation with that in mind. Mr. Kropinski said that there would be no difficulty, except that he did not want Mr. Wong to compete with the food court operations, and so juice must be sold in containers over 1 litre and no single servings of juice or fruit salad were to be sold. The description incorporated into the lease was to replicate that of the business operated at the Granville Island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my view, the trade or business described by the use is a store that sells fruit, vegetable, nut and honey products. There are some restrictions contained in that general description. The term "raw", as applied to food, means uncooked (Concise Oxford English Dictionary 11th ed. (Oxford: Oxford University Press, 2004)). The fruit, vegetable and nut products sold are to be uncooked. The fruits, vegetables and nuts are not to be for immediate consumption, which means in the context, that the store is not to operate any form of salad bar, lunch bar, or restaurant. The products sold can include bottled fruits and vegetables such as jams and olives. Juices may be sold, but only in containers over one litre. This restriction is also directed to differentiate this business from a food court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the context of that description of a trade or business, the question for purposes of the Bylaws is whether by the sale of the products at issue, Peppers has changed the trade or business to a substantially different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first category of products at issue are, preserved vegetables. These include such products as salted turnips, packaged dried vegetables, salted mustard and pickled mustard. The preserved vegetables that have been the source of complaint are uncooked, but preserved in some form, for example through salting, drying or pickling. The intended use of the product is to be cooked before eating. The products are not intended for immediate consumption. They are raw in that they are uncooked. Mr. Wong has sold these products from the outset. The complaints emerged only when he started selling them packaged as opposed to bulk form. In my view, whether packaged or not, these products fall within squarely within the trade or business described by the use, and accordingly, the sale of these products does not change the business and is not in breach of the Bylaw. The same holds true for dried fruit products such as dried figs.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next products that have been a source of complaint are products that have been altered in some way to make them more convenient for consumption. These include, for example, peeled chestnuts or peeled and packaged bamboo shoots. Lee Men submits that such items are generically grocery items, that they have been altered from their natural state and accordingly fall outside of Peppers trade or business. In my view, this submission is rooted upon an incorrect assumption that there is exclusivity in certain goods. In my view, the peeling or packaging of such products does not change their nature. These products are raw in that they are uncooked. They are not intended for immediate consumption. The sale of such products falls within the trade or business defined in the use. Therefore, there was no change in the trade or business when these products came to be sold in this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next category is bottled products such as Citron Tea and Honey Lime. The main ingredients of both these products are fruit and honey. They are intended to be mixed with liquid to create a drink or to be used as a spread, like a jam. Lee Men submits that Peppers is permitted to sell bottled fruit and vegetable juices, but not bottled fruit, and that Citron Tea and Honey Lime are not fruit juices.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Peppers submits that it is entitled to sell bottled fruits and vegetables of which these are examples. Counsel notes that Mr. Wong sold jams and bottled vegetables such as olives in the original store whose products served as the template for the use found in the original Peppers Lease. The Strata submits that these products fall within the category of bottled fruit and are within the scope of Peppers'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my view, these are fruit products that fall within the trade or business. At the outset of its business Peppers sold jams and syrup, but gradually phased out those products due to lack of customer demand. Citron Tea and Honey Lime represent the same general type of product that is more popular with the Market customers. The decision to start selling these products did not, in my view, constitute a change in trade or business and did not violate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have been a number of other products that have given rise to complaints by Lee Men. Peppers denied ever having sold canned products, candy or snacks, rice paper, jellyfish, sauces or noodles. In any event, there is no evidence that Peppers is presently selling any of these products. The evidence and argument at trial was directed principally to the issue of the preserved foods, packaged foods and bottled products. I find that Peppers has not conducted a trade or business that is substantially different from that described in the use contained in the Peppers Lease and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Moreover, it is also clear from the evidence, and I find, that the sale of the preserved, bottled and packaged products has not resulted in Peppers operating a trade or business of the same primary nature as that of Lee Men. First, it is the case that there is overlap in the products that fall within the scope of their respective trade or business. In addition, it is the essential nature of the business that must be considered and in that respect it is clear that the essential natures of the two businesses are quite distinct.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Regarding New MacDonald and Peppers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Lee Men quite properly conceded that unless it could demonstrate that the defendants have breached either the covenants or the Bylaws, it cannot succeed in its claims against them. I have found that the plaintiff is not entitled to rely upon the covenant and that the defendants have not breached the Bylaws. Therefore, the claims against New MacDonald and Peppers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Claims Against the Strata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Since I have found no breach of the Bylaws in relation to New MacDonald and Peppers, it follows that the claims against the Strata in relation to those claims is likewise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With respect to the balance of the claims against the Strata, what remains are the claims with respect to the response of Council with respect to complaints concerning 12 Baskets and Lai Lai Tea Store. Lee Men submitted that the conduct of the Strata in relation to New MacDonald and Peppers, when coupled with its refusal to prevent 12 Baskets from selling Chinese Herbal Medicine products, and with its approval of Lai Lai's change of use allowing the retail sale of Chinese teas, amounts to conduct that is significantly unfair to the plaintiff and entitles the plaintiff to relief pursuant to s. 164(2)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Section 164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On application of an owner or tenant, the Supreme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 may make any interim or final order it considers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necessary to prevent or remedy a significantly unfair</w:t>
      </w:r>
      <w:r>
        <w:rPr>
          <w:rFonts w:ascii="arial" w:eastAsia="arial" w:hAnsi="arial" w:cs="arial"/>
          <w:sz w:val="20"/>
          <w:lang w:val="en-US" w:eastAsia="en-US" w:bidi="ar-SA"/>
        </w:rPr>
        <w:cr/>
      </w:r>
    </w:p>
    <w:p>
      <w:pPr>
        <w:numPr>
          <w:numId w:val="2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or threatened action by, or decision of, the strata corporation, including the council, in relation to the owner or tenant, or</w:t>
      </w:r>
    </w:p>
    <w:p>
      <w:pPr>
        <w:numPr>
          <w:numId w:val="2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of voting rights by a person who holds 50% or more of the votes, including proxies, at an annual or special general meeting.</w:t>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court may</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or prohibit an act of the strata corporation, the council, or the person who holds 50% or more of the votes,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vary a transaction or resolution, and</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regulate the conduct of the strata corporation's future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With respect to the Strata's dealing with 12 Baskets, I find that there is no evidence that 12 Baskets sold products that were either outside of its trade or business of health food and/or vitamins. Thus, there is no evidence that 12 Baskets was in breach of the Bylaws. Moreover, I find that Council's response to the complaints that 12 Baskets and Lee Men made about each other was appropriate. It resolved to obtain a legal opinion, received one, and implemented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complaints against the Strata with respect to 12 Baskets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With respect to Lai Lai Tea Store, the Strata admits that it did not obtain the views and position of owners who would be potentially affected if the proposed change were allowed prior to approving the change. However, it is also the case that: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Lee Men's authorized representative, Danny Lam was in attendance at the Council meeting of September 12, 2002, as a council member and as an authorized representative of Lee Men;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application was made, Danny Lam did not think that it was a problem;</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Danny Lam knew that Lai Lai would sell tea and knew that Lee Men sold tea;</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Danny Lam asked for certain restrictions to be applied to the Lai Lai application, including a no conflict clause with Unit 1590, Lee Men's Chinese Herbal Medicine Store;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Danny Lam now thinks that his decision to allow the Lai Lai application for change was a bad decision;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same meeting, Council approved another tea store for Lee Men Holdings Ltd., a company related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meaning to be given to the phrase "significantly unfair" in the context of s. 164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has been described as follows by Masuhara J. in </w:t>
      </w:r>
      <w:r>
        <w:rPr>
          <w:rFonts w:ascii="arial" w:eastAsia="arial" w:hAnsi="arial" w:cs="arial"/>
          <w:b/>
          <w:i/>
          <w:color w:val="000000"/>
          <w:sz w:val="20"/>
          <w:lang w:val="en-US" w:eastAsia="en-US" w:bidi="ar-SA"/>
        </w:rPr>
        <w:t>Gentis v. The Owners Strata Plan VR 368</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2003 BCSC 120</w:t>
        </w:r>
      </w:hyperlink>
      <w:r>
        <w:rPr>
          <w:rFonts w:ascii="arial" w:eastAsia="arial" w:hAnsi="arial" w:cs="arial"/>
          <w:color w:val="000000"/>
          <w:sz w:val="20"/>
          <w:lang w:val="en-US" w:eastAsia="en-US" w:bidi="ar-SA"/>
        </w:rPr>
        <w:t xml:space="preserve"> at para. 27 and 28. </w:t>
      </w:r>
      <w:hyperlink r:id="rId482" w:history="1">
        <w:r>
          <w:rPr>
            <w:rFonts w:ascii="arial" w:eastAsia="arial" w:hAnsi="arial" w:cs="arial"/>
            <w:i/>
            <w:color w:val="0077CC"/>
            <w:sz w:val="20"/>
            <w:u w:val="single"/>
            <w:shd w:val="clear" w:color="auto" w:fill="FFFFFF"/>
            <w:lang w:val="en-US" w:eastAsia="en-US" w:bidi="ar-SA"/>
          </w:rPr>
          <w:t>8 R.P.R. (4th) 130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scope of significant unfairness has been recently considered by this Court in </w:t>
      </w:r>
      <w:r>
        <w:rPr>
          <w:rFonts w:ascii="arial" w:eastAsia="arial" w:hAnsi="arial" w:cs="arial"/>
          <w:b/>
          <w:i/>
          <w:color w:val="000000"/>
          <w:sz w:val="20"/>
          <w:lang w:val="en-US" w:eastAsia="en-US" w:bidi="ar-SA"/>
        </w:rPr>
        <w:t>Strata Plan VR 1767 v. Seven Estate Ltd.</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(2002), 49 R.P.R. (3d) 156</w:t>
        </w:r>
      </w:hyperlink>
      <w:r>
        <w:rPr>
          <w:rFonts w:ascii="arial" w:eastAsia="arial" w:hAnsi="arial" w:cs="arial"/>
          <w:color w:val="000000"/>
          <w:sz w:val="20"/>
          <w:lang w:val="en-US" w:eastAsia="en-US" w:bidi="ar-SA"/>
        </w:rPr>
        <w:t xml:space="preserve"> (B.C.S.C.), </w:t>
      </w:r>
      <w:hyperlink r:id="rId483" w:history="1">
        <w:r>
          <w:rPr>
            <w:rFonts w:ascii="arial" w:eastAsia="arial" w:hAnsi="arial" w:cs="arial"/>
            <w:i/>
            <w:color w:val="0077CC"/>
            <w:sz w:val="20"/>
            <w:u w:val="single"/>
            <w:shd w:val="clear" w:color="auto" w:fill="FFFFFF"/>
            <w:lang w:val="en-US" w:eastAsia="en-US" w:bidi="ar-SA"/>
          </w:rPr>
          <w:t>2002 BCSC 381</w:t>
        </w:r>
      </w:hyperlink>
      <w:r>
        <w:rPr>
          <w:rFonts w:ascii="arial" w:eastAsia="arial" w:hAnsi="arial" w:cs="arial"/>
          <w:color w:val="000000"/>
          <w:sz w:val="20"/>
          <w:lang w:val="en-US" w:eastAsia="en-US" w:bidi="ar-SA"/>
        </w:rPr>
        <w:t>. In that case, Martinson J. stated (at para. 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meaning of the words "significantly unfair" would at the very least encompass oppressive conduct and unfairly prejudicial conduct or resolutions. Oppressive conduct has been interpreted to mean conduct that is burdensome, harsh, wrongful, lacking in probity or fair dealing, or has been done in bad faith. "Unfairly prejudicial conduct" has been interpreted to mean conduct that is unjust and inequitable: </w:t>
      </w:r>
      <w:r>
        <w:rPr>
          <w:rFonts w:ascii="arial" w:eastAsia="arial" w:hAnsi="arial" w:cs="arial"/>
          <w:b/>
          <w:i/>
          <w:color w:val="000000"/>
          <w:sz w:val="20"/>
          <w:lang w:val="en-US" w:eastAsia="en-US" w:bidi="ar-SA"/>
        </w:rPr>
        <w:t>Reid v. Strata Plan LMS 2503</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[2001] B.C.J. No. 2377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to this definition only by noting that I understand the use of the word 'significantly' to modify unfair in the following manner. Strata Corporations must often utilize discretion in making decisions which affect various owners or tenants. At times, the Corporation's duty to act in the best interests of all owners is in conflict with the interests of a particular owner, or group of owners. Consequently, the modifying term indicates that court should only interfere with the use of this discretion if it is exercised oppressively, as defined above, or in a fashion that transcends beyond mere prejudice or trifling unfairness.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see also </w:t>
      </w:r>
      <w:r>
        <w:rPr>
          <w:rFonts w:ascii="arial" w:eastAsia="arial" w:hAnsi="arial" w:cs="arial"/>
          <w:b/>
          <w:i/>
          <w:color w:val="000000"/>
          <w:sz w:val="20"/>
          <w:lang w:val="en-US" w:eastAsia="en-US" w:bidi="ar-SA"/>
        </w:rPr>
        <w:t>Reid v. Strata Plan LMS 2503</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[2003] B.C.J. No. 417</w:t>
        </w:r>
      </w:hyperlink>
      <w:r>
        <w:rPr>
          <w:rFonts w:ascii="arial" w:eastAsia="arial" w:hAnsi="arial" w:cs="arial"/>
          <w:color w:val="000000"/>
          <w:sz w:val="20"/>
          <w:lang w:val="en-US" w:eastAsia="en-US" w:bidi="ar-SA"/>
        </w:rPr>
        <w:t>,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the circumstances, it cannot be said, in my view, that the actions of Council were significantly unfair, entitling Lee Men to a remedy pursuant to s. 164. Accordingly, the action against the Strata with respect to Lai Lai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Lee Men led no evidence with respect to its complaints against the Strata with regard to Happy Happy, but did not discontinue its claim against the Strata with respect to that matter. The complaint against the Strata with respect to Happy Happy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the result, the claims of the plaintiff are dismissed with costs to the defendants New MacDonald, Peppers, and the Strata.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4"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Lorette v. Thorson Health Centre, [2008] B.C.J. No. 782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A.W. 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7-8, 10 and 14,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S047231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782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552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765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Lynn Marie Lorette, Plaintiff, and Thorson Health Centre, 459729 B.C. Ltd., doing business as Thorson Health Centre, Lynda Gail Thorson, Dr. Normandie M.L. Chubra-Smith and Dr. John Crosby,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5"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6" w:name="Keywords_27"/>
      <w:bookmarkEnd w:id="176"/>
      <w:r>
        <w:rPr>
          <w:rFonts w:ascii="arial" w:eastAsia="arial" w:hAnsi="arial" w:cs="arial"/>
          <w:b/>
          <w:color w:val="000000"/>
          <w:sz w:val="20"/>
          <w:lang w:val="en-US" w:eastAsia="en-US" w:bidi="ar-SA"/>
        </w:rPr>
        <w:t>Civil litigation — Civil procedure — Judgments and orders — Summary judgments — To dismiss action — Application by the defendant, Thorson Health Centre, for the dismissal of a medical malpractice action allowed — The plaintiff, Lorette, had the necessary facts within her knowledge in March 2002 — Lorette also regarded that an action would have a reasonable chance of success and it was reasonably possible for her to bring an action by April 2002 — Therefore, the limitation period expired in April 2004 at the latest and her action was statute barred prior to its commencement — Limitation Act, s. 6(4).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Extension, interruption, suspension and inapplicability — Application by the defendant, Thorson Health Centre, for the dismissal of a medical malpractice action allowed — The plaintiff, Lorette, had the necessary facts within her knowledge in March 2002 — Lorette also regarded that an action would have a reasonable chance of success and it was reasonably possible for her to bring an action by April 2002 — As a result, the limitation period was not postponed and expired in April 2004 at the latest — Therefore, Lorette's action was statute barred prior to its commencement — Limitation Act, s. 6(4).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7" w:name="Case Summary_23"/>
            <w:bookmarkEnd w:id="1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Thorson Health Centre (THC), for the dismissal of a medical malpractice action. The plaintiff, Lorette, suffered from chronic pain as a result of a motor vehicle accident that occurred in 2000. For the first three months of 2002, Lorette received treatment for her symptoms at THC, including several injections. In 2002, Lorette's health declined significantly, she became quite debilitated and was unable to work. In December 2004, Lorette commenced a medical malpractice action against THC. THC applied for dismissal of the action on the basis that Lorette's claims were statute barred prior to the commencement of the action. Lorette took the position that the two year limitation period had been postponed and that the dismissal of the action under Rule 18A would be unjust.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8" w:name="Holdings of Court_20"/>
            <w:bookmarkEnd w:id="17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Lorette knew the identity of the defendant doctors during the time she received treatment at THC. Lorette also knew that the THC doctors that treated her owed her a duty of care and she had the necessary facts within her knowledge in March 2002, when she decided not to return to THC for further treatment. In fact, it was clear from Lorette's own evidence that she suspected that her declining health could have been caused by the treatment she received at THC. Lorette also regarded that an action would have a reasonable chance of success and was considering litigation in December 2002. Finally, while Lorette was preoccupied with having her symptoms diagnosis, it was reasonably possible for her to bring an action by April 2002. As a result, the limitation period expired in April 2004 at the latest, and her action was statute barred prior to its commencement.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9" w:name="Legislation Cited_16"/>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6"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3(2), s. 6(3), s. 6(4), s. 6(5)(a), s. 6(5)(b), s.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18A, Rule 18A(11)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0" w:name="Counsel_27"/>
      <w:bookmarkEnd w:id="1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7"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Kazimirski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Thorson Health Centre, 459729 B.C. Ltd., doing business as Thorson Health Centre, Dr. Normandie M.L. Chubra-Smith and Dr. John Crosby: K.J. Jakeman and M.K. Kinch.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Lynda Gail Thorson: M.M. Skorah.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1" w:name="Judgment_27"/>
      <w:bookmarkEnd w:id="181"/>
      <w:r>
        <w:pict>
          <v:line id="_x0000_s1158"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2" w:name="A.W. MacKENZIE J."/>
            <w:bookmarkEnd w:id="182"/>
            <w:r>
              <w:rPr>
                <w:rFonts w:ascii="arial" w:eastAsia="arial" w:hAnsi="arial" w:cs="arial"/>
                <w:b/>
                <w:color w:val="000000"/>
                <w:sz w:val="30"/>
                <w:lang w:val="en-US" w:eastAsia="en-US" w:bidi="ar-SA"/>
              </w:rPr>
              <w:t>A.W. 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apply under Rule 18A for the dismissal of this medical malpractice action on the basis that the claims were statute barred under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before the Plaintiff commenced this action on December 31, 2004. They also argue there is no evidence of breach of the standard of care, or of causation. They say there is no evidence the Plaintiff did not give informed consent to the treatment, so the claim in battery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submit the matter is suitable for disposition under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If the claims against the other Defendants fail, then they do so as against the Defendant, Lynda Thorson. In any event, there is no basis for a cause of action with respect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did not pursue her claims of breach of fiduciary duty, conceding there was little or no evidence to support it. I agree and dismiss that claim against all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These claims arise out of treatment the Plaintiff received at the Thorson Health Clinic ("THC"), a pain clinic, for chronic pain that she suffered after a motor vehicle accident in August, 2000 in Nova Scotia.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the Plaintiff has prepared an extensive Statement of Claim, her complaints can be summarized as follows:</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alleges that the injections provided by one or</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both of Drs. Crosby and Chubra-Smith were performed</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a manner that breached the standard of care</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causing her injury. Dr. Crosby administered</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injections to the right sacroiliac joint area on</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each of January 17, January 28 and February 4, 2002</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(Amended Statement of Claim, para. 33).</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Chubra-Smith administered nerve block</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injections, including "an epidural-like injection in</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area of the lower right sacroiliac joint, an</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occipital nerve block, a brachial plexus block and</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cervical facet block" (Amended Statement of Claim,</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para. 43). In particular, the Plaintiff claims that</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one of the injections went directly into the</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epidural or intrathecal space or in the sacroiliac</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joint in a negligent way causing damage.</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she did not know that one of the substances used in some of the injections was DepoMedrol, a steroid. She claims she was not given the appropriate information regarding this drug and as a result did not provide informed consent.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that these breaches caused her a variety of disabling physical ailments, including reflex sympathetic dystrophy ("RSD") or complex regional pain syndrome ("CRPS").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claims that she did not know she was receiving nerve blocks, and had an express agreement with THC that she would not receive nerve blocks.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that Dr. Chubra-Smith failed to disclose her medical condition, multiple sclerosis, to the detriment of the Plaintiff.</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claims, variously, coercion and other forms of duress in her relationship with THC.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for the Plaintiff submits there are two main issues: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should be postponement of the time when the two year limitation period started to run;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would be unjust to proceed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proceeded with their various alternate positions for dismissal of the Plaintiff's claims, but I have concluded both that the Plaintiff's claim is statute barred, and that the issue is appropriate for determination under Rule 18A. It is therefore not necessary to address the alternate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Writ of Summons was filed December 31,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Crosby's Appearance was filed November 17, 2005, and Dr. Chubra-Smith's was filed on November 21,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An Amended Writ of Summons was filed November 29,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Thorson Health Centre's Appearance was filed December 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Statement of Claim was filed January 30,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Statement of Defence on behalf of Drs. Crosby and Chubra-Smith and THC was filed February 17,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Statement of Defence of Lynda Gail Thorson was filed March 23,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was examined for discovery on November 29, 30 and December 1, 2006 and January 22, 2008. The Plaintiff also underwent an independent medical examination within a few days of the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applied to amend her Statement of Claim, and this was granted. The Amended Statement of Claim was filed May 14,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was a trial scheduled for April 7, 2008. This date had been reserved since the fall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18A hearing proceeded on the first days set for trial, April 7 and 8, in accordance with the ruling of Groberman J. of March 25, 2008 when he adjourned the hearing in a considered ruling, one and a half hours into the hearing. Counsel for the Plaintiff was not prepared to proceed. He had volunteered to act for the Plaintiff on the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Groberman J. denied the Plaintiff's application of March 28, 2008 to adjourn the conventional trial set for three weeks to commence on April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gave notice to apply to set aside the Jury, but that application was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is the fifth time the Defendants' 18A application has been set for hearing. It was adjourned four times to allow the Plaintiff time to gather her evidence. At this hearing, her counsel ably argued the issue of whether the limitation period should be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conventional trial had to be adjourned in any event because, among other reasons, I could not immediately decide this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the exception of a few disputed facts, counsel for the Plaintiff agrees with the "Background Facts" in the Defendants' written submissions. Those facts that are in dispute are not relevant to the issue of whether the limitation period was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claims the chart of treatment at para. 25 of the Defendants' submissions omitted the treatments of January 24 and 31, 2002 that are reflected in the MSP billing records as trigger point injections. But the Defendants obtained an affidavit of Dr. Crosby regarding those two days. He explained there was no Medical Services Plan ("MSP") billing code for intramuscular stimulation ("IMS") of trigger points, so instead, he used the billing code for trigger point injections. However, IMS treatment does not use any injection of solutions. Therefore, those two treatments contained no steroid or any solution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Also, the March 15, 2002 treatment by Dr. Pavey was missing from the Defendants' chart of treatment. Therefore, I assumed for the purpose of the 18A hearing that the Plaintiff did have steroid injection on March 15, and on February 15 which is marked as "unknown" on the chart. The Defendants submitted the latter was a billing error as there is no doctor's record of it. Neither of those two matters affect the outcome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Subject to the paragraph above and minor editing on my part the Defendants accurately set out the background to the limitation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attended at THC in January, February and March 2002, for treatment relating to her complaints of chronic pain and headaches resulting from a motor vehicle accident in Nova Scotia in August 2000. Her car was rear-ended.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the accident, the Plaintiff spent approximately four months off work. She returned to her administrative position on a cruise ship in January 2001. While on the cruise ship, the Plaintiff sought on-board medical treatment, including trigger point injections at least twice using decadron (a steroid) and lidocaine. The treatment note indicates that she requested trigger point injections, which on two occasions were declined by the doctor. She was medically disembarked in April 2001. The Plaintiff confirmed that she attended with the ship's physician for trigger point injections in the right trapezius muscle.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returned to Nova Scotia, working part-time at a bank and attending physiotherapy. She moved to the Lower Mainland in August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Once in British Columbia, the Plaintiff sought treatment from a variety of medical professionals, including a massage therapist, a chiropractor, a work rehabilitation program (KARP), a general practitioner, a neurologist, an anaesthesiologist, and two orthopedic surgeons.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Baker, an anaesthesiologist, treated the Plaintiff on December 17, 2001. He examined her for chronic neck pain and headaches. On that occasion, he discussed with her the administration of an occipital nerve block, and performed the procedure upon obtaining the Plaintiff's consent, including her signature on a consent form. Dr. Baker also saw the Plaintiff on May 6, 2002. His discussion of occipital nerve blocks is set out in detail at para. 9 of his Affidavit. It is unnecessary to repeat it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Treatment at THC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first came to THC in January 2002. She wrote a letter to the doctors of THC in January 2002 before she started treatment. It describes her concerns and "unanswered questions" at the time. Importantly, she also describes her symptoms before she even started any treatment at the clinic. For example, she writes at p.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treatments that have been a constant lately have been 1) massage and although it is temporary relief, it is something and it comforts me a little and Important &gt; 2) I have been to a chiropractor and he understood that I felt lop sided if you will, and he said that it appeared that I carried myself to one side and the right hip and right shoulder were higher than the left so he started adjusting the hip and SI joint and the pain in deep in the hip and groin to crouch or bend has become excruciatingly more painful with every treatment. As well he manipulated my neck any further but the headaches are getting worse by the day and until I know what is going on inside of my neck (a disk has never been ruled out), logic tells me it is best to wait until the catalyst for this neck pain and headache is revealed and under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common ground the Plaintiff entered the THC with SI (sacroiliac) joint and other problems from her motor vehicle accident in August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was initially seen by Dr. Hrabar. She also saw Dr. Feldman, who was a physical medicine and rehabilitation specialist, and Dr. Crosby, an anaesthesiologist. A number of treatments were recommended for her, including exercise, education, anesthesia, counselling, and massage.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the anaesthetic treatment, trigger point injections and nerve blocks were offered to the Plaintiff at THC. Trigger point injections and nerve blocks are meant to treat trigger points which are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Malalignment as a result of injury in the back "will lead to shortening of some muscles and over stretching of others as well as the potential to compress nerves as they leave the spinal canal. When muscles are overstretched or nerves compressed taut bands in muscles known as trigger points can form. Trigger points can be treated in many ways including manual therapy techniques, stretch and spray, dry needling and injections of saline, local anesthetics and/or steroids": </w:t>
      </w:r>
      <w:r>
        <w:rPr>
          <w:rFonts w:ascii="arial" w:eastAsia="arial" w:hAnsi="arial" w:cs="arial"/>
          <w:i/>
          <w:color w:val="000000"/>
          <w:sz w:val="20"/>
          <w:lang w:val="en-US" w:eastAsia="en-US" w:bidi="ar-SA"/>
        </w:rPr>
        <w:t>Report of Dr. Kliffer</w:t>
      </w:r>
      <w:r>
        <w:rPr>
          <w:rFonts w:ascii="arial" w:eastAsia="arial" w:hAnsi="arial" w:cs="arial"/>
          <w:color w:val="000000"/>
          <w:sz w:val="20"/>
          <w:lang w:val="en-US" w:eastAsia="en-US" w:bidi="ar-SA"/>
        </w:rPr>
        <w:t>, January 29, 2007 at p.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Kliffer explained that trigger points can be treated by injection: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Trigger point injections (TPI) are a long accepted modality for treatment of a myofascial pain syndrome. A needle is inserted into a trigger point while looking for an involuntary muscle twitch. This can be done with a dry needle or with a solution of saline, local anesthetic, and/or steroid such as depomedrol. The advantage of using a local anesthetic with or without steroid is that there is less discomfort for the 24-48 hours following a treatment: </w:t>
      </w:r>
      <w:r>
        <w:rPr>
          <w:rFonts w:ascii="arial" w:eastAsia="arial" w:hAnsi="arial" w:cs="arial"/>
          <w:i/>
          <w:color w:val="000000"/>
          <w:sz w:val="20"/>
          <w:lang w:val="en-US" w:eastAsia="en-US" w:bidi="ar-SA"/>
        </w:rPr>
        <w:t>Report of Dr. Kliffer</w:t>
      </w:r>
      <w:r>
        <w:rPr>
          <w:rFonts w:ascii="arial" w:eastAsia="arial" w:hAnsi="arial" w:cs="arial"/>
          <w:color w:val="000000"/>
          <w:sz w:val="20"/>
          <w:lang w:val="en-US" w:eastAsia="en-US" w:bidi="ar-SA"/>
        </w:rPr>
        <w:t>, January 29, 2007 at p.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addition to trigger point injections, Dr. Crosby offered the Plaintiff acupuncture and IMS (intramuscular stimulation using acupuncture needles). Acupuncture needles, which are solid, do not inject substances, and are considerably thinner than conventional needles used for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summary the objective evidence discloses, and I find, Ms. Lorette received ten injections with DepoMedrol by Dr. Crosby and none of the injections containing solutions were into the muscle around the right sacroiliac area. Dr. Chubra-Smith performed eleven injections with DepoMedrol and only one of these injections was into the muscle around the sacroiliac area. This one injection was on the right side at the top of the gluteus maximus lateral to the iliac spine, and Dr. Chubra-Smith's evidence is that this was not a sacroiliac joint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Other Relevant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attending THC, the Plaintiff went to see other doctors, including Dr. Jaworski, from whom she sought trigger point injections. At Dr. Jaworski's office she completed a McGill Pain Questionnaire dated February 28, 2002. She concedes it is accurate. In the "Pain Description" section, the Plaintiff stated her complaints included:</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"constant headache" and "severe base skull cervical C1 C2 C3"</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 referred to groin, buttock and leg" and "right SI"</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"bone spurs excruciating left elbow"</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"thoracic lumbar pain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also filled out a word association section with the following: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"torturing" headache and neck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"intense" neck and "unbearable" headache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"cramping" groin and leg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"killing" headache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"sore" and "aching"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After her last visit at THC on March 22, 2002, the Plaintiff experienced a pneumothorax. There is a description of what occurred, based on a history provided by the Plaintiff, at Ex. A, p. 3 of Affidavit #2 of Dr. Chubra-Smith: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on Mar 22/02 just prior to my holidays -- the TPI of (L) thorax resulted in a pneumothorax which required 5 days of O2 Rx &amp; daily CXR's at Surrey Mem. Hosp. (Pt. refused chest tube) Symptoms came on 8 hours after the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pneumothorax resolved entirely. By at least April 2002 there was no evidence of any residual effect from the pneumothorax. The Plaintiff submits it is fair to say this healed, but that she was still experiencing ongoing chest pain. The Plaintiff was evaluated by Dr. Feige of South Fraser Respirology, whose opinion was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of any residual pneumothorax, nor is it likely that there is any residual complication from the previous left-sided small pneumothorax. There does not seem to be any costochondritis. I suspect that the episodes of chest discomfort that Ms. Lorette has experienced were musculoskeletal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was a passing reference to muscle atrophy in Dr. Chubra-Smith's assessment of the Plaintiff on March 20, 2002. However, there was no evidence of muscle atrophy in April or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treatment given at THC was followed by further similar treatment by Dr. Chubra-Smith at Burnaby Hospital in April 2002, and by Dr. Baker in May 2002. There is evidence that at Burnaby Hospital Dr. Chubra-Smith treated the Plaintiff with mostly "dry-needling" on April 2, 2002. On April 23, 2002, Dr. Chubra-Smith gave the Plaintiff eleven injections using saline and DepoMedrol. On May 6, 2002, Dr. Baker treated the Plaintiff with a nerve block injection containing DepoMedrol.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disputes receiving further treatment from Dr. Chubra-Smith in April 2002, and says she went instead to Burnaby Hospital in April 2002 to seek from Dr. Chubra-Smith an explanation of: the course of the medical treatment she had received; the wound or depression in her right lower back and increased pain; and new symptomology since the injections at THC. However, based on the records of Dr. Chubra-Smith I find the Plaintiff also had the treatments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went on to receive other consultations and treatments for her pain, including:</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Prolotherapy with physicians in British Columbia and in Chicago;</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Intravenous vitamin treatments from a naturopath in British Columbia, including intravenous vitamin drips;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Hyperbaric oxygen treatments in Florida;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Consultations with specialists in physical medicine and rehabilitation, and neurosurgery.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Prolotherapy is a controversial treatment which involves injecting an irritant solution into the body, generally in the region of tendons or ligaments that have been damaged by injury or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hyperbaric oxygen therapy, 100% oxygen is delivered in a pressurized chamber so that the air pressure within the chamber is 2 to 3 times greater than normal. The combination of increased atmospheric pressure and increased inhaled oxygen allows the lungs to absorb higher concentrations of oxygen. The therapy has been used for chronic pain and for complex regional pain syndrome, but there are few controlled trials in its treatment of CRPS and its role in the treatment of this and other conditions remains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Plaintiff's Condition after Treatment at THC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2002, the Plaintiff experienced a severe decline in her health. She was unable to work and relied on social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She experienced weakness and pain in her right leg, and developed a limp and difficulty walking. In August 2002 she attended the Emergency Department of Surrey Memorial Hospital, reporting pain radiating down her leg, limping, an inability to go to the bathroom and anxiety. Four days later she attended the Emergency Department at Burnaby Hospital, reporting chest pain, difficulty breathing, tinitis, facial numbness, and swelling in her throat.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Also in August, a Dr. Schamberger recommended her for disability benefits, including funding for home care and a wheelchair. Funding was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Her income assistance worker, Ms. Bemisderfer, arranged for the Plaintiff to have a home care assessment. She arranged for the Plaintiff to have access to Handi-Dart transportation. She arranged to provide the Plaintiff with, based on the recommendation of an occupational therapist, a hand-held shower and shower stool so she could safely shower.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Throughout the fall, the Plaintiff made more visits to the Emergency Departments of various hospitals, saw many different doctors, and continued to experience debilitating pain. She was barely able to walk and had to support herself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describes her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the fall of 2002 and early 2003 I was having a difficult time in every aspect of my life. I was unemployed and unable to work, I had no money, my vehicle was repossessed, I was fighting for disability benefits, I was unable to find a family physician, I was incredibly sick and no-one could provide me with a diagnosis, my condition continued to deteriorate rapidly, and I was contemplating suicide because I could not fathom living with this pain. My only concern was to get a diagnosis and obtain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Bemisderfer confirms that the Plaintiff was suicidal; her affidavit states that she engaged the Plaintiff in a verbal suicidal contract that the Plaintiff would contact Ms. Bemisderfer prior to ending her life. Her former boyfriend, Richard Helm, confirms that in June 2002 the Plaintiff was much changed. He describes her as a "different person" in terms of her health and wellness. She was unable to engage in activities she used to enjoy and complained of pain everywhere, particularly in her back, pelvis, and legs. When he returned a few months later, he reports she rarely drove, did not really go out, and was almost always in bed. By 2003, she had sold most of belongings and her car had been repossessed.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January 2003 she saw a neurosurgeon who first mentioned that the Plaintiff might suffer from RSD. In March 2003, Dr. McDonald diagnosed the Plaintiff with CRPS based on a telephone conversation he had with her, and on the documentation of two other doctors. MSP denied her request for funding to receive treatment in the United States. In June 2003, her homecare services were terminated. She describes herself as, at the time, weighing 89 pounds and being "completely debilitated". In the fall of 2003, she obtained private funding for her treatment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personally addressed the court. The Defendants graciously did not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Omissions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Counsel for the Defendants drew my attention to some mysterious discrepancies between the Plaintiff's copies and the Defendants' copies of the record of Burnaby Hospital emergency dated November 23, 2002 and in the Fraser Health Authority Emergency/Ambulatory clinical record dated October 23, 2002 (Ex.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copy tendered as exhibits to her affidavit of April 4, 2008 of the Fraser Health Authority record, in the lower right corner under, "DIAGNOSIS:" omits the words, "ACUTE ON CHRONIC BACK" before the word, "PAIN". Those words do appear in the Defendants' copy. Thus, the important words, "ACUTE ON CHRONIC BACK" fail to modify or describe "Pain" in the Plaintiff's 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Burnaby Hospital Record, dated November 23, 2002, the Defendants' copy has the words, "pale, warm, dry" to describe the Plaintiff's skin condition. However, those words have been removed from the Plaintiff's 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Also, the words "pt. had MVA in 2000. has" which comes immediately before the words, "suffered from lower back pain since", have been removed from the Plaintiff's copy but are present in the Defendants' copy of the same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copies therefore are missing the words that could clearly be considered prejudicial to her position. No explanation was offered for this interesting discrepancy in the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Postponement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All the parties agree that section 3(2)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contains the time limit which governs the Plaintiff's claim for personal injury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her claim in battery. Section 3(2)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After the expiration of 2 years after the date on which the right to do so arose a person may not bring any of the following actions:</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(4)(k), for damages in respect of injury to person or property, including economic loss arising from the injury, whether based on contract, tort or statutory duty;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this case, the treatment that the Plaintiff alleges caused her injury, CRPS, occurred at THC between January and March of 2002. The Plaintiff filed her writ of summons on December 31,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She relies on the postponement provision in section 6(3), which postpones the running of time for personal injury and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Absent postponement, the limitation period commences when the cause of action arose: </w:t>
      </w:r>
      <w:r>
        <w:rPr>
          <w:rFonts w:ascii="arial" w:eastAsia="arial" w:hAnsi="arial" w:cs="arial"/>
          <w:b/>
          <w:i/>
          <w:color w:val="000000"/>
          <w:sz w:val="20"/>
          <w:lang w:val="en-US" w:eastAsia="en-US" w:bidi="ar-SA"/>
        </w:rPr>
        <w:t>Thomas v. Vancouver Coastal Health Authority</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2006 BCSC 422</w:t>
        </w:r>
      </w:hyperlink>
      <w:r>
        <w:rPr>
          <w:rFonts w:ascii="arial" w:eastAsia="arial" w:hAnsi="arial" w:cs="arial"/>
          <w:color w:val="000000"/>
          <w:sz w:val="20"/>
          <w:lang w:val="en-US" w:eastAsia="en-US" w:bidi="ar-SA"/>
        </w:rPr>
        <w:t xml:space="preserve"> at para. 17; </w:t>
      </w:r>
      <w:r>
        <w:rPr>
          <w:rFonts w:ascii="arial" w:eastAsia="arial" w:hAnsi="arial" w:cs="arial"/>
          <w:b/>
          <w:i/>
          <w:color w:val="000000"/>
          <w:sz w:val="20"/>
          <w:lang w:val="en-US" w:eastAsia="en-US" w:bidi="ar-SA"/>
        </w:rPr>
        <w:t>Levitt v. Carr</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(1992), 66 B.C.L.R. (2d) 58</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Section 6(3)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The running of time with respect to the limitation periods set by this Act for any of the following actions is postponed as provided in subsection (4):</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Section 6(4) qualifies s. 6(3), providing:</w:t>
      </w:r>
      <w:r>
        <w:rPr>
          <w:rFonts w:ascii="arial" w:eastAsia="arial" w:hAnsi="arial" w:cs="arial"/>
          <w:sz w:val="20"/>
          <w:lang w:val="en-US" w:eastAsia="en-US" w:bidi="ar-SA"/>
        </w:rPr>
        <w:cr/>
      </w:r>
    </w:p>
    <w:p>
      <w:pPr>
        <w:numPr>
          <w:numId w:val="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Section 6(5) defines "appropriate advice" and "facts" within the meaning of s. 6(4):</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1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Finally, section 6(6) provides that the burden of proving the running of time has been postponed is on the person claiming the benefit of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Ounjian v. St. Paul's Hospital</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2002 BCSC 104</w:t>
        </w:r>
      </w:hyperlink>
      <w:r>
        <w:rPr>
          <w:rFonts w:ascii="arial" w:eastAsia="arial" w:hAnsi="arial" w:cs="arial"/>
          <w:color w:val="000000"/>
          <w:sz w:val="20"/>
          <w:lang w:val="en-US" w:eastAsia="en-US" w:bidi="ar-SA"/>
        </w:rPr>
        <w:t xml:space="preserve">, the court considered the components of s. 6(4)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It reiterated the three components Lambert J.A. articulated in </w:t>
      </w:r>
      <w:r>
        <w:rPr>
          <w:rFonts w:ascii="arial" w:eastAsia="arial" w:hAnsi="arial" w:cs="arial"/>
          <w:b/>
          <w:i/>
          <w:color w:val="000000"/>
          <w:sz w:val="20"/>
          <w:lang w:val="en-US" w:eastAsia="en-US" w:bidi="ar-SA"/>
        </w:rPr>
        <w:t>Vance v. Peglar</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(1996), 138 D.L.R. (4th) 711</w:t>
        </w:r>
      </w:hyperlink>
      <w:r>
        <w:rPr>
          <w:rFonts w:ascii="arial" w:eastAsia="arial" w:hAnsi="arial" w:cs="arial"/>
          <w:color w:val="000000"/>
          <w:sz w:val="20"/>
          <w:lang w:val="en-US" w:eastAsia="en-US" w:bidi="ar-SA"/>
        </w:rPr>
        <w:t xml:space="preserve"> (B.C.C.A.) and found, at para. 21, that there is also a fourth component of s. 6(4):</w:t>
      </w:r>
      <w:r>
        <w:rPr>
          <w:rFonts w:ascii="arial" w:eastAsia="arial" w:hAnsi="arial" w:cs="arial"/>
          <w:sz w:val="20"/>
          <w:lang w:val="en-US" w:eastAsia="en-US" w:bidi="ar-SA"/>
        </w:rPr>
        <w:cr/>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 is known to the plaintiff.</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certain facts (including the facts set out in s. 6(5)(b)) within her means of knowledge.</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an action would have a reasonable prospect of success.</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the plaintiff ought, in her own interests and taking her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All four components must be satisfied before time begins to run. The Plaintiff commenced her action on December 31, 2004. Therefore, all four components must have been satisfied by December 31, 2002 in order for the limitation period to have expired before the commencement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First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this case, it is common ground that the Plaintiff knew the identity of the Defendants during the period she received treatment at THC, from January to March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Second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the Plaintiff had certain facts within her means of knowledge is a more difficult issue. In this case, there can be little doubt and I find that the Plaintiff knew the doctors who treated her at THC owed her a duty of care. Rather, the issue is when she had within her means of knowledge the "fact" that the Defendants had breached their duty, causing her the injury, CRPS.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argues that she did not know what was wrong with her until March 2003 when she was diagnosed with CRPS. She argues that no causal connection was made between her treatment at THC and her injury, CRPS, until January 2004 when Dr. Neubauer, a Florida physician who treated the Plaintiff, confirmed the diagnosis. The Plaintiff submits that, among other reasons, the limitation period did not begin to run until she was diagnosed with CRPS.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Levitt,</w:t>
      </w:r>
      <w:r>
        <w:rPr>
          <w:rFonts w:ascii="arial" w:eastAsia="arial" w:hAnsi="arial" w:cs="arial"/>
          <w:color w:val="000000"/>
          <w:sz w:val="20"/>
          <w:lang w:val="en-US" w:eastAsia="en-US" w:bidi="ar-SA"/>
        </w:rPr>
        <w:t xml:space="preserve"> our Court of Appeal held at p. 69 that the "facts falling within the plaintiff's means of knowledge are, firstly, those actually known, and secondly, those which would become known if he took such steps as would have been reasonable for him to take in his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Thomas,</w:t>
      </w:r>
      <w:r>
        <w:rPr>
          <w:rFonts w:ascii="arial" w:eastAsia="arial" w:hAnsi="arial" w:cs="arial"/>
          <w:color w:val="000000"/>
          <w:sz w:val="20"/>
          <w:lang w:val="en-US" w:eastAsia="en-US" w:bidi="ar-SA"/>
        </w:rPr>
        <w:t xml:space="preserve"> Pitfield J. considered the second component of the test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appreciate the applicable jurisprudence, it is not necessary that all available information necessary to prove the cause of action actually be in the plaintiff's possession before the limitation period begins to run. What is important is that the claimant be in a position to gain access to the material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Karsanjii Estate v. Roque</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(1990), 43 B.C.L.R. (2d) 234</w:t>
        </w:r>
      </w:hyperlink>
      <w:r>
        <w:rPr>
          <w:rFonts w:ascii="arial" w:eastAsia="arial" w:hAnsi="arial" w:cs="arial"/>
          <w:color w:val="000000"/>
          <w:sz w:val="20"/>
          <w:lang w:val="en-US" w:eastAsia="en-US" w:bidi="ar-SA"/>
        </w:rPr>
        <w:t xml:space="preserve"> (B.C.C.A.) Taylor J.A. considered the second requirement of s. 6(4) at pp. 263-264: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concluded that where, as here, the fact that injury has been suffered -- surgery which "backfired totally" -- is known to the prospective plaintiff, and where a reasonable person in his position would have appreciated that this may reasonably have resulted from a breach of duty on the part of a person whose identity is known to the prospective plaintiff, and where the fact that it was so caused could reasonably be discovered by obtaining advice available to the prospective plaintiff (even though the assistance of a lawyer or other intermediary might be required in order to obtain such advice) then the relevant "facts" should be regarded as falling within his "means of knowledge" for the purpose of section 6(3)(i).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say this because to hold that time does not start to run in such circumstances until the prospective plaintiff happens to receive expert advice confirming that the relevant breach of duty is a possible explanation for the problem -- let alone a probable or likely explanation -- would in my view unreasonably expose prospective defendants to "stale"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Karsanjii</w:t>
      </w:r>
      <w:r>
        <w:rPr>
          <w:rFonts w:ascii="arial" w:eastAsia="arial" w:hAnsi="arial" w:cs="arial"/>
          <w:color w:val="000000"/>
          <w:sz w:val="20"/>
          <w:lang w:val="en-US" w:eastAsia="en-US" w:bidi="ar-SA"/>
        </w:rPr>
        <w:t xml:space="preserve">, the plaintiff had back surgery on two occasions, and alleged that the surgeon had performed the surgeries negligently. Taylor J.A. found that the time would have started to run once Mr. Karsanjii knew the operation was unsuccessful and a reasonable person in Mr. Karsanjii's position could discover the reason by proper inquiry. This was so because Mr. Karsanjii had obviously suffered damage, "in the sense of a failed operation" (p. 264) and it might obviously have been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doctor's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Plaintiff argues the facts of </w:t>
      </w:r>
      <w:r>
        <w:rPr>
          <w:rFonts w:ascii="arial" w:eastAsia="arial" w:hAnsi="arial" w:cs="arial"/>
          <w:b/>
          <w:i/>
          <w:color w:val="000000"/>
          <w:sz w:val="20"/>
          <w:lang w:val="en-US" w:eastAsia="en-US" w:bidi="ar-SA"/>
        </w:rPr>
        <w:t>Karsanjii</w:t>
      </w:r>
      <w:r>
        <w:rPr>
          <w:rFonts w:ascii="arial" w:eastAsia="arial" w:hAnsi="arial" w:cs="arial"/>
          <w:color w:val="000000"/>
          <w:sz w:val="20"/>
          <w:lang w:val="en-US" w:eastAsia="en-US" w:bidi="ar-SA"/>
        </w:rPr>
        <w:t xml:space="preserve"> are distinguishable from the case at bar. In </w:t>
      </w:r>
      <w:r>
        <w:rPr>
          <w:rFonts w:ascii="arial" w:eastAsia="arial" w:hAnsi="arial" w:cs="arial"/>
          <w:b/>
          <w:i/>
          <w:color w:val="000000"/>
          <w:sz w:val="20"/>
          <w:lang w:val="en-US" w:eastAsia="en-US" w:bidi="ar-SA"/>
        </w:rPr>
        <w:t>Karsanjii</w:t>
      </w:r>
      <w:r>
        <w:rPr>
          <w:rFonts w:ascii="arial" w:eastAsia="arial" w:hAnsi="arial" w:cs="arial"/>
          <w:color w:val="000000"/>
          <w:sz w:val="20"/>
          <w:lang w:val="en-US" w:eastAsia="en-US" w:bidi="ar-SA"/>
        </w:rPr>
        <w:t>, specific surgery was had, on two certain dates, on a discrete, injured area of the body. On the other hand, the injury the Plaintiff suffered in this case is CRPS, the symptoms of which are more generalized. Further, she did not get a diagnosis until March 6, 2003. The possibility that she had CRPS was not mentioned to her until January 20,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 agree with the Plaintiff that the facts of </w:t>
      </w:r>
      <w:r>
        <w:rPr>
          <w:rFonts w:ascii="arial" w:eastAsia="arial" w:hAnsi="arial" w:cs="arial"/>
          <w:b/>
          <w:i/>
          <w:color w:val="000000"/>
          <w:sz w:val="20"/>
          <w:lang w:val="en-US" w:eastAsia="en-US" w:bidi="ar-SA"/>
        </w:rPr>
        <w:t>Karsanjii</w:t>
      </w:r>
      <w:r>
        <w:rPr>
          <w:rFonts w:ascii="arial" w:eastAsia="arial" w:hAnsi="arial" w:cs="arial"/>
          <w:color w:val="000000"/>
          <w:sz w:val="20"/>
          <w:lang w:val="en-US" w:eastAsia="en-US" w:bidi="ar-SA"/>
        </w:rPr>
        <w:t xml:space="preserve"> are distinguishable from the case at bar. The connection between her generalized symptoms of pain and the treatment she received at THC is less obvious than the connection between back surgery that "backfired totally" and subsequent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question this Court must answer is when the Plaintiff had certain facts within her means of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this case, I find the Plaintiff had the necessary facts within her means of knowledge when she declined to return to THC for treatment. Her last treatment was on March 22, 2002. It is true that was the day of the accidental pneumotharax, but the Plaintiff wrote on p. 3 of her letter of May 4, 2002, to THC, referring to her pneumotharax that, "... sometimes things happen, I have not, nor will I make a big deal out of this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her Amended Statement of Claim at para. 61, the Plaintiff states that she made two visits to Dr. Chubra-Smith at her practice at Burnaby General Hospital in April 2002. The purpose of the visits was to "seek some accounting or explanation" of the course of treatment she had received from Dr. Chubra-Smith. She wanted an explanation for the depression in her lower back, and for "the increase in pain and new symptomology since the injections" at THC. These visits show that the Plaintiff had connected her symptoms to her treatment at THC in April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That the Plaintiff suspected the treatment she received at THC was a possible cause of her declining health is apparent in the Plaintiff's own evidence. For example, she reports that in April 2002 she consulted Dr. Hershler about burning pain she was experiencing in her legs; she notes that prior to attending to THC she had never experienced burning pain in her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letter of May 4, 2002 to THC outlines numerous issues and complaints she had with the treatment she had received. She asked that THC refrain from contacting her as she was going to try to get well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submits that the Defendants did not advise her that she had received steroid injections at THC. However, the evidence of Dr. Baker indicates the Plaintiff told him in May 2002 that she had received steroid injections at THC. She made a similar comment to her boyfriend Richard Helm in June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Also, there is evidence that on December 3, 2002 the Plaintiff indicated to Beate Desroches, the Nursing Supervisor at Bayshore Home Health, that she was "looking into legal action against pain clinic due to them not f/u on report from RN that tissue show signes [sic] of atrophy and cont with cortisone injection causing her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this case, I find that the Plaintiff had the necessary facts within her means of knowledge to link her treatment at THC to her subsequent pain when her cause of action arose. In fact, I find on the evidence that she did in fact make a connection between the treatment and her injuries in April 2002. The Plaintiff's own pleadings disclose that she had made this link, and that she visited Dr. Chubra-Smith to get an explanation or "accounting" of her new symptoms. That she went to Dr. Chubra-Smith to have her account for her symptoms supports my finding that she had connected her injury to her treatment at THC by April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While I find that the Plaintiff had the necessary facts within her means of knowledge when her cause of action arose I note there is other evidence that this criterion was satisfied well before December 31, 2002. For example, the Plaintiff claims she did not have a copy of her Assessment Report from THC until November 2002, and that the Report was necessary for her to learn the details of her treatment. However, I find the Plaintiff had access to her Assessment Report as early as May 4, 2002. On that date, she wrote a letter to THC to express various complaints and issues she had with their treatment and conduct. The letter contains nearly direct quotes from the Assessment Report. I infer that the Plaintiff did have access to the Report by May 2002 in spite of her position that she did not receive it until November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Further, I note that it is not necessary for the Plaintiff to have a diagnosis of her injury in order have the requisite facts within her means of knowledge. As the court in </w:t>
      </w:r>
      <w:r>
        <w:rPr>
          <w:rFonts w:ascii="arial" w:eastAsia="arial" w:hAnsi="arial" w:cs="arial"/>
          <w:b/>
          <w:i/>
          <w:color w:val="000000"/>
          <w:sz w:val="20"/>
          <w:lang w:val="en-US" w:eastAsia="en-US" w:bidi="ar-SA"/>
        </w:rPr>
        <w:t>Karsanjii</w:t>
      </w:r>
      <w:r>
        <w:rPr>
          <w:rFonts w:ascii="arial" w:eastAsia="arial" w:hAnsi="arial" w:cs="arial"/>
          <w:color w:val="000000"/>
          <w:sz w:val="20"/>
          <w:lang w:val="en-US" w:eastAsia="en-US" w:bidi="ar-SA"/>
        </w:rPr>
        <w:t xml:space="preserve"> noted at p. 264, to wait for time to run until the plaintiff has expert evidence confirming that the breach of duty may have caused the injury would "unreasonably expose prospective defendants to 'stale' claims". In these circumstances, it was not necessary for the Plaintiff to have a diagnosis in order to have the facts within her means of knowledge. To satisfy the second condition, it is sufficient to find, as I have found, that she had connected the treatment she received at THC with her injuries and had all other necessary facts within her means of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Third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Plaintiff argues that she was not in a position to seek legal advice in 2002 because she did not yet have a diagnosis of her injury. As indicated above, it is not necessary for the Plaintiff to have a diagnosis; the test for the third component of s. 6(4) "requires one to assume that the claimant obtained notional advice from a notional advisor at the time that the facts were known to the claimant or within her means of knowledge": </w:t>
      </w:r>
      <w:r>
        <w:rPr>
          <w:rFonts w:ascii="arial" w:eastAsia="arial" w:hAnsi="arial" w:cs="arial"/>
          <w:b/>
          <w:i/>
          <w:color w:val="000000"/>
          <w:sz w:val="20"/>
          <w:lang w:val="en-US" w:eastAsia="en-US" w:bidi="ar-SA"/>
        </w:rPr>
        <w:t>Thomas</w:t>
      </w:r>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Ounjian</w:t>
      </w:r>
      <w:r>
        <w:rPr>
          <w:rFonts w:ascii="arial" w:eastAsia="arial" w:hAnsi="arial" w:cs="arial"/>
          <w:color w:val="000000"/>
          <w:sz w:val="20"/>
          <w:lang w:val="en-US" w:eastAsia="en-US" w:bidi="ar-SA"/>
        </w:rPr>
        <w:t xml:space="preserve"> at para. 28,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abstraction of notional advice by notional advisors means that the actual advice or the absence of advice is not relevant. As pointed out by McEachern C.J.B.C. in </w:t>
      </w:r>
      <w:r>
        <w:rPr>
          <w:rFonts w:ascii="arial" w:eastAsia="arial" w:hAnsi="arial" w:cs="arial"/>
          <w:b/>
          <w:i/>
          <w:color w:val="000000"/>
          <w:sz w:val="20"/>
          <w:lang w:val="en-US" w:eastAsia="en-US" w:bidi="ar-SA"/>
        </w:rPr>
        <w:t>Vance v. Peglar</w:t>
      </w:r>
      <w:r>
        <w:rPr>
          <w:rFonts w:ascii="arial" w:eastAsia="arial" w:hAnsi="arial" w:cs="arial"/>
          <w:color w:val="000000"/>
          <w:sz w:val="20"/>
          <w:lang w:val="en-US" w:eastAsia="en-US" w:bidi="ar-SA"/>
        </w:rPr>
        <w:t xml:space="preserve"> at p. 261, appropriate advice is deemed to be competent advice, which may be different from actual advice or no advice. He also pointed out that the limitation period is not postponed until the plaintiff obtains a favourable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this case, I find that a reasonable person in the Plaintiff's position, knowing that she had new symptoms and increased pain since receiving treatment, having connected those injuries to her treatment, and having taken the appropriate advice, would regard those facts as showing that an action would have a reasonable prospect of success. While I find that the third component was satisfied when her cause of action arose, I note that there is additional evidence that the Plaintiff was contemplating pursuing litigation against THC in December 2002. She told Ms. Desroches on December 3, 2002 that she was considering taking legal action against THC.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Fourth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Section 6(4)(b) provides that time does not begin to run until the Plaintiff, in her own interests and taking her circumstances into account, ought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Supreme Court of Canada in </w:t>
      </w:r>
      <w:r>
        <w:rPr>
          <w:rFonts w:ascii="arial" w:eastAsia="arial" w:hAnsi="arial" w:cs="arial"/>
          <w:b/>
          <w:i/>
          <w:color w:val="000000"/>
          <w:sz w:val="20"/>
          <w:lang w:val="en-US" w:eastAsia="en-US" w:bidi="ar-SA"/>
        </w:rPr>
        <w:t>Novak v. Bond,</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xml:space="preserve"> considered how the court should construe s. 6(4)(b)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Writing for the majority, McLachlin J. (as she then was) held at para. 90 that the limitation period will be postponed if: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interests and circumstances are so pressing that a reasonable person would conclude that, in light of them, the plaintiff could not reasonably bring an action at the time his or her bare legal rights crystallized. The task in every case is to determine the point at which the plaintiff reasonably could bring an action, taking into account his or her own interests and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She held at para. 85 that "the reasonable person would only consider that the plaintiff could not have brought an action at the time the right to do so first arose if the plaintiff's own interests and circumstances were serious, significant, and compelling".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McLachlin J. gave the following examples of when a plaintiff might not be able to reasonably bring an action at para.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may not reasonably be able to bring an action when, viewed objectively but with regard to the plaintiff's own situation, the costs and strain of litigation would be overwhelming to him or her, the possible damages recoverable would be minimal or speculative at best, or other personal circumstances combine to make it unfeasible to initiate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Plaintiff relies heavily on the </w:t>
      </w:r>
      <w:r>
        <w:rPr>
          <w:rFonts w:ascii="arial" w:eastAsia="arial" w:hAnsi="arial" w:cs="arial"/>
          <w:b/>
          <w:i/>
          <w:color w:val="000000"/>
          <w:sz w:val="20"/>
          <w:lang w:val="en-US" w:eastAsia="en-US" w:bidi="ar-SA"/>
        </w:rPr>
        <w:t>Novak</w:t>
      </w:r>
      <w:r>
        <w:rPr>
          <w:rFonts w:ascii="arial" w:eastAsia="arial" w:hAnsi="arial" w:cs="arial"/>
          <w:color w:val="000000"/>
          <w:sz w:val="20"/>
          <w:lang w:val="en-US" w:eastAsia="en-US" w:bidi="ar-SA"/>
        </w:rPr>
        <w:t xml:space="preserve"> decision to support her position that based on her interests and circumstances, she could not have reasonably brought an action at the time her cause of action arose. She submits that after she received treatment at THC and throughout 2002 she was focussed on regaining her health through obtaining medical advice and treatment. Indeed, her MSP record reflects that she saw 37 health professionals in 2002. She points to the following passage at para. 40 in </w:t>
      </w:r>
      <w:r>
        <w:rPr>
          <w:rFonts w:ascii="arial" w:eastAsia="arial" w:hAnsi="arial" w:cs="arial"/>
          <w:b/>
          <w:i/>
          <w:color w:val="000000"/>
          <w:sz w:val="20"/>
          <w:lang w:val="en-US" w:eastAsia="en-US" w:bidi="ar-SA"/>
        </w:rPr>
        <w:t>Novak</w:t>
      </w:r>
      <w:r>
        <w:rPr>
          <w:rFonts w:ascii="arial" w:eastAsia="arial" w:hAnsi="arial" w:cs="arial"/>
          <w:color w:val="000000"/>
          <w:sz w:val="20"/>
          <w:lang w:val="en-US" w:eastAsia="en-US" w:bidi="ar-SA"/>
        </w:rPr>
        <w:t xml:space="preserve">, where the court's approach to section 6(4)(b)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is discussed: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recognizes that in some cases, the plaintiff's own circumstances and interests may be so compelling that it cannot be reasonably said that he or she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bring an action within the prescribed limitation period. Finally, it makes practical sense. People ought to be encouraged to take steps short of litigation to deal with their problems. They should not be compelled to sue when to do so runs counter to a vital interest, such as the need to maintain their health in the face of a life-threatening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Additionally, the Plaintiff relies on the decision in </w:t>
      </w:r>
      <w:r>
        <w:rPr>
          <w:rFonts w:ascii="arial" w:eastAsia="arial" w:hAnsi="arial" w:cs="arial"/>
          <w:b/>
          <w:i/>
          <w:color w:val="000000"/>
          <w:sz w:val="20"/>
          <w:lang w:val="en-US" w:eastAsia="en-US" w:bidi="ar-SA"/>
        </w:rPr>
        <w:t>Lusignan v. Coleman</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2007 BCSC 1811</w:t>
        </w:r>
      </w:hyperlink>
      <w:r>
        <w:rPr>
          <w:rFonts w:ascii="arial" w:eastAsia="arial" w:hAnsi="arial" w:cs="arial"/>
          <w:color w:val="000000"/>
          <w:sz w:val="20"/>
          <w:lang w:val="en-US" w:eastAsia="en-US" w:bidi="ar-SA"/>
        </w:rPr>
        <w:t xml:space="preserve"> at para. 32 where the court found that the plaintiff's focus on regaining his health and sustaining his belief that he was cured of his injury was a serious and compelling concern sufficient to postpone the running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However, in my opinion, the facts in </w:t>
      </w:r>
      <w:r>
        <w:rPr>
          <w:rFonts w:ascii="arial" w:eastAsia="arial" w:hAnsi="arial" w:cs="arial"/>
          <w:b/>
          <w:i/>
          <w:color w:val="000000"/>
          <w:sz w:val="20"/>
          <w:lang w:val="en-US" w:eastAsia="en-US" w:bidi="ar-SA"/>
        </w:rPr>
        <w:t>Novak</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Lusignan</w:t>
      </w:r>
      <w:r>
        <w:rPr>
          <w:rFonts w:ascii="arial" w:eastAsia="arial" w:hAnsi="arial" w:cs="arial"/>
          <w:color w:val="000000"/>
          <w:sz w:val="20"/>
          <w:lang w:val="en-US" w:eastAsia="en-US" w:bidi="ar-SA"/>
        </w:rPr>
        <w:t xml:space="preserve"> are distinguishable from those before me. Rather, I find the facts similar to those in </w:t>
      </w:r>
      <w:r>
        <w:rPr>
          <w:rFonts w:ascii="arial" w:eastAsia="arial" w:hAnsi="arial" w:cs="arial"/>
          <w:b/>
          <w:i/>
          <w:color w:val="000000"/>
          <w:sz w:val="20"/>
          <w:lang w:val="en-US" w:eastAsia="en-US" w:bidi="ar-SA"/>
        </w:rPr>
        <w:t>Cowen v. Gray</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2001 BCSC 487</w:t>
        </w:r>
      </w:hyperlink>
      <w:r>
        <w:rPr>
          <w:rFonts w:ascii="arial" w:eastAsia="arial" w:hAnsi="arial" w:cs="arial"/>
          <w:color w:val="000000"/>
          <w:sz w:val="20"/>
          <w:lang w:val="en-US" w:eastAsia="en-US" w:bidi="ar-SA"/>
        </w:rPr>
        <w:t>. In that case, the defendant doctor recommended that the Plaintiff take Gravol tablets for her dizziness and nausea. The plaintiff did not read the instructions on the Gravol package which instructed the user about dosage, and cautioned against driving or consuming alcohol. The plaintiff took the medication, consumed alcohol, and then drove. She lost consciousness while behind the wheel and her car left the road. The plaintiff suffered a closed head injury, a cranofacial injury, post-traumatic stress, headaches, anxiety, sleeplessness and shock. Two and a half years after the accident, she sued the defendant. Evidence was led at trial that she had memory loss, chronic pain syndrome, headaches, and was unable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trial judge held that although the plaintiff suffered from a mental disability and several physical illnesses, her circumstances did not meet the requirements of s. 6(4)(b). The court accepted at para. 52 that "she suffered considerable pain and discomfort in the years following the accident", but found that "her interests and circumstances were not so serious, significant, and compelling' as to warrant the postponement of the running of time ..." The court went on to find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no time was her hold on life "tenuous", either physically or mentally. The costs and strains of litigation would likely have been difficult for her, but there is no evidence to suggest they would have been "overwhelming". Nor do I believe that her circumstances combined to make it "unfeasible" for her to initiate an action earlier than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this case, the criteria in s. 6(4)(b) was satisfied at least by April 2002. At that time, a reasonable person with the Plaintiff's own interests and circumstances, ought to have been able to bring an action. As McLachlin J. commented in </w:t>
      </w:r>
      <w:r>
        <w:rPr>
          <w:rFonts w:ascii="arial" w:eastAsia="arial" w:hAnsi="arial" w:cs="arial"/>
          <w:b/>
          <w:i/>
          <w:color w:val="000000"/>
          <w:sz w:val="20"/>
          <w:lang w:val="en-US" w:eastAsia="en-US" w:bidi="ar-SA"/>
        </w:rPr>
        <w:t>Novak</w:t>
      </w:r>
      <w:r>
        <w:rPr>
          <w:rFonts w:ascii="arial" w:eastAsia="arial" w:hAnsi="arial" w:cs="arial"/>
          <w:color w:val="000000"/>
          <w:sz w:val="20"/>
          <w:lang w:val="en-US" w:eastAsia="en-US" w:bidi="ar-SA"/>
        </w:rPr>
        <w:t xml:space="preserve"> at para. 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6(4)(b) therefore refers to a time at which, in light of the plaintiff's particular situation, the bringing of a suit is reasonably </w:t>
      </w:r>
      <w:r>
        <w:rPr>
          <w:rFonts w:ascii="arial" w:eastAsia="arial" w:hAnsi="arial" w:cs="arial"/>
          <w:color w:val="000000"/>
          <w:sz w:val="20"/>
          <w:u w:val="single"/>
          <w:lang w:val="en-US" w:eastAsia="en-US" w:bidi="ar-SA"/>
        </w:rPr>
        <w:t>possible</w:t>
      </w:r>
      <w:r>
        <w:rPr>
          <w:rFonts w:ascii="arial" w:eastAsia="arial" w:hAnsi="arial" w:cs="arial"/>
          <w:color w:val="000000"/>
          <w:sz w:val="20"/>
          <w:lang w:val="en-US" w:eastAsia="en-US" w:bidi="ar-SA"/>
        </w:rPr>
        <w:t xml:space="preserve">, not when it would be </w:t>
      </w:r>
      <w:r>
        <w:rPr>
          <w:rFonts w:ascii="arial" w:eastAsia="arial" w:hAnsi="arial" w:cs="arial"/>
          <w:color w:val="000000"/>
          <w:sz w:val="20"/>
          <w:u w:val="single"/>
          <w:lang w:val="en-US" w:eastAsia="en-US" w:bidi="ar-SA"/>
        </w:rPr>
        <w:t>ideal</w:t>
      </w:r>
      <w:r>
        <w:rPr>
          <w:rFonts w:ascii="arial" w:eastAsia="arial" w:hAnsi="arial" w:cs="arial"/>
          <w:color w:val="000000"/>
          <w:sz w:val="20"/>
          <w:lang w:val="en-US" w:eastAsia="en-US" w:bidi="ar-SA"/>
        </w:rPr>
        <w:t xml:space="preserve"> from the plaintiff's perspective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this case, while I appreciate that the Plaintiff was preoccupied with obtaining a diagnosis for her symptoms, and that it was perhaps not an ideal time for the Plaintiff to commence an action, it was clearly "reasonably possible" for the Plaintiff to do so in spite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find on the evidence that in late August 2002, the Plaintiff's condition worsened. She saw many health care professionals throughout the fall of 2002. Her evidence is that "throughout the fall of 2002 and early 2003 I was having a difficult time in every aspect of my life". She was struggling to obtain disability benefits, very ill, undiagnosed, and contemplating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However, there is a dearth of evidence about the Plaintiff's activities following her treatment at THC and throughout the summer of 2002. There is evidence that she saw two doctors in April and two doctors in May, but then there is a gap in her evidence until August 19, at which point she attended at the Emergency Department of Burnaby General Hospital complaining of anxiety, an inability to go to the bathroom, and pain radiating through her leg and into her foot. There is evidence that when the Plaintiff's boyfriend visited her in June 2002, her health had changed, she had pain, and she could not do the things they used to do. He stayed with her for a few weeks. Several months later he returned. At this time, he often had to drive the car and the Plaintiff did not go out much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evidence about her interests and circumstances from the time she was treated at THC until late August 2002 is scant and unpersuasive. It is insufficient to discharge her burden of proving that a reasonable person, with the Plaintiff's interests and circumstances, could not have brought an action against the Defendants. It may have been difficult for her to pursue litigation. However, I am not persuaded that it would have been overwhelming for her to do so. Nor has the Plaintiff proved that it was unfeasible for her to start an action because of her circumstances. Simply put, a reasonable person would not find her interests and circumstances serious, significant and compelling so as to warrant the postponement of the running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If there was any postponement of the running of time with respect to the limitation period, it was not postponed beyond late April 2002 when she confronted Dr. Chubra-Smith about her treatment. The limitation period expired at the latest in late April 2004, eight months prior to the commencement of the action on December 31, 2004. The action was statute barred prior to its commencement and should not have been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Suitability of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argues this case is not suitable for determination under Rule 18A because there are material conflicts in the evidence which cannot be resolved. She also submits it would be unjust to proceed under Rule 18A. The Plaintiff submits that such a finding would give her time to marshal expert evidence to support her claim, conduct examinations for discovery and generally, she would have all the advantages of the "usual"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Rule 18A(11)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an application under subrule (1), the court may</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evidence before the court on the application, to find the facts necessary to decide the issues of fact or law, or</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have found it possible to find the facts necessary to grant judgment under Rule 18A. There is little contradiction in the evidence on this issue. Instead, the dispute arises on the application of the law to the facts, but I have rejected the Plaintiff's position as being contrary to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Indeed I have found the necessary facts from the Plaintiff's own affidavit evidence filed at this hearing, including the affidavits of her former boyfriend, Richard Helm, the Plaintiff's own detailed affidavit sworn April 4, 2008, that of Ms. Bemisderfer, Beate Desroches and the Plaintiff's mother. Paragraph 61 of the Plaintiff's Amended Statement of Claim is also pertinent.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Defendants did not dispute that in the fall of 2002 and early in 2003, the Plaintiff was very ill. There were no serious evidentiary conflicts to be resolved on the limitation issue. This matter is clearly suitable for disposition under Rule 18A. There is ample undisputed evidence filed by the Plaintiff herself to decide the issue on application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had counsel on this issue and he capably argued it on her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This hearing date was the fifth time the Defendants' 18A application had been set down. Each time, the Plaintiff was accommodated with an adjournment to better prepare. Her evidence on this issue will not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view of my conclusion that the Plaintiff's claims were statute barred before she commenced her action, it is not necessary to address 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dismiss the action with costs to the Defendants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A.W. 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Martinoff v. Martinoff, [2017] B.C.J. No. 228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Rossland,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11-15,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E11105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Rossland</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Catherine Wendy Martinoff, Plaintiff, and Michael John Martinoff and Kettle Farms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0"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3" w:name="Keywords_28"/>
      <w:bookmarkEnd w:id="183"/>
      <w:r>
        <w:rPr>
          <w:rFonts w:ascii="arial" w:eastAsia="arial" w:hAnsi="arial" w:cs="arial"/>
          <w:b/>
          <w:color w:val="000000"/>
          <w:sz w:val="20"/>
          <w:lang w:val="en-US" w:eastAsia="en-US" w:bidi="ar-SA"/>
        </w:rPr>
        <w:t>Family law — Marital property — Equalization or division — Considerations — Conduct of parties — Financial disclosure — Concealment of assets — Asset types — Bank accounts — Unequal division of property — Action by the wife for reapportionment of family assets allowed — The parties met in 1993, married in 1996, and divorced in March 2016 — The husband had steadfastly failed to make disclosure as ordered and had used corporate entities as vehicles to hide his assets — Given the lengths he had gone to shield those assets, it was likely that they were very significant and well exceeded the value of the family assets in Canada — The appropriate order was for the wife to receive all of the remaining family assets.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4" w:name="Case Summary_24"/>
            <w:bookmarkEnd w:id="1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wife for reapportionment of family assets. The parties met in October 1993 and married in March 1996. They divorced in March 2016. The husband took the position that he had no investments or savings and that his only income was from old-age security and CPP, amounting to a total of $1348 per month. The wife took the position that the husband had extensive assets which he had gone to great lengths to hide.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5" w:name="Holdings of Court_21"/>
            <w:bookmarkEnd w:id="18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wife was a credible witness while the husband was not. The husband had steadfastly failed to make disclosure as ordered and had used corporate entities as vehicles to hide his assets. Given the lengths he had gone to shield those assets, it was likely that they were very significant and well exceeded the value of the family assets in Canada. As a result, the appropriate order was for the wife to receive all of the remaining family assets, which included bank accounts, GICs, farm assets, and jewellery.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6" w:name="Legislation Cited_17"/>
      <w:bookmarkEnd w:id="1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1"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Law Act, </w:t>
      </w:r>
      <w:hyperlink r:id="rId508" w:history="1">
        <w:r>
          <w:rPr>
            <w:rFonts w:ascii="arial" w:eastAsia="arial" w:hAnsi="arial" w:cs="arial"/>
            <w:i/>
            <w:color w:val="0077CC"/>
            <w:sz w:val="20"/>
            <w:u w:val="single"/>
            <w:shd w:val="clear" w:color="auto" w:fill="FFFFFF"/>
            <w:lang w:val="en-US" w:eastAsia="en-US" w:bidi="ar-SA"/>
          </w:rPr>
          <w:t>S.B.C. 2011, c. 25, s. 252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Family Relations Act, R.S.B.C. 1996, c. 128, s. 56(2), s. 57, s. 58, s. 65(1)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hyperlink r:id="rId509" w:history="1">
        <w:r>
          <w:rPr>
            <w:rFonts w:ascii="arial" w:eastAsia="arial" w:hAnsi="arial" w:cs="arial"/>
            <w:i/>
            <w:color w:val="0077CC"/>
            <w:sz w:val="20"/>
            <w:u w:val="single"/>
            <w:shd w:val="clear" w:color="auto" w:fill="FFFFFF"/>
            <w:lang w:val="en-US" w:eastAsia="en-US" w:bidi="ar-SA"/>
          </w:rPr>
          <w:t>R.S.B.C. 1996, c. 250, s. 193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7" w:name="Counsel_28"/>
      <w:bookmarkEnd w:id="1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2"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 Gelber.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Michael Martinoff, (Appearing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8" w:name="Judgment_28"/>
      <w:bookmarkEnd w:id="188"/>
      <w:r>
        <w:pict>
          <v:line id="_x0000_s1163"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9" w:name="B. BROWN J."/>
            <w:bookmarkEnd w:id="189"/>
            <w:r>
              <w:rPr>
                <w:rFonts w:ascii="arial" w:eastAsia="arial" w:hAnsi="arial" w:cs="arial"/>
                <w:b/>
                <w:color w:val="000000"/>
                <w:sz w:val="30"/>
                <w:lang w:val="en-US" w:eastAsia="en-US" w:bidi="ar-SA"/>
              </w:rPr>
              <w:t>B.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family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her notice of family claim Ms. Martinoff seeks an order for divorce; an order for spousal support; reapportionment of family assets; an interest in the shares of Kettle Farms Ltd. ("KFL") and assets held by KFL, or alternatively an order for compensation. KFL is named as a respondent on the basis that it holds the matrimonial home in trust for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his response to family claim Mr. Martinoff pleads that he has no investment or savings and that his only income is from old-age security and CPP, which amount to a total of $1,348.34 per month. Mr. Martinoff filed a counterclaim in which he seeks an order for annulment of the marriage; an order for compensation for fraud; an order for breach of contract; and an order for compensation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April 8, 2014 Mr. Martinoff filed a further response to family claim, clarifying that he was filing on behalf of KFL as well as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Martinoff's claim for annulment was struck June 16, 2014. The divorce was granted March 29,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essence of Mrs. Martinoff's position is that Mr. Martinoff has extensive assets which he has gone to great lengths to hide. He has assets in the Cayman Islands, including a company called Sherwood Finance Company Ltd.; KFL is a vehicle to hold his assets; for decades Mr. Martinoff has used purported debts to his friend Michael Page and Mr. Page's companies to shield his assets from creditors in an effort to appear to be insolvent; and he has transferred assets to Bridesville Museum, Inc. to avoid Mrs. Martinoff's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Mrs. Martinoff has withdrawn her claim for spousal support. The remaining issues are: determination and division of family assets. Mr. Martinoff's counter-claim continues to allege fraud,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trial before me started on July 11, 2016. At that time I was advised that Ms. Martinoff had reached a settlement with the respondent KFL. I was advised that Mr. Martinoff had asserted throughout that he had no interest in KFL and, accordingly, that KFL was free to enter a settlement without his participation or input. The corporate records show Michael Page as the sole shareholder and director of KFL. I confirmed with Mr. Martinoff that he had no interest in KFL. The settlement with KFL provided that property located at 4867 Rock Creek in Bridesville, British Columbia would be listed for sale and that the proceeds of sale, after necessary disbursements, would be divided between Ms. Martinoff who would receive 70% of the proceeds and the sole shareholder of KFL, Michael Page, who would receive the remainder.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and Mrs. Martinoff gave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Martinoff testified that she was born December 26, 1960. She met Mr. Martinoff in October 1993. He owned a house at Granville and 47th in Vancouver. She moved in on January 1, 1995. They married March 1, 1996. He gave her an engagement ring and wedding band. Mr. Martinoff has the engagement ring in his possession. Michael Page was the best man. Mr. Martinoff and Mr. Page were best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1995 Mr. Martinoff and Mrs. Martinoff started to look for farm property. They considered properties in the Caribou, Osoyoos and Rock Creek. They fell in love with the Bridesville - Rock Creek area. In March 1996 they acquired property in Bridesville in KFL's name. Mr. Page had nothing to do with choosing the property. Mr. Martinoff did all of the negotiating and bought the property for $400,000. Mr. Page did not see the property before it was purchased. Mrs. Martinoff assumes that the funds used to purchase the farm came from a Grand Cayman account because the property on Granville Street had not yet been sold. That property was sold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they lived in Bridesville, Mr. Martinoff earned money by gunsmithing. He owned various lathes, mills and other equipment for this business. He could have been fully booked with gunsmithing work but chose not to be. He received only cash payments for his work. While she could not say how much of his earnings went to the bank, Mrs. Martinoff deposited some of these cash payments into the KFL bank account. Mr. Martinoff did not have a personal bank account. He also kept some of his cash earnings in the gun safe. Throughout the proceedings, Mr. Martinoff made no disclosure of his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 to Mrs. Martinoff, they purported to pay rent to KFL and in turn the company paid for their electricity, heat, taxes etc. This was simply a pretence. Mr. Page received nothing from the KFL bank account. All of the money in that account was for Mr. Martinoff and herself. Mr. Martinoff undertook various upgrades to the property. He paid approximately $30,000 for the vault that was built into one of the barns. They put up a new carport. They put new flooring in and renovated the kitchen. Mr. Martinoff made all decisions with respect to improvements to the property. Mr. Page was not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For a period of time Mrs. Martinoff had a horse business, named Liberty Stables. Mr. Martinoff built an arena, a tack shed, and a round pen for Mrs. Martinoff's horse business. KFL bought the horses and proceeds from the horse business were paid to KFL. On separation Mrs. Martinoff sold the horses for far below market value. Mr. Martinoff took her tack shed and training equipment. She believes Mr. Martinoff still has her horse trailer and portable fencing.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Martinoff purports to have secured debts of $4 million to Mr. Page or his companies, secured by shares in Michael J. Martinoff Holdings Ltd. and Bridesville Museum, Inc. It is Mrs. Martinoff's understanding that these debts to Michael Page and/or his companies are fictitious. Mr. Page has never tried to collect on the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Martinoff lives frugally. He pays his credit cards monthly.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terms of equipment, they purchased an 83 GMC Jimmy, 88 Ford pickup, 2002 Chevy Cavalier and a 1993 Chevy pickup. All were registered to KFL. They also had a horse trailer and utility trailer. Mrs. Martinoff estimates that the horse trailer might be worth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Their Bridesville house was 4000 ft2. Mr. Martinoff inherited some of their furniture from Mr. Martinoff's parents and bought some expensive furniture to furnish their home in Ottawa. They also owned three sets of china, a massive library, trophy mounts of elk, deer and Dall sheep, as well as bear skins. There was a lathe, a milling machine and various pieces of farm equipment. There were at least five computers in the house. There were many filing cabinets because Mr. Martinoff threw nothing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Martinoff built a vault with foot thick reinforced concrete walls in one of the barns to hold his collection of more than 100 guns. Mrs. Martinoff has been into the gun vault on a few occasions. It contains display cases that hold prohibited and restricted firearms. Some are antique. Mr. Martinoff does not permit the guns to be touched without white cotton gloves. He also has bayonets, knives and swords. The temperature is controlled within the vault. Only Mr. Martinoff has the combination to the vault. He also stored documents in the vault.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Martinoff had various firearms herself: a 7mm Mauser, a Thompson/Center Contender and a Lever Action 30-30. All of them were given to her personally. They were registered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Mrs. Martinoff estimates that if all chattels were sold at auction including the firearms, more than $200,000 would be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Initially she knew little about Mr. Martinoff's finances. He kept his assets hidden. Both of his parents were dead. His father had been a psychiatrist and his mother a nurse. They were well to do. His parents were divorced.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has a sister, Eugenie. She is schizophrenic and is in a care home. His father set up a monthly pension for Eugenie.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Martinoff and his father set up a Cayman Island company called Sherwood Finance Company Ltd. Mr. Martinoff had sole access to that business after his father died. Mrs. Martinoff believes that Mr. Martinoff still banks through the Caymans. Mr. Martinoff used the pseudonym "John Little" in relation to the Sherwood Finance Company Ltd. Mrs. Martinoff would go to Curlew, Washington, just south of Grand Forks, BC to pick up the mail for Sherwood Finance Company Ltd. She and Mr. Martinoff were the only ones who had access to that postal box. Although Mr. Martinoff did not produce any documents for Sherwood Finance Company Ltd., Mrs. Martinoff produced a statement from Campbell Corporate Services Limited, a Grand Cayman law firm for Sherwood Finance Company Ltd., which indicates that Sherwood Finance Company Ltd. is a Cayman Islands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Mrs. Martinoff said that she used the Bank of Montréal KFL account. Although she could not withdraw money from it, she could make deposits. They paid rent to KFL and KFL paid their expenses. She said that Mr. Martinoff set it up that way so that he would appear to have nothing, should creditors pursue his assets. There would be occasional calls from the Bank of Montreal asking if Mr. Martinoff wanted GICs rolled over or other instructions from Mr. Martinoff.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Because Mr. Martinoff did not produce documents as ordered, Mrs. Martinoff does not know the details of his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June 2012, just after Mrs. Martinoff left the farm, Mr. Martinoff set up Bridesville Museum, Inc., as a not-for-profit corporation. He transferred his guns to Bridesville Museum, Inc. She sought production of bank statements for Bridesville Museum, Inc. but Mr. Martinoff said that there were none. It is Mrs. Martinoff's view that Mr. Martinoff operates Bridesville Museum, Inc. simply to hold his own firearms, not as a museum. Although he says it is a museum, it is not open to the public and there is no signage. The vast majority of firearms he had when they were married. A few of his friends have seen the collection. She believes his collection is worth between $100,000 and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Martinoff fancies himself as a libertarian spokesman/advocate for the Firearms Association. Mr. Martinoff has become entangled with government bureaucracy in an effort to defeat firearms legislation on a number of occasions. He viewed that as his calling in life. He is a firearms expert. He is a figurehead for the National Firearms Association. He also holds a Masters of Business Administration in Finance. He went to law school for a period of time but quit.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Martinoff has been involved in litigation involving his firearms. Earlier in the relationship Mr. Martinoff had a run-in of some sort with the Vancouver Police Department. His inventory of firearms or part of it was seized. When the VPD seized his guns, Mr. Martinoff also faced criminal charges. He was found not guilty but the VPD had destroyed his guns. Mr. Martinoff sued the VPD but that action did not progress. She understands that it is still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another action, Lorne Newson, the Chief Firearms Officer of BC, sought damages for defamation when Mr. Martinoff called him a fascist. Mr. Martinoff was ordered to pay $30,000 in damages. Mr. Martinoff attempted to avoid paying the judgment using the vehicle of his purported debts and charge of his assets to Sunshine Endeavours Ltd., one of Michael Page's companies. Mr. Newson then started an action for fraudulent preference/conveyance which was eventually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Martinoff produced a letter which she received electronically from Mr. Page addressed to Mr. Martinoff. That letter refers to Mr. Martinoff's efforts to avoid creditors, using various fictions and schemes.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found Mrs. Martinoff to be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did not find Mr. Martinoff to be a credible or reliable witness. His evidence shifted, depending on where he perceived his litigation advantage to lie. There were certain themes that ran through his evidence. I describe them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Martinoff is not a beneficiary of a generation skipping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first of the themes was that his father had set up a generation skipping trust in the Cayman Islands and that Mr. Martinoff is not a beneficiary of that trust. Those assets were to go to any children Mr. Martinoff might have, or, failing that, to a charity. He claimed that because he had commodities trading experience, his father occasionally asked him to provide advice to the trust and that this was the extent of his involvement with the trust. His father's company Sherwood Finance Company Ltd. is an asset of the trust. Mr. Martinoff failed to produce any documents relating to the trust. As I set out below, it is my view that Mr. Martinoff intentionally failed to produce any documents because had he produced any trust-related documents, they would have worked to his disadvantage.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Mrs. Martinoff has produced documents such as a Notice of Maturing Deposit from Barclays Bank in the Grand Cayman for an account worth $186,230.83 US. That notice to Sherwood Finance Company Ltd. was addressed to the post office box in Curlew, Washington that Mr. and Mrs. Martinoff exclusively used. Mrs. Martinoff also produced an invoice from Campbell Corporate Services Limited in the Cayman Islands, also addressed to Sherwood Finance Company Ltd. at the Curlew, Washington post office box address. That invoice for corporate services shows a balance due of $2,231.71. It appears that Campbell Corporate Services Limited was providing corporate services to Sherwood Finance Company Ltd. and ensuring that it maintained good standing. Mrs. Martinoff also produced evidence which suggests that Mr. Martinoff obtained a bank draft to pay the outstanding amount from the KFL bank account. It also appears that Mr. Martinoff was receiving notice of Sherwood Finance Company Ltd.'s assets and was paying to maintain corporate status of that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Sherwood Finance Company Ltd. and/or the "generation-skipping trust" are simply vehicles to hold Mr. Martinoff's assets offshore in an effort to hide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Martinoff has no personal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second theme running through Mr. Martinoff's evidence is that he has no assets personally, that several years ago his creditors (by which he means his friend Michael Page) insisted that he transfer all of his personal assets to his holding company Michael J. Martinoff Enterprises Ltd. and that Mr. Martinoff give Mr. Page and/or Sunshine Endeavours Ltd. the share certificate for Michael J. Martinoff Enterprises Ltd. to hold as security against debts owed by Mr. Martinoff to Sunshine Endeavors Ltd. Although Mr. Martinoff has produced various documents which were used to "paper" the purported arrangement with Mr. Page, he has not produced any evidence of any underlying indebtedness to Mr.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Martinoff suggested that Mr. Page or Sunshine Endeavours Ltd. had advanced two loans to him. The first was something in the order of $100,000 to acquire his father's interest in the Granville Street property. His evidence in this regard was confusing and inconsistent because Mr. Martinoff suggested that the loan arrangement with Mr. Page started in 1984 whereas his father died in 1969 and Mr. Martinoff then became the sole owner of the Granville Street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second advance from Mr. Page, according to Mr. Martinoff, came to pay off Mr. Martinoff's debts, which he incurred as a result of his commodities brokerage business. Again there is no third party evidence to support this. That debt according to Mr. Martinoff was something in the order of $300,000. Then, according to Mr. Martinoff and certain documents that he produced, the debt continued to expand exponentially as interest accrued and no payments were made. The debt according to Mr. Martinoff now exceeds $4 million and may exceed $6 million. Mr. Martinoff says that when a promissory note to Mr. Page or Sunshine Endeavours Ltd. comes due, he simply signs another promissory note and makes no payment. There are no bank records etc. which show monies being advanced by Mr. Page or Sunshine Endeavors Ltd. to Mr. Martinoff.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Page's discovery evidence was put to Mr. Martinoff in cross-examination. Mr. Page said, in effect, that Mr. Martinoff had never paid him one dollar on the debt and that he doubted that he would recover anything. He considered the debt a write off. Mr. Martinoff answered that Mr. Page was an alcoholic and that he could not remember things very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Martinoff said that when the Granville Street property was sold in 1997, the proceeds of that sale went toward his debt to Sunshine Endeavors Ltd. and/or Mr. Page. Again no evidence was produced to support this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do not accept Mr. Martinoff's evidence with respect to the debts due to Sunshine Endeavors Ltd. and/or Mr. Page. Apart from the documents generated by Mr. Page and Mr. Martinoff , there was no evidence produced to support any underlying debt. Mr. Martinoff chose not to call Mr. Page to give evidence. The transactions lack commercial reality or common sense. It is inconceivable that Mr. Page would continue to permit an enormous debt to accrue interest at 12% and not demand payment. It is also inconceivable that Mr. Martinoff would simply sign promissory notes at interest rates far beyond commercial rates. Again, I conclude that this is simply a vehicle for Mr. Martinoff to attempt to thwart any creditor who may pursue his assets. I am not persuaded that the debts exist or that Mr. Martinoff transferred any assets to his holding company Michael J. Martinoff Enterprises Ltd. It is a fiction.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Mrs. Martinoff introduced what she said is a letter from Mr. Page which describes the arrangements between Mr. Page and Mr. Martinoff. This letter supports her theory that the arrangement is a fraud between Mr. Martinoff and Mr. Page. Mrs. Martinoff put that letter to Mr. Martinoff in cross-examination. He denied that it was an actual letter from Mr. Page and denied its contents. I place no weight on this document. Either party could have called Mr. Page to give evidence. Neither did. I reach my conclusions independent of this particular document.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Martinoff has no interest in KFL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 third theme running through Mr. Martinoff's evidence is that he has no interest in KFL. He testified that Mr. Page wanted a rural property. He and Mr. Martinoff discussed this. Mr. Martinoff and his wife then toured various properties with a view to Mr. Page acquiring one of them. They thought that the property that was ultimately acquired would be an appropriate property. Mr. Martinoff discussed it with Mr. Page. Mr. Page provided funds to KFL and took as security a duplicate certificate of title to secure the loan that Mr. Page made to KFL to acquire the Bridesville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Martinoff placed a number of his earlier affidavits, which he confirmed were true, before me that state much the same thing. For example in a letter dated April 30, 2014 which Mr. Martinoff has appended to his April 30, 2014 affidavit, which he swears to be true, Mr. Martinoff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page 16 of Exhibit "A" to the first affidavit of Michael John Martinoff filed July 3, 2012 is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memorandum of Kettle Farms Ltd. dated January 25, 1996, which shows the Kettle Farms Ltd. was incorporated by Michael Page alone, who took all the shares. As secretary of KFL, I obtained the indefeasible certificate of title as security in lieu of mortgages. As secretary of KFL I obtained the certificate from the land registry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paragraph 33 of my first affidavit filed July 3, 2012, I said I never have had and do not have any legal or beneficial interest in Kettle Farms Ltd. or in the property that it owns.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maintained this position until the morning of the first day of trial. At that time I was advised by counsel for Mrs. Martinoff that Mrs. Martinoff had entered a settlement with KFL/Mr. Page to sell the farm and divide the proceeds. Mr. Martinoff's evidence then began to shift. On day two of the trial he advised me that he had remembered or thought he remembered that Mr. Page may have borrowed the funds to acquire the farm from Sherwood Finance Company Ltd. Over time his position shifted again. On the last day of trial Mr. Martinoff took the view that his father's trust may have provided the funds to purchase the farm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addition, contrary to his assertion that Mr. Page had possession of the duplicate certificate of title to secure the funds he advanced KFL, he advised me on July 13, 2016, midway through the trial, that the night before, he had mailed the duplicate certificate of title to the Cayman Islands because he thought that was the proper thing to do. He did this immediately after receiving Mrs. Martinoff and KFL's application to have him produce the duplicate certificate of title or alternatively that they be permitted to proceed with the settlement without the duplicate certificate of title. If so, Mr. Martinoff's earlier evidence that Mr. Page had or was entitled to have the duplicate certificate of title was false. Instead Mr. Martinoff took steps, or told me that he had taken steps, to ensure that the duplicate certificate of title was removed from the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Martinoff's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Martinoff has filed various affidavits and testified before me that he suffers from a variety of medical conditions. He said that he has attention deficit disorder and posttraumatic stress disorder amongst other conditions. He says that he takes medications to deal with these health issues, which have serious side effects. He produced no medical evidence to support these assertions. He used these assertions as excuses for his failure to comply with orders and for any confusion or inconsistency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do not accept his assertion that he could not remember things properly or comply with court orders because of these medical conditions. Not only did he not produce any medical evidence to support these assertions, but also when he was distracted from his asserted medical problems, he was able to remember and deal with things. During cross-examination, for example, he was readily able to respond to propositions put to him. I give no credence to Mr. Martinoff's assertion that he suffers from a medical condition which makes it difficult for him to respond to this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conclude that Mr. Martinoff uses corporate entities as vehicles to hide his assets. For example, he says that Bridesville Museum, Inc., an entity that he incorporated, has possession of various guns. He placed some $30,000 into the Bridesville Museum, Inc. bank account after this action started. In my view this is symptomatic; Mr. Martinoff simply places funds in convenient locations for him to use them while thwarting efforts by others to secure those assets. He also says that the lathe and milling machine are Bridesville Museum, Inc.'s property although these were purchased using funds from the KFL account. When he gunsmiths, he asks that his customers make a "donation" to Bridesville Museum, Inc. rather than pay him. Those funds are used for various purposes. In short, Bridesville Museum, Inc. is simply a place where Mr. Martinoff places his assets. He continues to maintain control over the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same is true of the KFL account. I accept Mrs. Martinoff's evidence that that was the family account. That account was used to pay their family expenses and credit card debt and to deposit their various sources of income. Only Mr. Martinoff had control of that account. Although he asserts that the KFL account actually belongs to that company and that it was used for proper corporate purposes, he has provided no accounting to justify this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summary, I conclude that the funds in the KFL account, the GIC(s) which I understand to be held by the Bank of Montreal in KFL's name, the various chattels located in the residence, the firearms located in the vault and the farm equipment are all Mr. Martinoff's property that he has, for convenience, placed in the names of corporate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am also persuaded that whatever funds are held offshore by Sherwood Finance Company Ltd. are Mr. Martinoff's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Martinoff's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Martinoff filed written submissions in this matter in which he raises a number of issues:</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refers to new evidence, his affidavit #6 sworn August 31, 2016;</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refers to his various health conditions;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challenges the July 13, 2016 order which reflects the settlement made between Mrs. Martinoff and KFL and says he has found documents which undermine Mr. Page's authorization to enter a settlement.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asserts that Mrs. Martinoff is responsible for one half of the debts he owes to Mr. Page/and his companies;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argues that the marriage agreement between himself and Mrs. Martinoff was fraudulent;</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seeks annulment of marriage;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argues that KFL is not a family asset, but is Mr. Page's property;</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asserts that he has always tried to comply with the orders of the court to the best of his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will first address the new evidence that Mr. Martinoff refers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On October 24, 2016 I sent a memorandum to counsel advising that Mr. Martinoff would need to make an application to adduce new evidence if he wished to rely on the evidence in his affidavit of August 31, 2016. I advised Mr. Martinoff that he would need to meet the requirements of </w:t>
      </w:r>
      <w:r>
        <w:rPr>
          <w:rFonts w:ascii="arial" w:eastAsia="arial" w:hAnsi="arial" w:cs="arial"/>
          <w:i/>
          <w:color w:val="000000"/>
          <w:sz w:val="20"/>
          <w:lang w:val="en-US" w:eastAsia="en-US" w:bidi="ar-SA"/>
        </w:rPr>
        <w:t>R. v. Palmer</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[1980] 1 S.C.R. 759</w:t>
        </w:r>
      </w:hyperlink>
      <w:r>
        <w:rPr>
          <w:rFonts w:ascii="arial" w:eastAsia="arial" w:hAnsi="arial" w:cs="arial"/>
          <w:color w:val="000000"/>
          <w:sz w:val="20"/>
          <w:lang w:val="en-US" w:eastAsia="en-US" w:bidi="ar-SA"/>
        </w:rPr>
        <w:t xml:space="preserve"> at 775:</w:t>
      </w:r>
      <w:r>
        <w:rPr>
          <w:rFonts w:ascii="arial" w:eastAsia="arial" w:hAnsi="arial" w:cs="arial"/>
          <w:sz w:val="20"/>
          <w:lang w:val="en-US" w:eastAsia="en-US" w:bidi="ar-SA"/>
        </w:rPr>
        <w:cr/>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should generally not be admitted if, by due diligence it could have been adduced at trial...</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must be relevant in the sense that it bears upon a decisive or potentially decisive issue in the trial.</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must be credible in the sense that it is reasonably capable of belief,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such that if believed it could reasonably, when taken with the other evidence adduced at trial, be expected to have affected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advised Mr. Martinoff that he had until October 31, 2016 to apply to adduce new evidence, failing which I would not consider the 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Martinoff has not applied to adduce new evidence. Nonetheless, I have reviewed the affidavit to which he refers to determine whether it would be appropriate to seek submissions from the parties about admitting the new evidence, particularly as Mr. Martinoff is representing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affidavit itself has not been filed. It is appended to an affidavit of Michael Page sworn September 22, 2016. Much of the affidavit is irrelevant or refers to matters already before the court. The significant new evidence is found at paras. 14 to 17 of the affidavit and the documents appended as Exhibit "A". Although he does not expressly say so, Mr. Martinoff suggests that Sherwood Finance Company Ltd. provided the funds to purchase the KFL property and that Mr. Page held his shares in trust or at the direction of Sherwood Finance Company Ltd. and/or his father's "generation-skipping"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conclude that it is not necessary to pursue a hearing with respect to the new evidence on the following bases: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best it is still only partial disclosure and with due diligence it would have been adduced at trial. As I have indicated above, Mr. Martinoff was ordered on many occasions to produce documents and failed to do so. He chose to produce documents after trial and after he realized his jeopardy with respect to the KFL property.</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very limited production was completely inconsistent with Mr. Martinoff and Mr. Page's earlier sworn evidence.</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Many of the documents he has produced purport to reflect transactions between Mr. Martinoff and Mr. Page. As I have indicated above, in my view these purported transactions are merely shams to protect Mr. Martinoff's assets from his creditors. I give no credence to these documents. The additional documents disclosed by Mr. Martinoff would not reasonably, taken with the other evidence adduced at trial, be expected to affect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This proceeding was commenced under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Even though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has since been replaced by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2011, c. 25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pursuant to s. 252 of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governs property division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Section 56(2) of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provides that each spouse is entitled to an undivided half interest as tenant-in-common in each family asset at the time of the triggering event. Although I have not been advised that there was a declaration pursuant to s. 57, one of the grounds on which an undivided half interest in the family assets can be ordered, the parties were divorced in March 2016, which entitles Mrs. Martinoff to acquire a half interest in the family assets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Family assets are described in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(1) Subject to section 59, this section defines family asset for the purposes of this Act.</w:t>
      </w:r>
    </w:p>
    <w:p>
      <w:pPr>
        <w:numPr>
          <w:numId w:val="1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owned by one or both spouses and ordinarily used by a spouse or a minor child of either spouse for a family purpose is a family asset.</w:t>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restricting subsection (2), the definition of family asset includes the following:</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corporation or trust owns property that would be a family asset if owned by a spouse,</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share in the corporation, or</w:t>
      </w:r>
    </w:p>
    <w:p>
      <w:pPr>
        <w:numPr>
          <w:numId w:val="2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interest in the trust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owned by the spouse;</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property would be a family asset if owned by a spouse, property</w:t>
      </w:r>
    </w:p>
    <w:p>
      <w:pPr>
        <w:numPr>
          <w:numId w:val="2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over which the spouse has, either alone or with another person, a power of appointment exercisable in favour of himself or herself, or</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disposed of by the spouse but over which the spouse has, either alone or with another person a power to revoke the disposition or a power to use or dispose of the property;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money of a spouse in an account with a savings institution if that account is ordinarily used for a family purpose;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of a spouse under an annuity or a pension, home ownership or retirement savings plan;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share or an interest of a spouse in a venture to which money or money's worth was, directly or indirectly, contributed by or on behalf of the other spouse.</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definition of family asset applies to marriages entered into and property acquired before or after March 31,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However, a spouse's half interest in each family asset is subject to an order for reapportionment if the court finds an equal division would be unfair based on the factors set out in s. 65(1) of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(1) If the provisions for division of property between spouses under section 56, Part 6 or their marriage agreement, as the case may be, would be unfair having regard to</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duration of the marriage,</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duration of the period during which the spouses have lived separate and apart,</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when property was acquired or disposed of,</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property was acquired by one spouse through inheritance or gift,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the needs of each spouse to become or remain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economically independent and self sufficient, or</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circumstances relating to the acquisition, preservation, maintenance, improvement or use of property or the capacity or liabilities of a spouse,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on application, may order that the property covered by section 56, Part 6 or the marriage agreement, as the case may be, be divided into shares fixed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onus of proof lies on the party seeking reapportionment to satisfy the court that the presumptive division of assets would be unfair: </w:t>
      </w:r>
      <w:r>
        <w:rPr>
          <w:rFonts w:ascii="arial" w:eastAsia="arial" w:hAnsi="arial" w:cs="arial"/>
          <w:i/>
          <w:color w:val="000000"/>
          <w:sz w:val="20"/>
          <w:lang w:val="en-US" w:eastAsia="en-US" w:bidi="ar-SA"/>
        </w:rPr>
        <w:t>Toth v. Toth</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(1995), 13 B.C.L.R. (3d) 1</w:t>
        </w:r>
      </w:hyperlink>
      <w:r>
        <w:rPr>
          <w:rFonts w:ascii="arial" w:eastAsia="arial" w:hAnsi="arial" w:cs="arial"/>
          <w:color w:val="000000"/>
          <w:sz w:val="20"/>
          <w:lang w:val="en-US" w:eastAsia="en-US" w:bidi="ar-SA"/>
        </w:rPr>
        <w:t xml:space="preserve"> (C.A.)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Determining the family assets in this case is difficult because Mr. Martinoff has steadfastly failed to make disclosure as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do not accept his evidence that he and Mrs. Martinoff were able to provide for themselves based on his disability pension and the small amount of money that she received from various sources. Mr. Martinoff has not worked, apart from occasionally as a gunsmith, since 1990 or before. I accept Mrs. Martinoff's evidence that they used the KFL account at the Bank of Montreal as their family bank account. In most months, the debits from that account exceed the credits. In other words, the amounts that were being spent from that account exceeded the regular deposits to that account. There is evidence that, to supplement the credits to that account, regular redemptions were made from GIC accounts. Two GIC accounts were used regularly, GIC 0735-9105791 and GIC 0735-9799463 in bank statements dating from June 30, 2009 - June 30, 2014. However, Mr. Martinoff has not produced the records for these GICs and has not produced bank statements after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do not accept Mr. Martinoff's statement that Mr. Page was providing funds to KFL to pay for KFL expenses and that that was the source of additional monies in his Bank of Montreal account, or that the expenses paid from that account were not family expenses. It is simply not credible that Mr. Page would be providing funds to support a farm that he had travelled to on only two locations. I accept Mrs. Martinoff's evidence that the farm was acquired as a family residence. It was used as the family home. They used all of the assets on the farm as family assets. They generated income and drew expenses from the KFL account. They used it as their family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apparent that Mr. Martinoff had sources of funds which have not been disclosed in this litigation. While I cannot be certain what they are, the most likely source is Sherwood Finance Company Ltd. The few documents that Mrs. Martinoff was able to extract when picking up mail from the US postal box suggest that Sherwood Finance Company Ltd. has significant assets. I draw this conclusion from the fact that: first, the Barclays Bank investment certificate from May 27, 2003 in the amount of US$186,230.83 indicates significant assets. Second, Mr. Martinoff pays more than $2,000 per year to Campbell Corporate Services Limited to maintain Sherwood Finance Company Ltd.'s corporate standing. It would make no sense to incur expenses of that order to maintain a company that had few assets. Finally, there is Mr. Martinoff's 12th hour thought that maybe his father's trust had purchased the farm for Mr. Martinoff's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I have noted, despite orders, Mr. Martinoff has produced no documents to disclose the circumstances with respect to Sherwood Finance Company Ltd. I am, however, satisfied that Mr. Martinoff has undisclosed sources of income which have been used to support himself and Mrs. Martinoff.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am also persuaded that whatever monies are held in Bridesville Museum, Inc.'s bank account are family assets. The idea that it is museum is preposterous. No one comes to the museum. The museum is not open to the public. It is used as a device to shield whatever Mr. Martinoff may earn from gunsmithing as his customers are told with a wink and a nudge that they can make a donation to Bridesville Museum, Inc. rather than paying him directly. Bridesville Museum, Inc. then pays for some of the farm expenses. Bridesville Museum, Inc. is a transparent sham used by Mr. Martinoff as a shield against creditors and/or the government. It serves no legitimate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However, there is no suggestion that Bridesville Museum, Inc. has earned a significant amount of money over the years. Again, Mr. Martinoff has failed to disclose documents pertaining to Bridesville Museum, Inc. in spite of orders to the contrary. On June 26, 2012, shortly after this litigation was started Mr. Martinoff transferred $66,068.23 from the KFL account to Bridesville Museum, Inc. Most of this, $65,866.49, came from GIC 0735-9799463. Mr. Martinoff's explanation that this was transferred because he had an idea that Bridesville Museum, Inc. would import optical equipment from Japan for resale makes no sense. Bridesville Museum, Inc. is a not-for-profit organization. Mr. Martinoff, KFL and Bridesville Museum, Inc. have never been in the business of dealing in optical equipment. I reject Mr. Martinoff's evidence with respect to this transfer. The transfer was an attempt to avoid Mrs. Martinoff's claim for division of family assets. Mr. Martinoff has complete control over that bank account. It is his personal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is also my conclusion that KFL is a family asset. It was incorporated to hold the real property and the assets acquired with the farm, including farm machinery and household furnishings. I believe that the likely source of those funds is Sherwood Finance Company Ltd. However, because of Mr. Martinoff's duplicity in this litigation, Mr. Martinoff steadfastly denied that he had any interest in KFL. Accordingly, Mrs. Martinoff settled directly with Mr. Page as described above. She will receive 70% of the proceeds of the sale of the farm. As it is my view that these were family assets and that was the basis of Mrs. Martinoff's claim to those assets, I will take this division into consideration when determining what division should be made of the other family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Mrs. Martinoff argues that based on the decisions of our Court in </w:t>
      </w:r>
      <w:r>
        <w:rPr>
          <w:rFonts w:ascii="arial" w:eastAsia="arial" w:hAnsi="arial" w:cs="arial"/>
          <w:i/>
          <w:color w:val="000000"/>
          <w:sz w:val="20"/>
          <w:lang w:val="en-US" w:eastAsia="en-US" w:bidi="ar-SA"/>
        </w:rPr>
        <w:t>Cunha v. da Cunha</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99 B.C.L.R. (2d) 93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Laxton v. Coglon</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2008 BCSC 42</w:t>
        </w:r>
      </w:hyperlink>
      <w:r>
        <w:rPr>
          <w:rFonts w:ascii="arial" w:eastAsia="arial" w:hAnsi="arial" w:cs="arial"/>
          <w:color w:val="000000"/>
          <w:sz w:val="20"/>
          <w:lang w:val="en-US" w:eastAsia="en-US" w:bidi="ar-SA"/>
        </w:rPr>
        <w:t>, I should infer that the value of the undisclosed assets is at least equal to the value of the disclosed assets. She says on that basis, she should receive all of the assets remaining in the KFL account and in the Bridesville Museum, Inc. account, any and all GICs, all of the firearms, all of the farm machinery and all of the household furniture. She should also receive all of the jewelry and miscellaneous chattels.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Court of Appeal considered the proper approach to be taken to undisclosed assets in </w:t>
      </w:r>
      <w:r>
        <w:rPr>
          <w:rFonts w:ascii="arial" w:eastAsia="arial" w:hAnsi="arial" w:cs="arial"/>
          <w:i/>
          <w:color w:val="000000"/>
          <w:sz w:val="20"/>
          <w:lang w:val="en-US" w:eastAsia="en-US" w:bidi="ar-SA"/>
        </w:rPr>
        <w:t>Wu v. Sun</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2011 BCCA 239</w:t>
        </w:r>
      </w:hyperlink>
      <w:r>
        <w:rPr>
          <w:rFonts w:ascii="arial" w:eastAsia="arial" w:hAnsi="arial" w:cs="arial"/>
          <w:color w:val="000000"/>
          <w:sz w:val="20"/>
          <w:lang w:val="en-US" w:eastAsia="en-US" w:bidi="ar-SA"/>
        </w:rPr>
        <w:t>. There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I am not the first to observe that non-disclosure is the Achilles heel of family assets litigation. Strong measures are justified in discouraging it. However, one cannot make something out of nothing. The right note of caution was sounded by Madam Justice Baker in </w:t>
      </w:r>
      <w:r>
        <w:rPr>
          <w:rFonts w:ascii="arial" w:eastAsia="arial" w:hAnsi="arial" w:cs="arial"/>
          <w:i/>
          <w:color w:val="000000"/>
          <w:sz w:val="20"/>
          <w:lang w:val="en-US" w:eastAsia="en-US" w:bidi="ar-SA"/>
        </w:rPr>
        <w:t>Palanca v. Palanca</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2005 BCSC 1014</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[127] Counsel for Mrs. Palanca submitted that the court could draw an adverse inference against Mr. Palanca's estate in relation to the existence of family assets in the Philippines because Mr. Palanca failed to comply with court orders relating to accounting and disclosure. I accept that Mr. Palanca did not meet his obligations in this regard, but an adverse inference is not an adequate substitute for evidence about specific assets, the ownership of those assets, whether the assets were used for a family purpose, or otherwise met the definition of family assets, or the value of the family assets, sufficient to allow for the making of a compensation order that is more than a guess.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With respect, I think the judge erred in putting any value on the overseas investments when there was not any evidence about them. In my view, the $1.6 million ascribed to this item must be taken out of the reckoning of family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have very little evidence as to the value of the offshore assets, particularly the Sherwood Finance Company Ltd. assets. As I have indicated, the fact that Mr. Martinoff is prepared to pay more than $2,000 per year to maintain the company suggests that the company has significant assets. In my view, it would not make sense to maintain an offshore account, with all of the difficulty that that would entail, for anything less than assets worth $1 million. Whether that account contains $1 million or $5 million I cannot say. It is likely, given the lengths that Mr. Martinoff has gone to shield these assets, that they are very significant, and likely well exceed the value of the family assets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Martinoff argues that Mrs. Martinoff is responsible for half of his debt to Mr. Page/Sunshine Endeavors Ltd. As set out above, I have concluded that those debts are fictitious.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conclude that an appropriate order would be for Mrs. Martinoff to receive all of the remaining family assets: all of the bank accounts, GICs, the contents of the house, the farm assets, the jewelry and the miscellaneous chattels. As to the firearms, there is no evidence that these were used for a family purpose. Accordingly, I will not order that Mrs. Martinoff will receive the firearms, except for those which belong to her specifically: the 7mm Mauser, Thompson/Center Contender and the Lever Action 30-30.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She will also receive 70% of the KFL proceeds as agreed with Mr. Page/KFL.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his counterclaim Mr. Martinoff seeks: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compensation for fraud;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compensation for breach of contract; and</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for compensation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 respect to the compensation for fraud, I understand Mr. Martinoff seeks damages for fraud on the basis that Mrs. Martinoff purported to enter a "true Christian marriage" but did not. He was defrauded because he was tricked into marriage with her. She did not intend to abide by the rules of a true Christian marriage. He says a true Christian marriage is one where the husband is the head of the family and the wife complies with his decisions. Mrs. Martinoff argues that such a claim is not available under Canadian law. I am not persuaded that the evidence supports Mr. Martinoff's contention in any event. Mrs. Martinoff gave evidence that Mr. Martinoff was the head of the household. He controlled all of the finances. She followed his bidding. As such, I am not persuaded that even if the claim were one known to the law, the marriage was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Martinoff also claims for breach of contract on the basis that Mrs. Martinoff failed to abide by the rules of the true Christian marriage. Again, I am not persuaded that this is so, even if it were a claim recognized by Canadian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Finally, Mr. Martinoff claims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damages for breach of contract on the basis that Mrs. Martinoff failed to perform her contractual duties in relation to the horse business that she undertook on behalf of KFL and that she negligently caused the death of a colt owned by that horse business. Mr. Martinoff in his evidence indicated that the horse business was KFL's property. As such, any losses suffered by that business cannot be pursued by Mr. Martinoff, they must be pursued by KFL. KFL already entered a comprehensive settlement with Mrs. Martinoff by way of the July 13, 2016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Duplicate provisional indefeasible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Mrs. Martinoff sought an order pursuant to s.193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that the registrar of the Kamloops land title office accept an order from the court for a provisional indefeasible title to be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a result of Mr. Martinoff's decision to deliberately and flagrantly dispossess himself of the certificate, which caused more delay and cost, Mrs. Martinoff also requests special costs for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am satisfied that Mr. Martinoff has destroyed or removed the duplicate certificate of title from this jurisdiction in an effort to avoid the orders sought by Mrs. Martinoff and KFL.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However, I am not persuaded that it is necessary to make the order sought by Mrs. Martinoff. It may be that sale and transfer of the title of KFL. to a purchaser can be achieved by a vesting order. I will require further submissions before making the orders sought by Mrs. Martinoff.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Contempt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Mrs. Martinoff also seeks a finding that Mr. Martinoff has been in contempt for failure to produce documents as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have been a number of orders directing Mr. Martinoff to produce documents in this matter. I am satisfied that he has intentionally failed to produce the documents as ordered. His evidence at trial that he was not able to locate documents because he had removed them from the gun vault because he was concerned that burglars might steal the documents (even though he left the guns in the gun vault) so he buried the documents in oil drums on the property and then was not able to locate the oil drums is preposterous. Even if this were a credible story, Mr. Martinoff could have obtained the documents from third parties such as the Bank of Montreal or Campbell Corporate Services Limited. He chose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However, I am not persuaded that there is any practical purpose to finding Mr. Martinoff in contempt. I will require further submissions from Mrs. Martinoff should she wish to pursue this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Mrs. Martinoff is entitled for costs throughout at Scale C because of the extraordinary difficulty to Mrs. Martinoff in pursuing her claims caused by Mr. Martinoff.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Morris (Guardian ad litem of) v. Gentry, [2005] B.C.J. No. 1059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Shabbits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22, 23, and 24,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26156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1059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670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140 A.C.W.S. (3d) 103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Bryce Morris an infant by his Guardian Ad Litem, Christina Morris, and the said Christina Morris, plaintiffs, and Kelly Brooke Gentry and James David Patterson,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5"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0" w:name="Keywords_29"/>
      <w:bookmarkEnd w:id="190"/>
      <w:r>
        <w:rPr>
          <w:rFonts w:ascii="arial" w:eastAsia="arial" w:hAnsi="arial" w:cs="arial"/>
          <w:b/>
          <w:color w:val="000000"/>
          <w:sz w:val="20"/>
          <w:lang w:val="en-US" w:eastAsia="en-US" w:bidi="ar-SA"/>
        </w:rPr>
        <w:t xml:space="preserve">Damages — General damages — For personal injuries — Loss of earning capacity — Non-pecuniary damages including pain and suffering — Physical injuries — Body injuries — Abdomen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1" w:name="Case Summary_25"/>
            <w:bookmarkEnd w:id="1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Morris, against the defendants, Gentry and Patterson, for damages for injuries sustained in a motor vehicle accident which occurred when Morris was 12-years-old. Morris was a front seat passenger in his mother's vehicle when the Patterson vehicle struck their vehicle causing extensive damage. He suffered a knee contusion, shoulder bruising, small bowel laceration, devitilizaton of a segment of the colon, and abdominal wall crushing. Morris was now 20-years-old and still suffered from abdominal complaints and scarring and psychological problems.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2" w:name="Holdings of Court_22"/>
            <w:bookmarkEnd w:id="19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Non-pecuniary damages were assessed at $110,000 based on the fact that Morris experienced significant abdominal discomfort on a periodic basis and the medical prognosis was that the discomfort would continue. He was subjected to partial bowel blockages, and there was a possibility of that worsening. It restricted his activities to the extent that he needed to remain close to medical attention facilities. His scarring caused him to continue to suffer psychologically. The accident caused Morris to be less capable overall of earning income from all types of employment and it made him less marketable as an employee because of his injuries. This was tempered by the fact that Morris did not do well in school, did not have aspirations of moving away from ready medical attention, there were other non-accident caused physical limitations and Morris's bowel problems might be resolved with surgery, which he refused. His loss of capacity to earn income was assessed at $40,000. The claims for cost of future care and future out-of-pocket expenses were not warranted by the evidence.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3" w:name="Counsel_29"/>
      <w:bookmarkEnd w:id="1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Bryce Morris: J.A. Vanstone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Kelly Brooke Gentry and I.C.B.C.: R. Hornquist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4" w:name="Judgment_29"/>
      <w:bookmarkEnd w:id="194"/>
      <w:r>
        <w:pict>
          <v:line id="_x0000_s1167" style="position:absolute;z-index:2517913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5" w:name="SHABBITS J."/>
            <w:bookmarkEnd w:id="195"/>
            <w:r>
              <w:rPr>
                <w:rFonts w:ascii="arial" w:eastAsia="arial" w:hAnsi="arial" w:cs="arial"/>
                <w:b/>
                <w:color w:val="000000"/>
                <w:sz w:val="30"/>
                <w:lang w:val="en-US" w:eastAsia="en-US" w:bidi="ar-SA"/>
              </w:rPr>
              <w:t>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Bryce Morris was born on March 5, 1985. He was injured in a motor vehicle accident that occurred in Port Alberni, British Columbia, on June 7, 1997. The accident occurred at an intersection. Mr. Morris was a front seat passenger in a vehicle being driven by his mother, Christina Morris. The Morris vehicle was struck by a vehicle being operated by one of the defendants, Mr. Patterson. The damage to the Morris vehicle was extensive. This trial related to the assessment of damages that Mr. Morris suffered as a result of that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Morris was 12 years of age at the time of the accident. He is now 20 years of age. This proceeding was commenced on Mr. Morris' behalf by Christina Morris acting as his guardian ad litem. Mr. Morris is now of the age of majority. His mother no longer acts as his guardian ad litem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Accident Caused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am satisfied that as a result of the motor vehicle accident the plaintiff suffered these injuries:</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contusion to his left knee;</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bruising to his right shoulder;</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laceration to the small bowel;</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devitalization of a segment of the sigmoid colon;</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crush injury to the abdominal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has ongoing sequelae from the accident. They include: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abdominal complaints;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abdominal scarring running from the sternum to the pubic area;</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 medical report dated July 26, 1999, Dr. James Grant, who was the general practitioner in Port Alberni who cared for Mr. Morris both before and after the motor vehicle accident, reported that the motor vehicle accident caused a contusion to Mr. Morris' left knee. Mr. Morris agrees that this contusion resolved uneventfully within weeks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Grant reported that Mr. Bryce was severely bruised on his abdomen and right shoulder. The bruising was caused by the lap/shoulder belt that Mr. Morris had been using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Grant testified that Mr. Morris' shoulder injury resolved within six weeks or so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Morris testified that he experiences periodic but infrequent tightness of the shoulder, which causes him discomfort now and again for a couple of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Morris attended a doctor of chiropractic on October 3, 2000, for neck and right shoulder complaints. He completed a case history form for the guidance of the doctor of chiropractic. Mr. Morris said in the case history that he had woken up with a neck spasm. He described his condition as a stiff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Morris sustained a left clavicle fracture while playing basketball on July 2, 2000. That injury was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am of the view that the plaintiff has not established, on a balance of probabilities, that any ongoing symptomology he has in his neck or right shoulder is 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Morris suffered internal injuries in the accident. They were caused by the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Immediately following the accident, Mr. Morris was placed under observation at the West Coast General Hospital in Port Alberni. He displayed signs of a generalized abdominal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J.M. Ferguson, a general surgeon, performed a laparotomy on an urgent basis. In a report dated October 12, 2004, Dr. Ferguson described that procedure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Taken to surgery and under a general anaesthetic laparotomy was carried out. On opening the peritoneal cavity bloody fluid was encountered in which there appeared to be gut content. The small bowel was delivered into the field and an injury to that organ was evident in the region of the terminal ileum. A rent in the small bowel, probably at the apex of a Meckel's diverticulum, had caused discharge of bowel contents into the abdominal cavity. Fibrinous exudate covered the small bowel at the area of laceration and also bowel contents had slipped into the pelvic cavity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area of injury a bowel resection was necessary. The area of injury to the small bowel was isolated and that part of the small bowel removed. Small bowel anastomosis was constructed using a two layered suture technique.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well the sigmoid colon appeared damaged but had not perforated. The sigmoid mesocolon had been torn from the bowel and the section detached appeared to be non viable. A similar operation was carried out on colon. The bowel, proximal and distal to the injury was cross clamped, the intervening injured segment removed and then an end to end anastomosis was established with the same technique.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abdomen otherwise, when closely inspected, seemed intact and major viscera were otherwise not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closing the abdominal cavity one observed that there had been crush injury to the fat between skin and the superficial fascia. This area of devitalized abdominal wall was drained with Penrose drains and the skin closed with staples.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Bryce's post-operative course in Intensive Care was acceptably smooth. He required, as expected, a fair amount of analgesia and a nasogastric tube and Foley catheter were required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Sequential blood tests were obtained and by the 11th of June white cell count had reverted to its normal range but the haemoglobin had dropped to 96, but this was not thought to be critically important.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conclusions following surgery were that the child had suffered a laceration to the small bowel, probably in a Meckel's diverticulum, had devitalized a segment of sigmoid colon and had transected fat in the abdominal wall in the line of the lap portion of the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Ferguson reassessed Mr. Morris in 2004. He wrote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September 28th of 2004 I again met Bryce at the office to review his situation. The gentleman explained to me that he continued to have abdominal cramps and pain perhaps occurring daily to weekly, at times quite severe lasting minutes to hours at a time. Nausea typically attended these attacks and on occasion vomiting would occur. During the attacks the gentleman declared that he felt absolutely terrible. The severity of the attacks, and especially when prolonged, prevented him from participating in social activities and was also affecting his performance as a cook.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occasion since the operation I had discussed with Bryce the possibility of further investigation of causes for abdominal cramps and pain. Small bowel follow through obtained on the 21st of January of 2004 showed a normal caliber small bowel, the anastomosis in the small bowel was identified and appeared to be unremarkable.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then raised was to the origin of ongoing abdominal symptoms. From my experience I suspect that the gentleman has adhesions which at this point have caused reversible but quite marked bowel obstruction symptoms. There are no modalities that allow one to identify adhesions. Neither CT nor MRI are sufficient to give this type of information and perhaps the only way of being certain of the state of the abdominal contents with respect to adhesions is to perform laparoscopy or laparotomy.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these tests are speculative, are investigative but carry with them the possibility of significant risk. The general surgeon's experience typically is that surgery for adhesions may be successful but new adhesions will form and there is absolutely no guarantee that signs and symptoms such as Bryce had exhibited would not recur.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I understand the gentleman's reluctance to have further surgery which may be of limited benefit.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patient's choice to forego surgery at present is acknowledged but if lifestyle and work are more affected than the patient may then feel inclined to undergo an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keeps in mind that to this point Bryce has suffered what appears to be partial small bowel obstructions which have always settled. However, the danger of a complete small bowel obstruction occurring is significant and in that event surgical intervention would be absolutely necessary. The possibility of complete small bowel obstruction as the result of adhesions is a life long risk and cannot be ameliorated by any medical technique that we know of at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this young man suffers abdominal symptoms that seem to relate directly to a motor vehicle accident when he was twelve years old. I would judge that the symptoms are not progressive at this time but they are adversely influencing social and work activities. One cannot predict that there will be improvement in the future. The possibility of a complete bowel obstruction may occur and thus the surgical events of a childhood injury are likely to persist through a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Morris testified that his condition has been the same for years. He said that he suffers from one or two episodes of severe pain a week, and that the attacks are occasionally associated with nausea, and, on a very few occasions, with vomiting. Mr. Morris said that the attacks vary in duration and can last from a few minutes to a matter of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Morris was adamant that he does not wish surgery. He said that his condition is tolerable. He does not take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laparotomy left Mr. Morris with a surgical scar on his abdomen. It is centered on the front of his body, and runs from the breastbone to the area of the pubis. Mr. Morris has been extremely self-conscious about the scar. Mr. Morris has felt that on the few occasions that it has been visible to others that it was a focus of unwanted attention. Mr. Morris has done his best to avoid others from seeing the scar covered with clothing when he is with others. Although my impression at trial was that Mr. Morris has recently been becoming more relaxed about the scar, there is no doubt but that the scar has been and continues to be a source of embarrassment, distress, and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March 24, 2004, Dr. Lawrence L. Tang saw Mr. Morris at the request of Dr. James Ferguson. Dr. Tang is a specialist in cosmetic, plastic, and reconstructive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Ferguson had asked Dr. Tang for an assessment and recommendations of the abdominal scar. Dr. Tang's opinion in March was that any revisions of Mr. Morris' scar with surgery would be temporary and not lasting. He did not then recommend surgical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Tang saw Mr. Morris again on December 15th, 2004. Dr. Tang wrote a report on December 15, 2004. He wrote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returns today for a further assessment. The patient presents complaining that he is unable to participate in any activities that requires him to remove his shirt. This makes his abdomen visible and he is quite wary of the scars and feels the need to cover up. He tells me that he used to go swimming with his T-shirt on but was told by the pool attendant that he had to take his shirt off. Because of this, he has discontinued this activity. Because of the awareness of his abdominal scars, this patient has avoided any outdoor type activities where he runs the risk of having to remove his shirt. At the previous assessment of the patient it was noted that he lives a very sedentary lifestyle. At that time I discussed with him the possibilities of working out at the gym and literally toning up his abdomen. Since that time he has apparently tried it, did not like it and therefore discontinued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clinical examination today the overall appearance of this patient's abdomen is one of a person that has a very sedentary type lifestyle. He has a pudgy abdomen with not only folds hanging downwards but also interrupted by this vertical midline scar that literally leaves him with an anterior abdominal wall deformity that looks like the cheeks of a buttock. The entire length of the scar runs at roughly 24 cm. The upper end of the scar extending from the xiphisternum to the umbilicus is 14 cm. in length and 2 cm. at its widest. The typical railway track suture marks are noted on either side of the scar. At the upper end of the umbilicus, the scar then circles around on the left side of the umbilicus and then gets into the midline again before extending downwards towards the pubic area. The length of this scar is roughly 8 cm. and, at its widest point, runs at about 1 cm. This is the section of the scar that looks like the cheeks of the buttock.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above described deformities, I can certainly relate to the patient's reluctance to remove his shirt in public. I can certainly see that this would restrict his social and recreational activities along these lines. In terms of improvements of the scars, I can certainly envisage improvements if the scar deformities were to be excised and then re-sutured. This would give him a scar that is fairly thin lined and, to avoid contracture of the scars, z-plasties can certainly be added into the mix. This would effectively break up the straight line scar into a zigzag type scar. This is not an uncommon type procedure performed by myself but it is usually in a situation where the abdomen is not as pudgy and where further increase in weight or maintenance of the same weight distribution is not prolonged. In other words, if this patient were to lose some weight around his abdomen and tone up the abdomen in terms of exercises in one form or another, it may be possible to give him a longer lasting improvement in terms of his scars.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Tang concluded that Mr. Morris' significant midline anterior abdominal wall scar is permanent, and that at this point in time any surgical improvements would be temporary. Dr. Tang noted that a longer lasting result could be achieved if there was a change in the shape of Mr. Morris' abdomen, but he said that Mr. Morris will always have a scar at least 24 cm. in length extending from his xiphisternum into the pubic area of his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Morris does not want to have his scar treated with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Robinson v. Lions Gate Hospital, </w:t>
      </w:r>
      <w:hyperlink r:id="rId524" w:history="1">
        <w:r>
          <w:rPr>
            <w:rFonts w:ascii="arial" w:eastAsia="arial" w:hAnsi="arial" w:cs="arial"/>
            <w:i/>
            <w:color w:val="0077CC"/>
            <w:sz w:val="20"/>
            <w:u w:val="single"/>
            <w:shd w:val="clear" w:color="auto" w:fill="FFFFFF"/>
            <w:lang w:val="en-US" w:eastAsia="en-US" w:bidi="ar-SA"/>
          </w:rPr>
          <w:t>[2003] B.C.J. No. 2094</w:t>
        </w:r>
      </w:hyperlink>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2003 BCSC 1381</w:t>
        </w:r>
      </w:hyperlink>
      <w:r>
        <w:rPr>
          <w:rFonts w:ascii="arial" w:eastAsia="arial" w:hAnsi="arial" w:cs="arial"/>
          <w:color w:val="000000"/>
          <w:sz w:val="20"/>
          <w:lang w:val="en-US" w:eastAsia="en-US" w:bidi="ar-SA"/>
        </w:rPr>
        <w:t>, Madam Justice Dillon assessed general damages at $80,000 for a 73 year old female who suffered a perforation to her bowel. The treatment for that perforation required two operations, three hospitalizations, and prolonged medical assistance and personal care. The plaintiff's injuries significantly restricted 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Emmonds v. Makarewics, </w:t>
      </w:r>
      <w:hyperlink r:id="rId525" w:history="1">
        <w:r>
          <w:rPr>
            <w:rFonts w:ascii="arial" w:eastAsia="arial" w:hAnsi="arial" w:cs="arial"/>
            <w:i/>
            <w:color w:val="0077CC"/>
            <w:sz w:val="20"/>
            <w:u w:val="single"/>
            <w:shd w:val="clear" w:color="auto" w:fill="FFFFFF"/>
            <w:lang w:val="en-US" w:eastAsia="en-US" w:bidi="ar-SA"/>
          </w:rPr>
          <w:t>[1999] B.C.J. No. 1513</w:t>
        </w:r>
      </w:hyperlink>
      <w:r>
        <w:rPr>
          <w:rFonts w:ascii="arial" w:eastAsia="arial" w:hAnsi="arial" w:cs="arial"/>
          <w:color w:val="000000"/>
          <w:sz w:val="20"/>
          <w:lang w:val="en-US" w:eastAsia="en-US" w:bidi="ar-SA"/>
        </w:rPr>
        <w:t>, Vancouver Docket No. B934385, Mr. Justice Fraser assessed general damages at $90, 000 for a 47 year old female who suffered a ruptured bladder that caused gallstones to spill into her abdominal cavity. Mr. Justice Fraser found that the plaintiff had "lost" five years of her life, and that her injuries had caused her five years of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Coburn v. Nagra and Lomax, </w:t>
      </w:r>
      <w:hyperlink r:id="rId526" w:history="1">
        <w:r>
          <w:rPr>
            <w:rFonts w:ascii="arial" w:eastAsia="arial" w:hAnsi="arial" w:cs="arial"/>
            <w:i/>
            <w:color w:val="0077CC"/>
            <w:sz w:val="20"/>
            <w:u w:val="single"/>
            <w:shd w:val="clear" w:color="auto" w:fill="FFFFFF"/>
            <w:lang w:val="en-US" w:eastAsia="en-US" w:bidi="ar-SA"/>
          </w:rPr>
          <w:t>[2001] B.C.J. No. 247</w:t>
        </w:r>
      </w:hyperlink>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2001 BCSC 234</w:t>
        </w:r>
      </w:hyperlink>
      <w:r>
        <w:rPr>
          <w:rFonts w:ascii="arial" w:eastAsia="arial" w:hAnsi="arial" w:cs="arial"/>
          <w:color w:val="000000"/>
          <w:sz w:val="20"/>
          <w:lang w:val="en-US" w:eastAsia="en-US" w:bidi="ar-SA"/>
        </w:rPr>
        <w:t xml:space="preserve"> Mr. Justice Stewart assessed general damages at $100,000 to a 46 year old female for a perforation to the stomach resulting in four operations and a permanent adverse impact on her activities and enjoyment of life. Judge Stewart said that the plaintiff's loss was enormous.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Morris has experienced significant abdominal discomfort on a periodic basis for several years, and the medical prognosis is that his discomfort will continue indefinitely. Mr. Morris is subjected to episodical partial blockages of the bowel. He is at risk of a complete blockage. There is a possibility that Mr. Morris' condition might be resolved or alleviated with an operation should Mr. Morris decide to submit to an operation or should an operation become necessary because of a complete bowel obstruction. There is a possibility that his condition could worsen. His condition restricts his activities, in that it would be unwise for him to place himself away from medical care and in that he is prone to fairly regular partial blockages of the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Morris suffers psychologically as a result of the scarring. Although he has managed to hide the scar from others with clothing, the scar is a cause of minor physical discomfort and of continuing embarrassment.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assess Mr. Morris' non-pecuniary damages at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Impaired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Morris seeks damages for the impairment of his ability to earn income because of accident caused limitations. The defendant submits that an award in non-pecuniary damages appropriately addresses this consideration, and that a separate award for this claimed loss ought not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have concluded that the accident caused injuries have rendered the plaintiff less capable overall from earning income from all types of employment, and that the plaintiff is less marketable or attractive as an employee because of his injuries. In my opinion, the plaintiff has lost the ability to take advantage of all job opportunities that might otherwise have been open to him, and the injuries have made the plaintiff less valuable to himself as a person capable of earning income in the competitive labour market. Those are the considerations of application. They were referred to by the Court of Appeal for British Columbia in Kwei v. Voisclair </w:t>
      </w:r>
      <w:hyperlink r:id="rId60"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at pps. 399 - 400.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income earning limitations imposed upon Mr. Morris by the accident relate to the concerns surrounding the obstructions of the bowel and his continuing abdominal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noted, Dr. Ferguson reported that there is an ongoing significant danger of a complete small bowel obstruction which, if it occurs, would require surgical intervention on an urgent basis. That concern requires Mr. Morris to limit his employment such that he has recourse to immediate medical assistance, if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ongoing episodes of periodic abdominal discomfort have a lesser effect on Mr. Morris'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Both Dr. Ferguson and a vocational consultant formed the opinion that Mr. Morris' capacity to earn income has been adversely affected by his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opinion, however, the impact of accident caused injuries on Mr. Morris' capacity to earn income is tempered by other considerations. Mr. Morris has little, if any, interest in occupations that would take him away to places where immediate medical assistance is not available. Mr. Morris also suffers from some minor non-accident caused physical limitations. Mr. Morris did not do particularly well in school. He limited his choice of subjects and he did not obtain high marks. Mr. Morris' own assessment of his academic career is that he lacked interest in school and that he was not motivated to succeed. The accident effects are not progressive. There is a possibility that Mr. Morris' bowel problems might be resolved with surgery. After graduating from high school, Mr. Morris has not suffered an accident caused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assess Mr. Morris' loss for his loss of capacity to earn income at $40,000.00.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parties are in agreement that the plaintiff is entitled to recover $275 for past loss of income, and $100 for special damages. These losses occurred not long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advances modest claims for the cost of future care and for out-of-pocket expenses that he may incur in the future relating to a need to hire others to help him about his household. I am of the view that the evidence does not warrant any awards under those headings.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is entitled to his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SHABBITS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425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Nash v. MacDougall, [2007] B.C.J. No. 838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 20, 21, 22, 2007 (New</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Westminster).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S16356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838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563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1073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George Edwin Nash, Plaintiff, and Roderick David MacDougall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9"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6" w:name="Keywords_30"/>
      <w:bookmarkEnd w:id="196"/>
      <w:r>
        <w:rPr>
          <w:rFonts w:ascii="arial" w:eastAsia="arial" w:hAnsi="arial" w:cs="arial"/>
          <w:b/>
          <w:color w:val="000000"/>
          <w:sz w:val="20"/>
          <w:lang w:val="en-US" w:eastAsia="en-US" w:bidi="ar-SA"/>
        </w:rPr>
        <w:t>Damages — Psychological injuries — Emotional distress — Age of claimant — 46 to 55 — Non-pecuniary award — $5,001 to $20,000 — Action for sexual assault — Plaintiff, 54, claimed he was sexually assaulted by correctional officer 20 years ago while an inmate in correctional facility — Plaintiff sought damages for psychological injuries including depression, sense of loss, feelings of worthlessness or guilt and social withdrawal — Action allowed — Plaintiff awarded $20,000 for general and aggravated damages — Plaintiff proved that assault occurred — Primary psychological problems stemmed from consequences of living as fugitive.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Exemplary or punitive damages — When available — Action for sexual assault — Plaintiff, 54, claimed he was sexually assaulted by correctional officer 20 years ago while an inmate in correctional facility — Plaintiff sought damages for psychological injuries including depression, sense of loss, feelings of worthlessness or guilt and social withdrawal — Action allowed — Plaintiff entitled to punitive damages of $10,000 due to defendant's position of authority.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Sexual assault — Action for sexual assault — Plaintiff, 54, claimed he was sexually assaulted by correctional officer 20 years ago while an inmate in correctional facility — Plaintiff sought damages for psychological injuries including depression, sense of loss, feelings of worthlessness or guilt and social withdrawal — Action allowed — Plaintiff awarded $20,000 for general and aggravated damages — Plaintiff proved that assault occurred — Primary psychological problems stemmed from consequences of living as fugitive.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7" w:name="Case Summary_26"/>
            <w:bookmarkEnd w:id="1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sexual assault -- Plaintiff, 54, claimed he was sexually assaulted 20 years ago while an inmate in correctional facility where defendant MacDougall worked as corrections officer -- MacDougall performed fellatio on plaintiff on one occasion -- MacDougall had been convicted of sexually assaulting other inmates -- Only evidence of alleged assault on plaintiff came from plaintiff's evidence -- MacDougall did not testify and plaintiff obtained default judgment against him -- Crown disputed assault -- Plaintiff sought damages for psychological injuries including depression, sense of loss, feelings of worthlessness or guilt and social withdrawal -- Plaintiff had sporadic employment history and lived under assumed identity from 1990 to 2005 -- HELD: Action allowed -- Plaintiff awarded $20,000 for general and aggravated damages -- Plaintiff proved that assault occurred -- No inconsistencies in plaintiff's evidence about assault or about collateral matters -- No basis for concluding plaintiff fabricated his testimony -- Court did not accept plaintiff's claim that decision to go underground was primarily due to MacDougall's sexual assault -- Plaintiff's primary reasons for living as fugitive was unsuccessful extradition challenge and his mother's ill health -- Assault was not materially contributing factor to decision to go underground -- Plaintiff's primary psychological problems stemmed from consequences of living as fugitive -- No significant psychiatric order established -- Sexual assault was distressing and caused plaintiff to feel degraded, ashamed and humiliated -- Plaintiff's social withdrawal and difficulty making appropriate life decisions resulted from decision to go underground, not from sexual assault -- In assessing general damages, court considered plaintiff's sophistication at age 35 when assault took place, fact hat plaintiff was released day after incident and fact that offence involved single incident -- Plaintiff also awarded 50 per cent of therapy costs for six months -- Considering MacDougall's position, plaintiff entitled to punitive damages of $10,000.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8" w:name="Legislation Cited_18"/>
      <w:bookmarkEnd w:id="1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0"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Immigration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9" w:name="Counsel_30"/>
      <w:bookmarkEnd w:id="1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D.B. Adair,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HMTQ: K. Johnston and A. Lieberman.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R.D. MacDougall.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0" w:name="Judgment_30"/>
      <w:bookmarkEnd w:id="200"/>
      <w:r>
        <w:pict>
          <v:line id="_x0000_s1172" style="position:absolute;z-index:251843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1" w:name="FISHER J."/>
            <w:bookmarkEnd w:id="201"/>
            <w:r>
              <w:rPr>
                <w:rFonts w:ascii="arial" w:eastAsia="arial" w:hAnsi="arial" w:cs="arial"/>
                <w:b/>
                <w:color w:val="000000"/>
                <w:sz w:val="30"/>
                <w:lang w:val="en-US" w:eastAsia="en-US" w:bidi="ar-SA"/>
              </w:rPr>
              <w:t>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George Nash, was an inmate of the Lower Mainland Regional Correctional Centre, known as Oakalla, for several days in September 1986. At that time, the defendant, Roderick MacDougall, was a Corrections Officer employed by the Crown. Mr. Nash claims that Mr. MacDougall sexually assaulted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one of many civil actions brought against Mr. MacDougall and his former employer, the provincial Crown, arising from allegations of sexual assault. There were previous criminal proceedings as well. In November 2000, Mr. MacDougall was found guilty on nine counts involving indecent and sexual assaults of five individuals between 1980 and 1991. He was ultimately sentenced to four years imprisonment and has served this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MacDougall took no part in these proceedings, and Mr. Nash has obtained a default judgment against him, with damages to be assessed. Liability and damages are in issue in this trial. The Crown has admitted that it is vicariously liable for the sexual assault if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George Nash has an unusual story. For about 15 years, he lived under an assumed name. In 1984, while returning through the United States from a trip to Venezuela, he was charged with possession and importation of cocaine. He spent three weeks in custody in Dade County, Florida. He was released back to Canada while awaiting his trial. He then fought his extradition until 1990, when he was ordered to return to the U.S. for trial. He did not want to return to the U.S. and he decided instead to assume the identity of a person named Terry Balan. He evaded the authorities until January 2005. Mr. Nash eventually returned to Florida, pleaded guilty to the drug charges, and was sentenced to 30 months in custody. He served that sentence and was released in June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Nash was in Oakalla in September 1986 because he was arrested on an immigration warrant regarding the U.S. charges. He was 35 years old. He was admitted to Oakalla on September 29, 1986 and released on October 1, 1986. This is when he says that he encountered Mr.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Nash testified that when he was admitted into Oakalla, he did not expect to be there for long, but he had not yet made contact with his lawyer, so he did not know when he would be released. After the admission process, he was taken to the East Wing. The next morning, he was escorted downstairs to an office, where he met Mr. MacDougall. He described the office as being in the lower part of the jail, near the area where he came in, with a window, curtains, a desk and a few chairs. He could see out the window to the west. He did not know why he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Nash said that Mr. MacDougall introduced himself as a special officer, whose role was to explain the rules and regulations in the jail. While sitting at the desk, Mr. MacDougall made a few remarks about how people can get hurt, and that it is always good to have friends in jail. He then got blunt, and asked Mr. Nash if he was into sexual favours. Mr. Nash said no. Mr. MacDougall then said he wanted to give Mr. Nash a blow job. Mr. Nash said he was not into that. Mr. MacDougall then described how people get knifed, or have accidents in the shower. He stood up and said he wanted to give Mr. Nash a blow job, this was all he had to do, and to keep his mouth shut.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Nash said that he was scared, and in shock. He stood up and opened his pants. Mr. MacDougall then fellated him until he ejaculated. He was then told to go back to his cell. He did not know how long he was with Mr. MacDougall. He said he felt his manhood was taken away because he did not stand up to Mr. MacDougall, but he felt it was a choice he had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Later that day, Mr. Nash spoke to his lawyer and learned that he would be going to court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told no one about this assault until 2005. He read an article in the newspaper about a number of men who had been abused by Mr. MacDougall in Oakalla. Mr. Nash then contacted counsel, and disclosed the allegations for the first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primary issue is whether the plaintiff has proven to the requisite standard that the assault took place. If so, damages must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is a case where Mr. Nash's testimony is the only evidence about the sexual assault. There are no significant inconsistencies in his evidence about the assault, but little support for his testimony can reasonably be drawn from the surrounding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Adair submitted that Mr. Nash was a credible witness and his evidence was not seriously contradicted. He seeks general and aggravated damages in the range of $45,000, future care costs for counselling in the range of $9,000, and punitive damages in the amount of $10,000 against Mr. MacDougall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Crown's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Johnston submitted that Mr. Nash failed to prove that he was sexually assaulted on a clear and cogent standard of proof, primarily because it is unlikely that Mr. Nash would have encountered Mr. MacDougall, given the reason Mr. Nash was in Oakalla, and where he was placed. Alternatively, if damages are to be awarded, he says that an appropriate award for general damages is between $7,500 and $15,000, and that there is no basis for an award for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cases such as this, where sexual assault is alleged, the evidence must be scrutinized with care, and the civil standard of proof must be applied so that it is "commensurate with the occasion": </w:t>
      </w:r>
      <w:r>
        <w:rPr>
          <w:rFonts w:ascii="arial" w:eastAsia="arial" w:hAnsi="arial" w:cs="arial"/>
          <w:b/>
          <w:i/>
          <w:color w:val="000000"/>
          <w:sz w:val="20"/>
          <w:lang w:val="en-US" w:eastAsia="en-US" w:bidi="ar-SA"/>
        </w:rPr>
        <w:t>F.H. v. McDougall</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2007 BCCA 212</w:t>
        </w:r>
      </w:hyperlink>
      <w:r>
        <w:rPr>
          <w:rFonts w:ascii="arial" w:eastAsia="arial" w:hAnsi="arial" w:cs="arial"/>
          <w:color w:val="000000"/>
          <w:sz w:val="20"/>
          <w:lang w:val="en-US" w:eastAsia="en-US" w:bidi="ar-SA"/>
        </w:rPr>
        <w:t xml:space="preserve"> at para. 30, citing </w:t>
      </w:r>
      <w:r>
        <w:rPr>
          <w:rFonts w:ascii="arial" w:eastAsia="arial" w:hAnsi="arial" w:cs="arial"/>
          <w:b/>
          <w:i/>
          <w:color w:val="000000"/>
          <w:sz w:val="20"/>
          <w:lang w:val="en-US" w:eastAsia="en-US" w:bidi="ar-SA"/>
        </w:rPr>
        <w:t>Bater v. Bater</w:t>
      </w:r>
      <w:r>
        <w:rPr>
          <w:rFonts w:ascii="arial" w:eastAsia="arial" w:hAnsi="arial" w:cs="arial"/>
          <w:color w:val="000000"/>
          <w:sz w:val="20"/>
          <w:lang w:val="en-US" w:eastAsia="en-US" w:bidi="ar-SA"/>
        </w:rPr>
        <w:t xml:space="preserve">, [1950] 2 All E.R. 458 at 459 (C.A.). This is often referred to as the "clear and cogent" standard: </w:t>
      </w:r>
      <w:r>
        <w:rPr>
          <w:rFonts w:ascii="arial" w:eastAsia="arial" w:hAnsi="arial" w:cs="arial"/>
          <w:b/>
          <w:i/>
          <w:color w:val="000000"/>
          <w:sz w:val="20"/>
          <w:lang w:val="en-US" w:eastAsia="en-US" w:bidi="ar-SA"/>
        </w:rPr>
        <w:t>B.G. v. British Columbia</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2003 BCSC 1890</w:t>
        </w:r>
      </w:hyperlink>
      <w:r>
        <w:rPr>
          <w:rFonts w:ascii="arial" w:eastAsia="arial" w:hAnsi="arial" w:cs="arial"/>
          <w:color w:val="000000"/>
          <w:sz w:val="20"/>
          <w:lang w:val="en-US" w:eastAsia="en-US" w:bidi="ar-SA"/>
        </w:rPr>
        <w:t xml:space="preserve"> at paras. 118-119; </w:t>
      </w:r>
      <w:r>
        <w:rPr>
          <w:rFonts w:ascii="arial" w:eastAsia="arial" w:hAnsi="arial" w:cs="arial"/>
          <w:b/>
          <w:i/>
          <w:color w:val="000000"/>
          <w:sz w:val="20"/>
          <w:lang w:val="en-US" w:eastAsia="en-US" w:bidi="ar-SA"/>
        </w:rPr>
        <w:t>V.(J.L.) v. H.(P.)</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(1997), 31 B.C.L.R. (3d) 155</w:t>
        </w:r>
      </w:hyperlink>
      <w:r>
        <w:rPr>
          <w:rFonts w:ascii="arial" w:eastAsia="arial" w:hAnsi="arial" w:cs="arial"/>
          <w:color w:val="000000"/>
          <w:sz w:val="20"/>
          <w:lang w:val="en-US" w:eastAsia="en-US" w:bidi="ar-SA"/>
        </w:rPr>
        <w:t xml:space="preserve"> at paras. 117-120 (S.C.), varied on other grounds </w:t>
      </w:r>
      <w:hyperlink r:id="rId537" w:history="1">
        <w:r>
          <w:rPr>
            <w:rFonts w:ascii="arial" w:eastAsia="arial" w:hAnsi="arial" w:cs="arial"/>
            <w:i/>
            <w:color w:val="0077CC"/>
            <w:sz w:val="20"/>
            <w:u w:val="single"/>
            <w:shd w:val="clear" w:color="auto" w:fill="FFFFFF"/>
            <w:lang w:val="en-US" w:eastAsia="en-US" w:bidi="ar-SA"/>
          </w:rPr>
          <w:t>(1998), 109 B.C.A.C. 165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R.A.R.B. v. British Columbia,</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2001 BCSC 667</w:t>
        </w:r>
      </w:hyperlink>
      <w:r>
        <w:rPr>
          <w:rFonts w:ascii="arial" w:eastAsia="arial" w:hAnsi="arial" w:cs="arial"/>
          <w:color w:val="000000"/>
          <w:sz w:val="20"/>
          <w:lang w:val="en-US" w:eastAsia="en-US" w:bidi="ar-SA"/>
        </w:rPr>
        <w:t xml:space="preserve"> at paras. 40-41 and the cases cited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Bater v. Bater</w:t>
      </w:r>
      <w:r>
        <w:rPr>
          <w:rFonts w:ascii="arial" w:eastAsia="arial" w:hAnsi="arial" w:cs="arial"/>
          <w:color w:val="000000"/>
          <w:sz w:val="20"/>
          <w:lang w:val="en-US" w:eastAsia="en-US" w:bidi="ar-SA"/>
        </w:rPr>
        <w:t>, Lord Denning stated that there is "no absolute standard" in either civil or criminal cases, implying that the standard may shift, depending on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criminal cases the charge must be proved beyond reasonable doubt, but there may be degrees of proof within that standard. Many great judges have said that, in proportion as the crime is enormous, so ought the proof to be clear. So also in civil cases. The case may be proved by a preponderance of probability, but there may be degrees of probability within that standard. The degree depends on the subject-matter. A civil court, when considering a charge of fraud, will naturally require a higher degree of probability than that which it would require if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is commensurate with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However, the Supreme Court of Canada has made it clear that where allegations of morally blameworthy or criminal conduct are made in civil litigation, the relevant burden of proof remains proof on a balance of probabilities. In </w:t>
      </w:r>
      <w:r>
        <w:rPr>
          <w:rFonts w:ascii="arial" w:eastAsia="arial" w:hAnsi="arial" w:cs="arial"/>
          <w:b/>
          <w:i/>
          <w:color w:val="000000"/>
          <w:sz w:val="20"/>
          <w:lang w:val="en-US" w:eastAsia="en-US" w:bidi="ar-SA"/>
        </w:rPr>
        <w:t>Continental Insurance Co. v. Dalton Cartage Co</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 xml:space="preserve">, Laskin C.J., after referring to Lord Denning's comments in </w:t>
      </w:r>
      <w:r>
        <w:rPr>
          <w:rFonts w:ascii="arial" w:eastAsia="arial" w:hAnsi="arial" w:cs="arial"/>
          <w:b/>
          <w:i/>
          <w:color w:val="000000"/>
          <w:sz w:val="20"/>
          <w:lang w:val="en-US" w:eastAsia="en-US" w:bidi="ar-SA"/>
        </w:rPr>
        <w:t>Bater v. Bater</w:t>
      </w:r>
      <w:r>
        <w:rPr>
          <w:rFonts w:ascii="arial" w:eastAsia="arial" w:hAnsi="arial" w:cs="arial"/>
          <w:color w:val="000000"/>
          <w:sz w:val="20"/>
          <w:lang w:val="en-US" w:eastAsia="en-US" w:bidi="ar-SA"/>
        </w:rPr>
        <w: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regard such an approach as a departure from a standard of proof based on a balance of probabilities nor as supporting a shifting standard. The question in all civil cases is what evidence with what weight that is accorded to it will move the court to conclude that proof on a balance of probabilities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Chief Justice confirmed that applying the burden of proof "commensurate with the gravity of the allegations" necessarily involves a matter of judgment in weighing evidence that goes to the burden of proof. A trial judge "is justified in scrutinizing evidence with greater care if there are serious allegations to be established by the proof that is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F.H. v. McDougall</w:t>
      </w:r>
      <w:r>
        <w:rPr>
          <w:rFonts w:ascii="arial" w:eastAsia="arial" w:hAnsi="arial" w:cs="arial"/>
          <w:color w:val="000000"/>
          <w:sz w:val="20"/>
          <w:lang w:val="en-US" w:eastAsia="en-US" w:bidi="ar-SA"/>
        </w:rPr>
        <w:t xml:space="preserve"> involved allegations of historic sexual abuse by a former student at an Indian Residential School against an Oblate Brother. Proof was difficult because, as in this case, the events took place many years before and apart from the plaintiff's evidence about the assaults, there was no other evidence capable of providing support. Moreover, it was not a case where support for the plaintiff's testimony concerning the assaults could reasonably be drawn from the surrounding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trial judge found that the plaintiff had proved that the defendant had sexually abused him, despite some inconsistencies in his evidence. Rowles J.A. held that the trial judge erred in applying the standard of proof by failing to consider the problems or troublesome aspects of the plaintiff's evidence. There were two main aspects of concern. First, the plaintiff's testimony about the frequency of the assaults differed quite significantly from what he said to others before trial and on discovery. Second, other evidence about the layout of the school tended to support a conclusion that there was little, if any, opportunity for the sexual acts to have occurred. At para. 79, she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trial judge considered and rejected the arguments the appellants had made concerning the evidence, she did not heed O'Halloran J.A.'s caution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No support for the respondent's testimony could be drawn from the surrounding circumstances. It appears to me that at the very least, when the respondent's testimony stood alone, the trial judge was bound to consider, among other things, the serious inconsistencies in the respondent's evidence in determining whether the fact in issue had been proved to the standard commensurate with the allegation. In my respectful view, the trial judge did not scrutinize the evidence in the manner required and thereby erred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F.H. v. McDougall</w:t>
      </w:r>
      <w:r>
        <w:rPr>
          <w:rFonts w:ascii="arial" w:eastAsia="arial" w:hAnsi="arial" w:cs="arial"/>
          <w:color w:val="000000"/>
          <w:sz w:val="20"/>
          <w:lang w:val="en-US" w:eastAsia="en-US" w:bidi="ar-SA"/>
        </w:rPr>
        <w:t xml:space="preserve"> differed from this case in that there, the defendant McDougall testified. Southin J.A., agreeing with the disposition, held that in such circumstances, the trial judge is not bound to choose between the evidence of the plaintiff or the defendant. Rather, a trial judge should apply </w:t>
      </w:r>
      <w:r>
        <w:rPr>
          <w:rFonts w:ascii="arial" w:eastAsia="arial" w:hAnsi="arial" w:cs="arial"/>
          <w:b/>
          <w:i/>
          <w:color w:val="000000"/>
          <w:sz w:val="20"/>
          <w:lang w:val="en-US" w:eastAsia="en-US" w:bidi="ar-SA"/>
        </w:rPr>
        <w:t>R. v. W.(D.)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1 S.C.R. 742</w:t>
      </w:r>
      <w:r>
        <w:rPr>
          <w:rFonts w:ascii="arial" w:eastAsia="arial" w:hAnsi="arial" w:cs="arial"/>
          <w:color w:val="000000"/>
          <w:sz w:val="20"/>
          <w:lang w:val="en-US" w:eastAsia="en-US" w:bidi="ar-SA"/>
        </w:rPr>
        <w:t xml:space="preserve"> to civil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judge, unable to identify such a reason for accepting the plaintiff's evidence and rejecting that of the defendant, dismisses the action, he or she is not thereby finding that the plaintiff was lying and the defendant was telling the truth. Such a finding is no more and no less than a finding that the plaintiff has failed to carry the burden of proof. (para. 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Nash advances serious allegations against Mr. MacDougall, who has chosen not to defend himself in these proceedings. The only evidence about the sexual assault comes from Mr. Nash. While I may accept his evidence, I must be very careful when considering his uncorroborated allegations, and I must test his evidence in light of all of the other evidence. I may consider his evidence to be unreliable even if I also consider that he has not consciously lied: see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93 B.C.L.R. (3d) 228</w:t>
        </w:r>
      </w:hyperlink>
      <w:r>
        <w:rPr>
          <w:rFonts w:ascii="arial" w:eastAsia="arial" w:hAnsi="arial" w:cs="arial"/>
          <w:color w:val="000000"/>
          <w:sz w:val="20"/>
          <w:lang w:val="en-US" w:eastAsia="en-US" w:bidi="ar-SA"/>
        </w:rPr>
        <w:t xml:space="preserve"> at paras. 16-17; varied </w:t>
      </w:r>
      <w:hyperlink r:id="rId542" w:history="1">
        <w:r>
          <w:rPr>
            <w:rFonts w:ascii="arial" w:eastAsia="arial" w:hAnsi="arial" w:cs="arial"/>
            <w:i/>
            <w:color w:val="0077CC"/>
            <w:sz w:val="20"/>
            <w:u w:val="single"/>
            <w:shd w:val="clear" w:color="auto" w:fill="FFFFFF"/>
            <w:lang w:val="en-US" w:eastAsia="en-US" w:bidi="ar-SA"/>
          </w:rPr>
          <w:t>2003 BCCA 671</w:t>
        </w:r>
      </w:hyperlink>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21 B.C.L.R. (4th) 1</w:t>
        </w:r>
      </w:hyperlink>
      <w:r>
        <w:rPr>
          <w:rFonts w:ascii="arial" w:eastAsia="arial" w:hAnsi="arial" w:cs="arial"/>
          <w:color w:val="000000"/>
          <w:sz w:val="20"/>
          <w:lang w:val="en-US" w:eastAsia="en-US" w:bidi="ar-SA"/>
        </w:rPr>
        <w:t xml:space="preserve">, aff'd </w:t>
      </w:r>
      <w:hyperlink r:id="rId543"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events in this action took place over 20 years ago. This in itself presents challenges for all parties, as there is no longer any objectively verifiable evidence of the assault. It is apparent that the passage of time has affected the Crown's ability to locate and present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Adair submitted that the court should draw an adverse inference against the Crown for failing to call Mr. MacDougall to give evidence. He says that the Crown made admissions that establish that Mr. MacDougall was employed at Oakalla at the relevant time, and because it has asserted that Mr. MacDougall's duties would not have brought him into contact with Mr. Nash, it has an obligation to call either Mr. MacDougall or another corrections officer to establish this as a fact. Because the corrections officer who gave evidence did not have sufficient knowledge of Mr. MacDougall's duties and movements, and because the Crown does have access to Mr. MacDougall (having obtained his birth certificate and driver's licence), it is open to the Court to draw an adverse inference against the Crown for not calling Mr. MacDougall to give evidence about his job, and where he worked within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Johnston submitted that no adverse inference should be drawn in the circumstances. He says that the situation here is similar to that in </w:t>
      </w:r>
      <w:r>
        <w:rPr>
          <w:rFonts w:ascii="arial" w:eastAsia="arial" w:hAnsi="arial" w:cs="arial"/>
          <w:b/>
          <w:i/>
          <w:color w:val="000000"/>
          <w:sz w:val="20"/>
          <w:lang w:val="en-US" w:eastAsia="en-US" w:bidi="ar-SA"/>
        </w:rPr>
        <w:t>Curran v. MacDougall</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2006 BCSC 933</w:t>
        </w:r>
      </w:hyperlink>
      <w:r>
        <w:rPr>
          <w:rFonts w:ascii="arial" w:eastAsia="arial" w:hAnsi="arial" w:cs="arial"/>
          <w:color w:val="000000"/>
          <w:sz w:val="20"/>
          <w:lang w:val="en-US" w:eastAsia="en-US" w:bidi="ar-SA"/>
        </w:rPr>
        <w:t>. Mr. MacDougall's testimony would be of little probative value, because he continues to maintain his innocence, despite his criminal convictions, and his credibility would be questionable. The corrections officer who testified was a knowledgeable employee who gave relevant evidence regarding the duties and movements of the officers at Oakalla. Moreover, Mr. Johnston reiterated that the Crown does not have special access to Mr. MacDougall, and that Mr. Adair is just as able to contact him, given that he serves Mr. MacDougall with pleadings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An adverse inference is essentially an implied admission that the evidence of Mr. MacDougall would be contrary to the Crown's case, or at least would not support it: see Sopinka, Lederman and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(2nd ed. 1999) at 297, para. 6.321. There is usually a stronger basis for drawing an adverse inference where the party has special access to the potential witness: </w:t>
      </w:r>
      <w:r>
        <w:rPr>
          <w:rFonts w:ascii="arial" w:eastAsia="arial" w:hAnsi="arial" w:cs="arial"/>
          <w:b/>
          <w:i/>
          <w:color w:val="000000"/>
          <w:sz w:val="20"/>
          <w:lang w:val="en-US" w:eastAsia="en-US" w:bidi="ar-SA"/>
        </w:rPr>
        <w:t>R. v. Jolivet</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2000 SCC 29</w:t>
        </w:r>
      </w:hyperlink>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[2000] 1 S.C.R. 751</w:t>
        </w:r>
      </w:hyperlink>
      <w:r>
        <w:rPr>
          <w:rFonts w:ascii="arial" w:eastAsia="arial" w:hAnsi="arial" w:cs="arial"/>
          <w:color w:val="000000"/>
          <w:sz w:val="20"/>
          <w:lang w:val="en-US" w:eastAsia="en-US" w:bidi="ar-SA"/>
        </w:rPr>
        <w:t xml:space="preserve">. Even where that may be so, the inference may not be drawn where the party gives a plausible explanation for not calling the witness: </w:t>
      </w:r>
      <w:r>
        <w:rPr>
          <w:rFonts w:ascii="arial" w:eastAsia="arial" w:hAnsi="arial" w:cs="arial"/>
          <w:b/>
          <w:i/>
          <w:color w:val="000000"/>
          <w:sz w:val="20"/>
          <w:lang w:val="en-US" w:eastAsia="en-US" w:bidi="ar-SA"/>
        </w:rPr>
        <w:t>R. v. Rooke</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(1988), 22 B.C.L.R. (2d) 145</w:t>
        </w:r>
      </w:hyperlink>
      <w:r>
        <w:rPr>
          <w:rFonts w:ascii="arial" w:eastAsia="arial" w:hAnsi="arial" w:cs="arial"/>
          <w:color w:val="000000"/>
          <w:sz w:val="20"/>
          <w:lang w:val="en-US" w:eastAsia="en-US" w:bidi="ar-SA"/>
        </w:rPr>
        <w:t xml:space="preserve"> (C.A.) at 513, quoting </w:t>
      </w:r>
      <w:r>
        <w:rPr>
          <w:rFonts w:ascii="arial" w:eastAsia="arial" w:hAnsi="arial" w:cs="arial"/>
          <w:b/>
          <w:i/>
          <w:color w:val="000000"/>
          <w:sz w:val="20"/>
          <w:lang w:val="en-US" w:eastAsia="en-US" w:bidi="ar-SA"/>
        </w:rPr>
        <w:t>Wigmore on Evidence,</w:t>
      </w:r>
      <w:r>
        <w:rPr>
          <w:rFonts w:ascii="arial" w:eastAsia="arial" w:hAnsi="arial" w:cs="arial"/>
          <w:color w:val="000000"/>
          <w:sz w:val="20"/>
          <w:lang w:val="en-US" w:eastAsia="en-US" w:bidi="ar-SA"/>
        </w:rPr>
        <w:t xml:space="preserve"> Chadbourn Revision, Vol. 2, para. 285-291. These authorities were reviewed in </w:t>
      </w:r>
      <w:r>
        <w:rPr>
          <w:rFonts w:ascii="arial" w:eastAsia="arial" w:hAnsi="arial" w:cs="arial"/>
          <w:b/>
          <w:i/>
          <w:color w:val="000000"/>
          <w:sz w:val="20"/>
          <w:lang w:val="en-US" w:eastAsia="en-US" w:bidi="ar-SA"/>
        </w:rPr>
        <w:t>R.A.R.B. v. British Columbia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Crown does not have special access to Mr. MacDougall and its explanation for not calling him is plausible. I agree with Mr. Johnston that this is not a proper case to draw an adverse inference against the Crown. However, as noted below, this is a case where it may have been helpful to the Court to have adduced evidence from Mr. MacDougall (or one of his former supervisors) about his job duties in 1986, and whether he had occasion to work in the main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This case turns on the credibility of Mr. Nash. In this regard, I agree with the statement of Baynton J. in </w:t>
      </w:r>
      <w:r>
        <w:rPr>
          <w:rFonts w:ascii="arial" w:eastAsia="arial" w:hAnsi="arial" w:cs="arial"/>
          <w:b/>
          <w:i/>
          <w:color w:val="000000"/>
          <w:sz w:val="20"/>
          <w:lang w:val="en-US" w:eastAsia="en-US" w:bidi="ar-SA"/>
        </w:rPr>
        <w:t>P.P. v. Saskatchewan</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2001 SKQB 349</w:t>
        </w:r>
      </w:hyperlink>
      <w:r>
        <w:rPr>
          <w:rFonts w:ascii="arial" w:eastAsia="arial" w:hAnsi="arial" w:cs="arial"/>
          <w:color w:val="000000"/>
          <w:sz w:val="20"/>
          <w:lang w:val="en-US" w:eastAsia="en-US" w:bidi="ar-SA"/>
        </w:rPr>
        <w:t xml:space="preserve"> at para. 6, a case that also involved allegations of historic sexual assault: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often very difficult to determine the credibility of a witness solely on the basis of his or her demeanour or testimony. Often the only reliable means of determining the credibility of a witness is to look to independent and reliable evidence from other witnesses respecting collateral matters that tends to support or refute the testimony of the witness in issue. Collateral evidence includes such things as the setting and circumstances under which the conduct in issue is alleged to have taken place and the presence or absence of opportunities available to the defendant to commit the alleged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Adair submitted that Mr. Nash was a credible witness, as his testimony about the sexual assault was consistent, and he gave clear details about a number of aspects of his encounter with Mr. MacDougall, such as when and where it occurred. This, he says, proves the assault on the requisite 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Johnston acknowledged that Mr. Nash was a credible witness. However, he submitted that the facts in this case are highly improbable and there are a sufficient number of concerns about the evidence for the Court to conclude that Mr. Nash has not discharged his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First, Mr. Nash was 35 years old when he met Mr. MacDougall in Oakalla. Although it was his first time in that prison, he was much older than any of the other plaintiffs who have come before this Court, and the complainants in the criminal proceedings, who were typically in their late teens or early twenties. He was also older than Mr. MacDougall, who was then 32 years old. Mr. Johnston submitted that Mr. Nash was not a vulnerable boy at the time of the alleged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Second, there was no rationale for Mr. Nash to meet with Mr. MacDougall. Mr. Nash was not a sentenced inmate on September 30, 1986 and was held in the East Wing of Oakalla. As Special Services Officer, Mr. MacDougall did not have any duties related to inmates in Mr. Nash's position, nor did he work in the East Wing. Mr. MacDougall would have had no reason to encounter an inmate from the East Wing, and there would have been no reason for Mr. Nash to meet with anyone in classification.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Third, there is a risk of fabrication. Mr. Nash has had a number of financial difficulties that still persist and he disclosed the allegations and commenced this action only after reading about the cases of other former inmates in the newspaper.</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Nash's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clear that Mr. Nash was much older than the other plaintiffs and complainants who have been before the court with similar allegations against Mr. MacDougall. There is no similar fact evidence before me in this case. However, Mr. Johnston submitted that I may take this into account, since the other civil cases involved plaintiffs who were between 17 and 19 years of age (</w:t>
      </w:r>
      <w:r>
        <w:rPr>
          <w:rFonts w:ascii="arial" w:eastAsia="arial" w:hAnsi="arial" w:cs="arial"/>
          <w:b/>
          <w:i/>
          <w:color w:val="000000"/>
          <w:sz w:val="20"/>
          <w:lang w:val="en-US" w:eastAsia="en-US" w:bidi="ar-SA"/>
        </w:rPr>
        <w:t>X. v. R.D.M.</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Zastowny</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2004 BCSC 1273</w:t>
        </w:r>
      </w:hyperlink>
      <w:r>
        <w:rPr>
          <w:rFonts w:ascii="arial" w:eastAsia="arial" w:hAnsi="arial" w:cs="arial"/>
          <w:color w:val="000000"/>
          <w:sz w:val="20"/>
          <w:lang w:val="en-US" w:eastAsia="en-US" w:bidi="ar-SA"/>
        </w:rPr>
        <w:t xml:space="preserve">, varied </w:t>
      </w:r>
      <w:hyperlink r:id="rId549" w:history="1">
        <w:r>
          <w:rPr>
            <w:rFonts w:ascii="arial" w:eastAsia="arial" w:hAnsi="arial" w:cs="arial"/>
            <w:i/>
            <w:color w:val="0077CC"/>
            <w:sz w:val="20"/>
            <w:u w:val="single"/>
            <w:shd w:val="clear" w:color="auto" w:fill="FFFFFF"/>
            <w:lang w:val="en-US" w:eastAsia="en-US" w:bidi="ar-SA"/>
          </w:rPr>
          <w:t>2006 BCCA 221</w:t>
        </w:r>
      </w:hyperlink>
      <w:r>
        <w:rPr>
          <w:rFonts w:ascii="arial" w:eastAsia="arial" w:hAnsi="arial" w:cs="arial"/>
          <w:color w:val="000000"/>
          <w:sz w:val="20"/>
          <w:lang w:val="en-US" w:eastAsia="en-US" w:bidi="ar-SA"/>
        </w:rPr>
        <w:t xml:space="preserve">, leave to appeal to S.C.C. granted, </w:t>
      </w:r>
      <w:hyperlink r:id="rId550" w:history="1">
        <w:r>
          <w:rPr>
            <w:rFonts w:ascii="arial" w:eastAsia="arial" w:hAnsi="arial" w:cs="arial"/>
            <w:i/>
            <w:color w:val="0077CC"/>
            <w:sz w:val="20"/>
            <w:u w:val="single"/>
            <w:shd w:val="clear" w:color="auto" w:fill="FFFFFF"/>
            <w:lang w:val="en-US" w:eastAsia="en-US" w:bidi="ar-SA"/>
          </w:rPr>
          <w:t>[2006] S.C.C.A. No. 284</w:t>
        </w:r>
      </w:hyperlink>
      <w:r>
        <w:rPr>
          <w:rFonts w:ascii="arial" w:eastAsia="arial" w:hAnsi="arial" w:cs="arial"/>
          <w:b/>
          <w:i/>
          <w:color w:val="000000"/>
          <w:sz w:val="20"/>
          <w:lang w:val="en-US" w:eastAsia="en-US" w:bidi="ar-SA"/>
        </w:rPr>
        <w:t>, Loveridge v. British Columbia</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2006 BCSC 966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Curran, Robinson v. MacDougall</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2006 BCSC 1875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Gates v. MacDougall</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2006 BCSC 1919</w:t>
        </w:r>
      </w:hyperlink>
      <w:r>
        <w:rPr>
          <w:rFonts w:ascii="arial" w:eastAsia="arial" w:hAnsi="arial" w:cs="arial"/>
          <w:color w:val="000000"/>
          <w:sz w:val="20"/>
          <w:lang w:val="en-US" w:eastAsia="en-US" w:bidi="ar-SA"/>
        </w:rPr>
        <w:t xml:space="preserve">), and Boyd J. in her reasons for sentence in </w:t>
      </w:r>
      <w:r>
        <w:rPr>
          <w:rFonts w:ascii="arial" w:eastAsia="arial" w:hAnsi="arial" w:cs="arial"/>
          <w:b/>
          <w:i/>
          <w:color w:val="000000"/>
          <w:sz w:val="20"/>
          <w:lang w:val="en-US" w:eastAsia="en-US" w:bidi="ar-SA"/>
        </w:rPr>
        <w:t>R. v. MacDougall</w:t>
      </w:r>
      <w:r>
        <w:rPr>
          <w:rFonts w:ascii="arial" w:eastAsia="arial" w:hAnsi="arial" w:cs="arial"/>
          <w:color w:val="000000"/>
          <w:sz w:val="20"/>
          <w:lang w:val="en-US" w:eastAsia="en-US" w:bidi="ar-SA"/>
        </w:rPr>
        <w:t xml:space="preserve"> (November 15, 2000), Vancouver 990842 (B.C.S.C.) suggested a certain victim profile: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Suffice it to say that in every case, the complainant was either 17 or 18 years of age, of a relatively small physical stature, with no prior experience in an adult prison facility. They were all vulnerable boys, and I use the word "boy" deliberately, clearly overwhelmed by the circumstances in which they found themselves and the danger imposed by the violent, older prisoners with whom they were incarcerated.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Adair did not dispute this, and submitted that Mr. Nash does fit the profile, in that he looked young and this was his first time in jail. Moreover, he says, the other cases show that Mr. MacDougall was a sexual predator.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agree with both counsel that the facts as determined in other cases involving Mr. MacDougall cannot realistically be ignored. However, there is no evidence before me in this case that establishes that Mr. MacDougall was a sexual predator whose victims were exclusively first time inmates who were still teenagers.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Nash was 35 years old, reasonably mature and quite sophisticated when he met Mr. MacDougall. He looked quite young, but he acknowledged that he was quite "savvy" and had experienced a "prolific" amount of sex with women, including oral sex. Mr. MacDougall was 32 years old. Mr. Nash thought that Mr. MacDougall was "not a lot older" than he was, perhaps 40 or 45 at the most. It is clear that the two were similar in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it does not necessarily follow that Mr. Nash was not vulnerable. This was not his first time in jail, having been held in custody in Florida in 1984, but he had no prior criminal record. Mr. MacDougall was in a position of authority and Mr. Nash was an inmate, even if only for a few days.</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Opportunity for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Steve Tyssedal gave evidence for the Crown. Mr. Tyssedal has been a Corrections Officer since 1976. He began working in the records department at Oakalla in 1986, where he was responsible for booking in inmates. At that time, he knew Mr. MacDougall as a Special Services Officer at Westgate B. He testified about the layout of the main jail, the procedures that applied to inmates such as Mr. Nash, and Mr. MacDougall's role as Special Services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Tyssedal said that the main entrance to Oakalla was on level 2, and the records area, where inmates were admitted, was on level 1. He said the person in the position of Temporary Absence Coordinator had an office on level 2, which had a window looking west. There are also offices on level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Mr. Tyssedal testified that inmates admitted to Oakalla on </w:t>
      </w:r>
      <w:r>
        <w:rPr>
          <w:rFonts w:ascii="arial" w:eastAsia="arial" w:hAnsi="arial" w:cs="arial"/>
          <w:b/>
          <w:i/>
          <w:color w:val="000000"/>
          <w:sz w:val="20"/>
          <w:lang w:val="en-US" w:eastAsia="en-US" w:bidi="ar-SA"/>
        </w:rPr>
        <w:t>Immigration Act</w:t>
      </w:r>
      <w:r>
        <w:rPr>
          <w:rFonts w:ascii="arial" w:eastAsia="arial" w:hAnsi="arial" w:cs="arial"/>
          <w:color w:val="000000"/>
          <w:sz w:val="20"/>
          <w:lang w:val="en-US" w:eastAsia="en-US" w:bidi="ar-SA"/>
        </w:rPr>
        <w:t xml:space="preserve"> offences were considered to be "high security" and were generally held in the East or South wings. They would not be candidates for a transfer to Westgate B, which had a lower level of security. There was no reason for such inmates to meet with a classification officer, a temporary absence coordinator or a special services officer from Westgate B. If they were to meet with any officer, it would have been the principal officer for the unit on the East Wing and the meeting would likely have taken place in the East Wing in an office adjacent to the Director's office. Mr. MacDougall had an office in Westgate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 classification officer was responsible for deciding whether an inmate would be classified to lower security, and Mr. MacDougall was not in a classification position. Mr. Tyssedal did not know a great deal about the specific duties of the Special Services Officer in 1986. He said that the Special Services Officer would be involved in reclassification decisions, generally from a lower to a higher level of security, and that the officer assisted inmates with parole, temporary absences and educational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Both Mr. Tyssedal and Mr. MacDougall filled in for the position of Temporary Absence Coordinator during 1987, and Mr. MacDougall won a competition for that position in late 1987. Mr. Tyssedal was aware that Mr. MacDougall was interested in doing classification work, and that he spent time in the main jail with the central classification officer. He thought this would have been in late 1987, 1988 and 1989. He said that when he filled in for the Temporary Absence Coordinator, he did not meet with inmates in the Coordinator's office on level 2. He did not know if Mr. MacDougall met with inmates in the main jail, but he understood that Mr. MacDougall would attend the main jail to pick up inmates who had been classified to Westgate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Tyssedal had limited knowledge about Mr. MacDougall's specific job duties. He saw Mr. MacDougall quite frequently in 1986 and 1987, but he did not like Mr. MacDougall and chose not to work with him. He did not know how much time Mr. MacDougall spent at the main jail in 1986, and he said nothing about who had access to the offices on level 1, near the records area.</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Risk of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is a risk of fabrication in a case such as this. The allegations against Mr. MacDougall by many inmates and former inmates have been published in newspapers and this information is reasonably accessible. Mr. Nash did not tell anyone about his allegations until he contacted counsel and then commenced this action. He did this only after he read about the allegations in the newspaper. He has never seen a counsellor about this issue, except for the purpose of a psychological assessment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Many individuals who have been sexually abused do not disclose the abuse for a long time. Mr. Nash said that he was too ashamed to tell anyone about it. He did not seek out counselling and until June 2006, he did not discuss this issue with any family members, despite being very close to his mother, stepfather and two sisters. This does not mean that he was not abused, but it may be of some note that the first disclosure he made was to a lawyer, after he became aware of other abuse allegations against Mr.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Nash has little financial resources. Mr. Johnston suggested that he was motivated to bring this action in order to alleviate his financial situation. Mr. Nash is not steadily employed and has some debts, although the amount of his debts is not clear. Since he was released from prison in the U.S. in June 2006, he has only worked on and off. He admitted that an award of damages would be very helpful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Whether a plaintiff has a motive to lie is a factor that may be considered in assessing his credibility: </w:t>
      </w:r>
      <w:r>
        <w:rPr>
          <w:rFonts w:ascii="arial" w:eastAsia="arial" w:hAnsi="arial" w:cs="arial"/>
          <w:b/>
          <w:i/>
          <w:color w:val="000000"/>
          <w:sz w:val="20"/>
          <w:lang w:val="en-US" w:eastAsia="en-US" w:bidi="ar-SA"/>
        </w:rPr>
        <w:t>R. v. R.W.B.</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(1993), 24 B.C.A.C. 1</w:t>
        </w:r>
      </w:hyperlink>
      <w:r>
        <w:rPr>
          <w:rFonts w:ascii="arial" w:eastAsia="arial" w:hAnsi="arial" w:cs="arial"/>
          <w:color w:val="000000"/>
          <w:sz w:val="20"/>
          <w:lang w:val="en-US" w:eastAsia="en-US" w:bidi="ar-SA"/>
        </w:rPr>
        <w:t>. In my view, the timing and manner of Mr. Nash's disclosure is a factor that may have some bearing on his credibility, but I do not consider his financial circumstances, while clearly limited, to support the inference suggested by Mr. Johnston.</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Other evidence relevant to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Nash's demeanour as a witness was credible. There were no apparent inconsistencies in his evidence about the sexual assault. There is one aspect of his evidence that I have considered in assessing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Circumstances surrounding the U.S.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1981 and 1982, Mr. Nash worked as the manager of a night club in Vancouver. He said that he worked for a year without pay in order to build the club. However, the owner, a Mr. Kadoranian, sold it after a year and a half. In 1984, Mr. Kadoranian invited Mr. Nash to go with him on a trip to Venezuela. Mr. Kadoranian took care of the bills. It was on the way back from this trip that Mr. Nash and Mr. Kadoranian were charged with importing cocaine into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Nash testified that he thought Mr. Kadoranian invited him on the trip to repay him for the year he worked without pay. He said he had no idea that Mr. Kadoranian was involved with drugs. However, he admitted that cocaine was available when he worked at the club in Vancouver. On the way back from Venezuela, statues containing cocaine were found in Mr. Nash's luggage. He said he had not seen the statues before and he was not sure if the bag in which they were found was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Nash was challenged about this in cross-examination, and his evidence remained consistent: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I think you said in your direct evidence that Mr. Kadoranian told you that he would pay your bills for the trip; is that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did he not also say to you that he would pay your debts?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had a few bills that were pending before the trip. He told me he would take care of the bills so that I wouldn't have to worry about paying them while I was gone and that he would pay for the trip, being that I had done a good job for him at the nightclub.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at that time you were 33 years old?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were pretty reasonably savvy at that time, verging into middle age at 34 I guess; is that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so I'm going to suggest to you that when Mr. Kadoranian told you that he was going to pay for the pay the bills, pay the freight, help you out with your debts, you must have understood that there was some other agenda at work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idea at all because I had no idea he had anything to do with drugs. I had never seen him do drugs before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you knew that there was lots of drugs at the -- there were drugs at the Rock Palace cabaret?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customers come in all the time with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must have had some idea that going to Venezuela with the owners of the nightclub and he's going to pay the freight, you didn't tweak at all to the fact that perhaps the way in which this was going to get paid off was by way of bringing some drugs back from Venezuela?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had worked for him for one year building the club with no pay. I felt there was some supposed to be reward I guess or some type of payment. I felt that that was his way of paying me back because of all the hard work I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Whether or not Mr. Nash was guilty of the U.S. charges is not the issue here. He maintained his innocence, but after he was caught in 2005 he made arrangements to plead guilty and serve his sentence in Florida. He was initially prepared to return to Florida for trial in 1985, but after he was refused entry to the U.S., he decided not to return voluntarily and to fight his extradition. He lost that fight in 1990. Then, instead of dealing with the charges, he went underground for 15 years. After he was caught in 2005, he appealed the extradition order. It was not until after this appeal was dismissed in May 2005 (</w:t>
      </w:r>
      <w:r>
        <w:rPr>
          <w:rFonts w:ascii="arial" w:eastAsia="arial" w:hAnsi="arial" w:cs="arial"/>
          <w:b/>
          <w:i/>
          <w:color w:val="000000"/>
          <w:sz w:val="20"/>
          <w:lang w:val="en-US" w:eastAsia="en-US" w:bidi="ar-SA"/>
        </w:rPr>
        <w:t>United States of America v. Nash</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2005 BCCA 310</w:t>
        </w:r>
      </w:hyperlink>
      <w:r>
        <w:rPr>
          <w:rFonts w:ascii="arial" w:eastAsia="arial" w:hAnsi="arial" w:cs="arial"/>
          <w:color w:val="000000"/>
          <w:sz w:val="20"/>
          <w:lang w:val="en-US" w:eastAsia="en-US" w:bidi="ar-SA"/>
        </w:rPr>
        <w:t>) that Mr. Nash decided to plead guilty.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Ronald LaTorre did a psychological assessment of Mr. Nash. He interviewed Mr. Nash personally and by telephone for almost six hours altogether. Mr. Nash testified that did his best to answer accurately and truthfully all the questions that Dr. LaTorre asked, and he reviewed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describing Mr. Nash's employment history, Dr. LaTorre noted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Driving cab introduced him to the "night life" and, within a year of selling his cab, he became a manager of the Rock Palace, which was the old Embassy Ballroom. After a year and a half, the owner sold the club. The new owners made changes Mr. Nash did not like so Mr. Nash left.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 of the club he had originally worked for invited him on a trip to Venezuela that would earn him sufficient money to pay all his debts. It turned out to be a drug run and Mr. Nash was arrested upon his arrival in Miami.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LaTorre also stated, in relation to Mr. Nash's substance abuse history,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started using cocaine in the mid-1970's. His peak use was the late 1970's when he had money but he did not use it daily. He did have significant drug debts that related to his cocaine use and that led to his participating in the drug run to Venezuela.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LaTorre's interpretation of what Mr. Nash told him about the reason for the trip to Venezuela (to earn sufficient money to pay his debts) is somewhat different than Mr. Nash's description at trial (Mr. Kadoranian would take care of his bills so he would not have to worry about paying them while he was away). However, Dr. LaTorre was not questioned about this at trial. I find this discrepancy somewhat disturbing, because Mr. Nash's explanation at trial for the trip to Venezuela seemed quite implausible, given the background circumstances. However, there is no evidence that Mr. Nash gave information to Dr. LaTorre that was significantly different from his testimony at trial.</w:t>
      </w:r>
      <w:r>
        <w:rPr>
          <w:rFonts w:ascii="arial" w:eastAsia="arial" w:hAnsi="arial" w:cs="arial"/>
          <w:sz w:val="20"/>
          <w:lang w:val="en-US" w:eastAsia="en-US" w:bidi="ar-SA"/>
        </w:rPr>
        <w:cr/>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Assessment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only evidence of the assault by Mr. MacDougall is Mr. Nash's testimony. This case differs from </w:t>
      </w:r>
      <w:r>
        <w:rPr>
          <w:rFonts w:ascii="arial" w:eastAsia="arial" w:hAnsi="arial" w:cs="arial"/>
          <w:b/>
          <w:i/>
          <w:color w:val="000000"/>
          <w:sz w:val="20"/>
          <w:lang w:val="en-US" w:eastAsia="en-US" w:bidi="ar-SA"/>
        </w:rPr>
        <w:t>F.H. v. McDougall</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P.P. v. Saskatchewan</w:t>
      </w:r>
      <w:r>
        <w:rPr>
          <w:rFonts w:ascii="arial" w:eastAsia="arial" w:hAnsi="arial" w:cs="arial"/>
          <w:color w:val="000000"/>
          <w:sz w:val="20"/>
          <w:lang w:val="en-US" w:eastAsia="en-US" w:bidi="ar-SA"/>
        </w:rPr>
        <w:t xml:space="preserve"> in that there are no inconsistencies in his evidence about the assault. There are also no significant inconsistencies in his evidence about collateral matters. In the context of all of his evidence, the discrepancies in the evidence about the circumstances of his trip to Venezuela in 1984 as described by Dr. LaTorre cannot be considered significant, given that Dr. LaTorre was not questioned about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Little support for Mr. Nash's testimony about the assault can reasonably be drawn from the surrounding circumstances. It is clear that on September 29, 1986, Mr. Nash was an inmate at Oakalla and Mr. MacDougall was employed there as a special services officer. However, the evidence regarding Mr. Nash's status as an inmate under an </w:t>
      </w:r>
      <w:r>
        <w:rPr>
          <w:rFonts w:ascii="arial" w:eastAsia="arial" w:hAnsi="arial" w:cs="arial"/>
          <w:b/>
          <w:i/>
          <w:color w:val="000000"/>
          <w:sz w:val="20"/>
          <w:lang w:val="en-US" w:eastAsia="en-US" w:bidi="ar-SA"/>
        </w:rPr>
        <w:t>Immigration Act</w:t>
      </w:r>
      <w:r>
        <w:rPr>
          <w:rFonts w:ascii="arial" w:eastAsia="arial" w:hAnsi="arial" w:cs="arial"/>
          <w:color w:val="000000"/>
          <w:sz w:val="20"/>
          <w:lang w:val="en-US" w:eastAsia="en-US" w:bidi="ar-SA"/>
        </w:rPr>
        <w:t xml:space="preserve"> warrant, Mr. MacDougall's role and responsibilities, and perhaps Mr. Nash's age and experience, support the Crown's submission that there was little likelihood that Mr. MacDougall would have sought out or come into contact with Mr. Nash. However, Mr. Tyssedal had limited knowledge about what Mr. MacDougall actually did and where he went in the jail in 1986. Mr. Nash thought that the assault took place in an office on the same level as the booking area, which was level 1. There was no evidence about what offices were on that level and whether Mr. MacDougall would have had access to one in that area. In this regard, evidence from Mr. MacDougall or someone who either supervised or worked closely with him at the time may have been more probative than the evidence of Mr. Tyssedal. In my view, the substance of the Crown's evidence differs substantially from the substance and nature of the defendant's evidence that was considered in </w:t>
      </w:r>
      <w:r>
        <w:rPr>
          <w:rFonts w:ascii="arial" w:eastAsia="arial" w:hAnsi="arial" w:cs="arial"/>
          <w:b/>
          <w:i/>
          <w:color w:val="000000"/>
          <w:sz w:val="20"/>
          <w:lang w:val="en-US" w:eastAsia="en-US" w:bidi="ar-SA"/>
        </w:rPr>
        <w:t>P.P. v. Saskatchewan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timing and manner of Mr. Nash's first disclosure of the assault after reading a newspaper account of Mr. MacDougall sexually abusing other inmates at Oakalla is of some concern, but there is no basis, given the evidence overall, to conclude that Mr. Nash has fabricated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concluded that Mr. Nash has proven that the assault occurred to the requisite standard of proof. While the surrounding circumstances do not necessarily support Mr. Nash's testimony, I do not consider it appropriate to reject his testimony about the sexual assault on that basis alone, given the evidence as a whole, the consistency of his evidence, and his credible demeanour.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Nash claims damages for psychological injuries caused by Mr. MacDougall's assault over 20 years ago. His psychological problems include some degree of depression, including a sense of loss; feelings of worthlessness or guilt; and social withdrawal. It is difficult to untangle the different sources of Mr. Nash's present psychological problems. Nonetheless, it is the function of this Court to do so in order to determine the loss that is caused by Mr. MacDougall's actionable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primary test for causation is the "but for" test. Mr. Nash has the burden of proving that "but for" the sexual assault of Mr. MacDougall, his psychological injuries would not have occurred. This test, which applies to single and multi-cause injuries, was recently re-stated by Chief Justice McLachlin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At para. 23, she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 plaintiff does not have to establish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Chief Justice McLachlin explained this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See also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Where the "but for" test is unworkable, causation may be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A materially contributing factor is one that falls outside the </w:t>
      </w:r>
      <w:r>
        <w:rPr>
          <w:rFonts w:ascii="arial" w:eastAsia="arial" w:hAnsi="arial" w:cs="arial"/>
          <w:i/>
          <w:color w:val="000000"/>
          <w:sz w:val="20"/>
          <w:lang w:val="en-US" w:eastAsia="en-US" w:bidi="ar-SA"/>
        </w:rPr>
        <w:t>di minimus</w:t>
      </w:r>
      <w:r>
        <w:rPr>
          <w:rFonts w:ascii="arial" w:eastAsia="arial" w:hAnsi="arial" w:cs="arial"/>
          <w:color w:val="000000"/>
          <w:sz w:val="20"/>
          <w:lang w:val="en-US" w:eastAsia="en-US" w:bidi="ar-SA"/>
        </w:rPr>
        <w:t xml:space="preserve"> range: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"material contribution" test is an exception to the "but for" test, and is only to be applied if: (1) it is impossible for a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injury using the "but for" test, and the impossibility must be due to factors outside the plaintiff's control, and (2) it must be clear that the defendant breached a duty of care owed to the plaintiff, thereby exposing the plaintiff to an unreasonable risk of injury, and the plaintiff suffered that form of injury: </w:t>
      </w:r>
      <w:r>
        <w:rPr>
          <w:rFonts w:ascii="arial" w:eastAsia="arial" w:hAnsi="arial" w:cs="arial"/>
          <w:b/>
          <w:i/>
          <w:color w:val="000000"/>
          <w:sz w:val="20"/>
          <w:lang w:val="en-US" w:eastAsia="en-US" w:bidi="ar-SA"/>
        </w:rPr>
        <w:t>Resurfice Corp.</w:t>
      </w:r>
      <w:r>
        <w:rPr>
          <w:rFonts w:ascii="arial" w:eastAsia="arial" w:hAnsi="arial" w:cs="arial"/>
          <w:color w:val="000000"/>
          <w:sz w:val="20"/>
          <w:lang w:val="en-US" w:eastAsia="en-US" w:bidi="ar-SA"/>
        </w:rPr>
        <w:t xml:space="preserve"> at paras. 24-25. As the Chief Justice explained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Psychological injuries present particular problems in determining causation. Chief Justice Brenner's reformulation of the principles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set out at para. 370 of the trial decision in </w:t>
      </w:r>
      <w:r>
        <w:rPr>
          <w:rFonts w:ascii="arial" w:eastAsia="arial" w:hAnsi="arial" w:cs="arial"/>
          <w:b/>
          <w:i/>
          <w:color w:val="000000"/>
          <w:sz w:val="20"/>
          <w:lang w:val="en-US" w:eastAsia="en-US" w:bidi="ar-SA"/>
        </w:rPr>
        <w:t>Blackwater</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is a very helpful analysis. The first two examples apply the "but for" test and the third the "material contribution" test. In my opinion, the application of the "material contribution" test in the third example is consistent with the requirements explained in </w:t>
      </w:r>
      <w:r>
        <w:rPr>
          <w:rFonts w:ascii="arial" w:eastAsia="arial" w:hAnsi="arial" w:cs="arial"/>
          <w:b/>
          <w:i/>
          <w:color w:val="000000"/>
          <w:sz w:val="20"/>
          <w:lang w:val="en-US" w:eastAsia="en-US" w:bidi="ar-SA"/>
        </w:rPr>
        <w:t>Resurfice Corp.</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psychological injury would have occurred at the same time, without the injuries sustained in the sexual assault, then causation is not proven;</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was necessary to have </w:t>
      </w:r>
      <w:r>
        <w:rPr>
          <w:rFonts w:ascii="arial" w:eastAsia="arial" w:hAnsi="arial" w:cs="arial"/>
          <w:i/>
          <w:color w:val="000000"/>
          <w:sz w:val="20"/>
          <w:lang w:val="en-US" w:eastAsia="en-US" w:bidi="ar-SA"/>
        </w:rPr>
        <w:t>both</w:t>
      </w:r>
      <w:r>
        <w:rPr>
          <w:rFonts w:ascii="arial" w:eastAsia="arial" w:hAnsi="arial" w:cs="arial"/>
          <w:color w:val="000000"/>
          <w:sz w:val="20"/>
          <w:lang w:val="en-US" w:eastAsia="en-US" w:bidi="ar-SA"/>
        </w:rPr>
        <w:t xml:space="preserve"> the sexual assaults and the other life circumstances for the psychological injury to occur, then causation is proven since the psychological injury would not have occurred but for the sexual assaults;</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sexual assaults alone could have been a sufficient cause, and the other life circumstances alone could have been a sufficient cause, then it is unclear which was the cause in fact of the psychological injury. The trial judge must determine, on a balance of probabilities, whether the defendant's sexual assault(s) materially contributed to the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Nash is entitled to be compensated for the loss caused by the sexual assault, and is entitled to be restored, as much as possible, to the position he would have been in had the assault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Nash grew up in Vancouver and is now 54 years old. He has never been married. His parents separated when he was a teenager. He was very close to his mother and when she remarried, he had a good relationship with his stepfather. His parents have passed away, and he remains quite close to his two sisters.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Nash had several common-law relationships in the late 1970's and early 1980's, but otherwise his sexual activities consisted primarily of "one-nighters" with women. He was quite prolific; he estimated that he had sex with at least 100 women during that time. He had sex with prostitutes, but never with men. He told Dr. LaTorre that he had "probably hired a drag queen" to give him a "blow job" without knowing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has abused substances in the past. According to Dr. LaTorre, Mr. Nash used cocaine in the 1970's but stopped in the mid-1980's. He used crack cocaine for about a year at some point before 2005, when the police were getting close to finding him. He attended a treatment program and has not relapsed since. He uses marijuana, but reports no problems associated with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Nash has been sporadic in his employment. His longest stretch was as a taxi driver in the 1970's. In 1986, he went back to school to take a real estate appraisal course, but did not complete it. After his arrest and incarceration at Oakalla in September 1986, he received social assistance and did odd jobs. From 1990, when he assumed the identity of Terry Balan, until 2005, when he was caught, he worked at a body shop and as a dispatcher. He has had little, sporadic work since he was released from the U.S. prison in June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Ronald LaTorre did a psychological evaluation of Mr. Nash. Dr. LaTorre was qualified as a psychologist with expertise in sexual victimization and collateral experience in criminality and substance abuse as it relates to sexual victimization.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LaTorre conducted a series of psychological tests on Mr. Nash. The results of his personality testing suggested that Mr. Nash had some anti-social traits, in that he operated a little outside pro-social arenas, and that he had a tendency to present himself in a favourable light and to minimize or deny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According to Dr. LaTorre, Mr. Nash does not suffer from a major psychiatric disorder. The MacDougall assault was distressing to Mr. Nash, in that it impacted his senses of self, self-esteem and personal control. Dr. LaTorre was of the opinion that the assault significantly contributed to Mr. Nash's loss of interest or pleasure in various activities and possible feelings of worthlessness or guilt, social withdrawal and difficulties in making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decision to live as a fugitive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evidence is clear that Mr. Nash suffered significant distress related to being a fugitive for 15 years. He testified that this cost him relationships, as he was not able to be honest with women. It was stressful on his family, as confirmed by the testimony of his sister, Eva Moore.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Nash attributed his decision to go underground and assume the identity of Terry Balan for 15 years primarily to the MacDougall assault. He testified that the abuse by Mr. MacDougall cost him 20 years of his life. He was afraid to go back to jail because of Mr.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do not accept Mr. Nash's evidence about this. He testified that he did not have a bad experience in jail in Dade County Florida, where he was in custody for three weeks in 1984, before he encountered Mr. MacDougall. He said the jail had "brick with doors and proper beds, bunk beds, lockers." He told Dr. LaTorre that he was popular there because he was the only Canadian: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recalled the Center as a "cement country club" that served meals "buffet style ... not that bad ... big tables". He had no problems during that incarceration.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Nash decided not to return to Miami in May 1985, which was before he went to Oakalla. This decision was initially motivated by legal issues, after he was refused entry into the U.S., and subsequently by his desire not to be away from his family. He maintained this decision after he had been in Oakalla in September 1986, and began to fight his extradition. He went back to Oakalla on March 30, 1990, when he finally lost his application. He was there until April 12, 1990, when he was released on bail. He did not encounter Mr. MacDougall during that time, although he was fearful of seeing him again.</w:t>
      </w:r>
      <w:bookmarkStart w:id="202"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02"/>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was upon his release in April 1990 that Mr. Nash decided to assume the identity of Terry Balan. He testified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from meeting MacDougall, at that point I had such a fear of going back to jail, I mean, I went through three or four lawyers during my extradition ... just in my attempt to try to delay the process, to, you know, all of a sudden I would go in front of the judge and tell her, well, I just got a new lawyer so the judge would grant an extension and I was able to delay it four years before it finally went ahead ... The way I felt those two weeks in Oakalla not knowing whether I was going to run into him or not and the fear that I felt, I just, you know, when I came out after those two weeks and I got my appeal, when I got the option of a chance to, you know, and plus my mom being sick at that point in 1990 there was no way that I was going to leave and I changed my name and lived my life as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Nash decided to become a fugitive almost four years after the assault, after he had lost his challenge to extradition, and after he had been back in Oakalla without encountering Mr. MacDougall. In cross-examination, he agreed that his unsuccessful application and his mother's ill health were his primary motivators: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appealed it and continued to keep the appeal alive but basically your sense was that you weren't going to succeed on that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it came to a point that my lawyer made it clear that he didn't think I was going to win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where the option came that I could probably arrange it, i.e., turn myself in down there and I wouldn't have to go through the trial part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but by that time your mom was getting ill?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had a very close relationship with your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weren't going to leave your mother knowing that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She might be dead before I get back so I wasn't going nowhere.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that's when you decided to take on the identity of Terry Balan and see whether or not you could live your life as somebody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that period of time, from 1990, living your life with someone else's identity and being a fugitive was pretty stressful for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I'm talking about 1990 virtually 1990 to 2005 essentially.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Basically, yeah, '90, 91 that I assumed the identity of Terry Balan and for the next 15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my opinion, Mr. Nash's evidence attributing his decision to go underground to the MacDougall assault grossly overstates the effect of such an incident. It is also at odds with Dr. LaTorre's assessment of Mr. Nash as a person who denies or minimizes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LaTorre did not make a clear link between the two. He noted that it was only after the assault that Mr. Nash decided that he did not want to face further incarceration, but he did not consider the entire context in which Mr. Nash sought to avoid returning to the U.S. He acknowledged that there were a variety of reasons for Mr. Nash's decision.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extent we can attribute Mr. MacDougall's sexual assault with contributing to Mr. Nash's decision to live with an assumed identity, we could say that about 15 years of his life were significantly affected by that assault. Mr. Nash undoubtedly has a sense of loss of things that might have been had he not decided to be a fugitive all those years. The death of his parents and his grandparents undoubtedly contributed to any sense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find that the MacDougall assault had little bearing on Mr. Nash's decision to become Terry Balan. He would have gone underground regardless of Mr. MacDougall. Moreover, the assault was not a materially contributing factor to that decision and to Mr. Nash's sense of loss "of things that might have been". That loss was caused by his decision to live as a fugitive for 15 years, not the MacDougall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Other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Nash's primary psychological problems stem from the consequences of living as Terry Balan and finally addressing the long-outstanding drug charges in the U.S. He does not have any significant psychiatric disorder. However, the sexual assault was obviously distressing to him. He felt degraded, ashamed and humiliated. He said that he buried it "like it was no big deal", but it was more than that. Much of his distress relates to keeping it secret for such a long time, and then addressing it in the course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Nash said that he never had any doubts about his sexual orientation. He said little more about the effect of the sexual assault. On this point, I accept Dr. LaTorre's opinion that Mr. Nash has a tendency to minimize and deny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LaTorre did not link the assault to any of Mr. Nash's anxiety, depression or trauma. His opinion was that Mr. Nash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suffered a blow to what might have been some narcissistic traits in his early adulthood. His sense of self, sense of self-esteem and sense of personal control were significantly impacted by Mr. MacDougall's sexual assault. Individuals with narcissistic features have a vulnerability of self-esteem that makes them particularly vulnerable to "injury" from criticism or "defeat". Such a blow can haunt these individuals and may leave them feeling humiliated, degraded, hollow and empty. Sustained feelings of shame or humiliation and the attendant self-criticism may be associated with social withdrawal and depressed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Dr. LaTorre's opinion, the sexual assault "significantly contributed" to the following change in demeanour and behaviour: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Nash appears to have suffered some degree of depression with associated loss of interest or pleasure in various activities, possible feeling of worthlessness or guilt, social withdrawal and possible difficulty making appropriate decisions that may have related to a foreshortened sense of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LaTorre relied on information from Mr. Nash and from his two sisters, that there was an apparent personality change in Mr. Nash that occurred while he was at Oakalla and which persisted subsequently. However, the evidence at trial was simply that Mr. Nash was no longer "happy go lucky" after the period from 1984 to 1986. One sister, Eve Moore, gave evidence. She could only say that during that period of time, she knew something was bothering her brother, but there were many things going on, particularly the outstanding U.S.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accept Dr. LaTorre's opinion that Mr. Nash felt shame and humiliation, some loss of interest or pleasure in various activities, and some feelings of guilt or worthlessness as a result of the sexual assault. I do not accept that Mr. Nash's consequent social withdrawal and difficulty making appropriate life decisions can be attributable to Mr. MacDougall's conduct. In my view, these were the obvious consequences of Mr. Nash's decision to go underground.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have considered the factors outlined in </w:t>
      </w:r>
      <w:r>
        <w:rPr>
          <w:rFonts w:ascii="arial" w:eastAsia="arial" w:hAnsi="arial" w:cs="arial"/>
          <w:b/>
          <w:i/>
          <w:color w:val="000000"/>
          <w:sz w:val="20"/>
          <w:lang w:val="en-US" w:eastAsia="en-US" w:bidi="ar-SA"/>
        </w:rPr>
        <w:t>T.O. v. J.H.O.</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2006 BCSC 560</w:t>
        </w:r>
      </w:hyperlink>
      <w:r>
        <w:rPr>
          <w:rFonts w:ascii="arial" w:eastAsia="arial" w:hAnsi="arial" w:cs="arial"/>
          <w:color w:val="000000"/>
          <w:sz w:val="20"/>
          <w:lang w:val="en-US" w:eastAsia="en-US" w:bidi="ar-SA"/>
        </w:rPr>
        <w:t>. This was a single event where Mr. Nash was subjected to Mr. MacDougall performing fellatio on him to the point of ejaculation. There was no overt force or violence. Mr. Nash was 35 years old at the time, and he had had a lot of sexual experience with multiple female partners, including prostitutes. He did not doubt his sexual orientation. However, he was vulnerable because of Mr. MacDougall's position and the circumstances of the relationship between the two, and he had little control over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circumstances of the assault are similar to other cases involving Mr. MacDougall (</w:t>
      </w:r>
      <w:r>
        <w:rPr>
          <w:rFonts w:ascii="arial" w:eastAsia="arial" w:hAnsi="arial" w:cs="arial"/>
          <w:b/>
          <w:i/>
          <w:color w:val="000000"/>
          <w:sz w:val="20"/>
          <w:lang w:val="en-US" w:eastAsia="en-US" w:bidi="ar-SA"/>
        </w:rPr>
        <w:t>Greenall v. MacDougall</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2007 BCSC 339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Gates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Robinson, Curran, Loveridge</w:t>
      </w:r>
      <w:r>
        <w:rPr>
          <w:rFonts w:ascii="arial" w:eastAsia="arial" w:hAnsi="arial" w:cs="arial"/>
          <w:color w:val="000000"/>
          <w:sz w:val="20"/>
          <w:lang w:val="en-US" w:eastAsia="en-US" w:bidi="ar-SA"/>
        </w:rPr>
        <w:t xml:space="preserve">and </w:t>
      </w:r>
      <w:r>
        <w:rPr>
          <w:rFonts w:ascii="arial" w:eastAsia="arial" w:hAnsi="arial" w:cs="arial"/>
          <w:b/>
          <w:i/>
          <w:color w:val="000000"/>
          <w:sz w:val="20"/>
          <w:lang w:val="en-US" w:eastAsia="en-US" w:bidi="ar-SA"/>
        </w:rPr>
        <w:t>Zastowny</w:t>
      </w:r>
      <w:r>
        <w:rPr>
          <w:rFonts w:ascii="arial" w:eastAsia="arial" w:hAnsi="arial" w:cs="arial"/>
          <w:color w:val="000000"/>
          <w:sz w:val="20"/>
          <w:lang w:val="en-US" w:eastAsia="en-US" w:bidi="ar-SA"/>
        </w:rPr>
        <w:t xml:space="preserve">). Mr. MacDougall was a person in authority who used his power inappropriately for his own selfish purposes. He made veiled threats to Mr. Nash. However, like </w:t>
      </w:r>
      <w:r>
        <w:rPr>
          <w:rFonts w:ascii="arial" w:eastAsia="arial" w:hAnsi="arial" w:cs="arial"/>
          <w:b/>
          <w:i/>
          <w:color w:val="000000"/>
          <w:sz w:val="20"/>
          <w:lang w:val="en-US" w:eastAsia="en-US" w:bidi="ar-SA"/>
        </w:rPr>
        <w:t>Greenall</w:t>
      </w:r>
      <w:r>
        <w:rPr>
          <w:rFonts w:ascii="arial" w:eastAsia="arial" w:hAnsi="arial" w:cs="arial"/>
          <w:color w:val="000000"/>
          <w:sz w:val="20"/>
          <w:lang w:val="en-US" w:eastAsia="en-US" w:bidi="ar-SA"/>
        </w:rPr>
        <w:t>, Mr. Nash was in Oakalla only for a few days, and there is no evidence that Mr. MacDougall made any decisions about Mr. Nash's placement in Oakalla or elsewhere. The day after the assault, Mr. Nash was released from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Nash is quite different from the plaintiffs in the other cases. Mr. Nash came from a positive family background. He was much older at the time of the assault and was relatively sophisticated. More importantly, Mr. Nash was not as seriously affected by the sexual assault as the other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Mr. Adair's suggested range of $45,000 for general and aggravated damages was based on an assumption that the MacDougall assault was causally linked to Mr. Nash's decision to assume the identity of Terry Balan. He mostly relied on the previous decisions involving Mr. MacDougall, particularly </w:t>
      </w:r>
      <w:r>
        <w:rPr>
          <w:rFonts w:ascii="arial" w:eastAsia="arial" w:hAnsi="arial" w:cs="arial"/>
          <w:b/>
          <w:i/>
          <w:color w:val="000000"/>
          <w:sz w:val="20"/>
          <w:lang w:val="en-US" w:eastAsia="en-US" w:bidi="ar-SA"/>
        </w:rPr>
        <w:t>Robinson</w:t>
      </w:r>
      <w:r>
        <w:rPr>
          <w:rFonts w:ascii="arial" w:eastAsia="arial" w:hAnsi="arial" w:cs="arial"/>
          <w:color w:val="000000"/>
          <w:sz w:val="20"/>
          <w:lang w:val="en-US" w:eastAsia="en-US" w:bidi="ar-SA"/>
        </w:rPr>
        <w:t>. He submitted that the instance of completed fellatio in this case had at least as serious as impact on Mr. Nash as a similar act had on Mr.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Mr. Johnston's suggested range of $7,500 to $15,000 was based on an assumption that Mr. Nash did not suffer serious psychological trauma as a result of the assault. He relied primarily on </w:t>
      </w:r>
      <w:r>
        <w:rPr>
          <w:rFonts w:ascii="arial" w:eastAsia="arial" w:hAnsi="arial" w:cs="arial"/>
          <w:b/>
          <w:i/>
          <w:color w:val="000000"/>
          <w:sz w:val="20"/>
          <w:lang w:val="en-US" w:eastAsia="en-US" w:bidi="ar-SA"/>
        </w:rPr>
        <w:t>Loveridge</w:t>
      </w:r>
      <w:r>
        <w:rPr>
          <w:rFonts w:ascii="arial" w:eastAsia="arial" w:hAnsi="arial" w:cs="arial"/>
          <w:color w:val="000000"/>
          <w:sz w:val="20"/>
          <w:lang w:val="en-US" w:eastAsia="en-US" w:bidi="ar-SA"/>
        </w:rPr>
        <w:t xml:space="preserve">. He submitted that </w:t>
      </w:r>
      <w:r>
        <w:rPr>
          <w:rFonts w:ascii="arial" w:eastAsia="arial" w:hAnsi="arial" w:cs="arial"/>
          <w:b/>
          <w:i/>
          <w:color w:val="000000"/>
          <w:sz w:val="20"/>
          <w:lang w:val="en-US" w:eastAsia="en-US" w:bidi="ar-SA"/>
        </w:rPr>
        <w:t>Robinson</w:t>
      </w:r>
      <w:r>
        <w:rPr>
          <w:rFonts w:ascii="arial" w:eastAsia="arial" w:hAnsi="arial" w:cs="arial"/>
          <w:color w:val="000000"/>
          <w:sz w:val="20"/>
          <w:lang w:val="en-US" w:eastAsia="en-US" w:bidi="ar-SA"/>
        </w:rPr>
        <w:t xml:space="preserve"> is distinguishable because the impact there was more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Robinson</w:t>
      </w:r>
      <w:r>
        <w:rPr>
          <w:rFonts w:ascii="arial" w:eastAsia="arial" w:hAnsi="arial" w:cs="arial"/>
          <w:color w:val="000000"/>
          <w:sz w:val="20"/>
          <w:lang w:val="en-US" w:eastAsia="en-US" w:bidi="ar-SA"/>
        </w:rPr>
        <w:t xml:space="preserve"> was awarded $40,000 in general and aggravated damages for one incident of fellatio. The nature of the assault was similar, but I agree with Mr. Johnston that the impact of the abuse on Mr. Robinson was much more severe than the impact on Mr. Nash. Mr. Robinson was particularly vulnerable when he met Mr. MacDougall. At age 18, he had just been convicted of manslaughter and sentenced to 10 years in prison. He had never been in prison. As soon as he arrived at Oakalla, he was involved in an altercation with two guards. Another guard took him to the South Wing, which was a more desirable place to be within Oakalla. He immediately saw that there were good guards and bad guards. He then met Mr. MacDougall. Mr. MacDougall's actions included overt threats and promises, which appeared to have been borne out after that assault, because Mr. Robinson was sent back to the South 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Robinson had been a male prostitute, and the manslaughter conviction arose from a session with a client that went awry. The fact that he had engaged in acts of fellatio as a prostitute did not, in itself, reduce the impact of the assault, but his sexuality issues were already in place before he encountered Mr. MacDougall. Mr. Robinson suffered from a complex mixture of a stress disorder and a serious substance abuse problem. While there was no direct causal link between the MacDougall assault and Mr. Robinson's drug addiction, there was a link between the assault and his tendency to hide behind drugs. Mr. Robinson also continued to suffer from symptoms of stress and anxiety as a result of the assault and the consequences of not disclosing it for many years. The $40,000 award took into account Mr. Robinson's pre-existing life situation, most notably his conviction and sentence for manslaughter and other trauma he had experienced before he went to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Greenall</w:t>
      </w:r>
      <w:r>
        <w:rPr>
          <w:rFonts w:ascii="arial" w:eastAsia="arial" w:hAnsi="arial" w:cs="arial"/>
          <w:color w:val="000000"/>
          <w:sz w:val="20"/>
          <w:lang w:val="en-US" w:eastAsia="en-US" w:bidi="ar-SA"/>
        </w:rPr>
        <w:t xml:space="preserve">, which was released after this matter was heard, involved a less intrusive assault, but more pronounced impact than this case. There were two assaults. The first involved Mr. MacDougall fondling the plaintiff's penis, but no more occurred because there was an interruption. The second assault was some eight years later, where Mr. MacDougall began the same thing, but the plaintiff got angry and left. Mr. Greenall had a "marked reaction" to the assaults, likely due to sexual abuse he had experienced as a child. His psychological injuries included symptoms of post traumatic stress and a loss of confidence and self-esteem. Similar to </w:t>
      </w:r>
      <w:r>
        <w:rPr>
          <w:rFonts w:ascii="arial" w:eastAsia="arial" w:hAnsi="arial" w:cs="arial"/>
          <w:b/>
          <w:i/>
          <w:color w:val="000000"/>
          <w:sz w:val="20"/>
          <w:lang w:val="en-US" w:eastAsia="en-US" w:bidi="ar-SA"/>
        </w:rPr>
        <w:t>Robinson</w:t>
      </w:r>
      <w:r>
        <w:rPr>
          <w:rFonts w:ascii="arial" w:eastAsia="arial" w:hAnsi="arial" w:cs="arial"/>
          <w:color w:val="000000"/>
          <w:sz w:val="20"/>
          <w:lang w:val="en-US" w:eastAsia="en-US" w:bidi="ar-SA"/>
        </w:rPr>
        <w:t>, Mr. Greenall had a serious alcohol dependence, but there was no causal link between his alcoholism and the assaults. He was awarded $25,000, which took into account the childhood sexual abuse and other problems, as well as his "marked reaction" to the MacDougall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Loveridge</w:t>
      </w:r>
      <w:r>
        <w:rPr>
          <w:rFonts w:ascii="arial" w:eastAsia="arial" w:hAnsi="arial" w:cs="arial"/>
          <w:color w:val="000000"/>
          <w:sz w:val="20"/>
          <w:lang w:val="en-US" w:eastAsia="en-US" w:bidi="ar-SA"/>
        </w:rPr>
        <w:t>, the Crown had admitted liability and the trial involved only an assessment of damages. The plaintiff was awarded $20,000 in general damages for three assaults that consisted of fellatio. This decision is of limited value because Fraser J. found no causal connection between the assaults and the plaintiff's subsequent unhappy life. He awarded damages based only on the plaintiff's painful memories of having engaged in the episodes. He did not discriminate between the first two assaults, and assessed them at $7,500 each. He considered that the third assault was of less consequence because the plaintiff was older, and assessed a lower amount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impact of the assault on Mr. Nash was less serious than that contended by Mr. Adair, but more serious than that described by Mr. Johnston. Mr. Nash was subjected to an unwanted sexual act on him in circumstances where he had little choice. Mr. MacDougall took advantage of his position of authority, and Mr. Nash suffered shame, humiliation, some loss of interest or pleasure in various activities, and some feelings of guilt or worthlessness.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Considering all of the circumstances, it is my opinion that an appropriate award for general and aggravated damages is $20,000.</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Future care -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Adair submitted that Mr. Nash should be entitled to an award for counselling costs in the amount of $9,000. He bases this on Dr. LaTorre's opinion that Mr. Nash could benefit from treatment directed at his sense of loss, depression and anxiety, and to address "any other unresolved issues" related to the sexual assault. Mr. Johnston submitted that there is no basis to make any award for counselling, given the lack of any psychiatric disorder caused by the assault, and Mr. Nash's reluctance to engage in therapy related to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the time he saw Dr. LaTorre in late 2006, Mr. Nash did not see any need for counselling. Dr. LaTorre was of the view that Mr. Nash could benefit from "motivation enhancement preceding therapy" to assist him to appreciate the need and value of therapy. Otherwise, he would need an extended period of therapy in order to become "therapy ready". He recommended weekly therapy for a minimum period of six months, an additional three to six months "to make Mr. Nash therapy ready", and some follow-up sessions, at an estimated cost of $9,120.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Nash testified that his first impression was that he did not need therapy, but at the time of the trial, he thought therapy would be helpful, as he believes he has issues to deal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Given Mr. Nash's apparent willingness to engage in therapy and Dr. LaTorre's evidence, some award for future counselling is warranted. Dr. LaTorre's recommendation is based on counselling for all of Mr. Nash's psychological problems, a substantial part of which does not stem from the sexual assault. The recommended length of time is based on an unwilling participant, which is no longer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my view, an award to cover 50% of the costs for six months of weekly therapy is reasonable. Based on Dr. LaTorre's evidence, I assess the value of this award at $1,560.</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Mr. Nash also seeks punitive damages against Mr. MacDougall in the amount of $10,000. This is the amount set by Joyce J. in a series of decisions involving Mr. MacDougall and other plaintiffs: see </w:t>
      </w:r>
      <w:r>
        <w:rPr>
          <w:rFonts w:ascii="arial" w:eastAsia="arial" w:hAnsi="arial" w:cs="arial"/>
          <w:b/>
          <w:i/>
          <w:color w:val="000000"/>
          <w:sz w:val="20"/>
          <w:lang w:val="en-US" w:eastAsia="en-US" w:bidi="ar-SA"/>
        </w:rPr>
        <w:t>O'Neill v. MacDougall</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2006 BCSC 180</w:t>
        </w:r>
      </w:hyperlink>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54 B.C.L.R. (4th) 142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Joyce J. did not consider it appropriate to award punitive damages to various plaintiffs in differing amounts depending on his view of the severity of the assault in each case. Although no submissions were made to me on this point, I would not disagree with this. Such an award is appropriate in the circumstances, primarily because of Mr. MacDougall's position of authority in the prison system. Mr. Nash is entitled to $10,000 as punitive damages against Roderick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Nash is entitled to an award for general and aggravated damages in the amount of $20,000 and an award for future counselling in the amount of $1,560. He is also entitled to punitive damages against Mr. MacDougall in the amount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Nash will have his costs at the usual scale. The Crown may speak to the costs relevant to the third party proceedings against Mr.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FISHER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73" style="position:absolute;z-index:25188352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03"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203"/>
      <w:r>
        <w:rPr>
          <w:rFonts w:ascii="arial" w:eastAsia="arial" w:hAnsi="arial" w:cs="arial"/>
          <w:sz w:val="20"/>
          <w:lang w:val="en-US" w:eastAsia="en-US" w:bidi="ar-SA"/>
        </w:rPr>
        <w:tab/>
      </w:r>
      <w:r>
        <w:rPr>
          <w:rFonts w:ascii="arial" w:eastAsia="arial" w:hAnsi="arial" w:cs="arial"/>
          <w:color w:val="6D6E71"/>
          <w:sz w:val="18"/>
          <w:lang w:val="en-US" w:eastAsia="en-US" w:bidi="ar-SA"/>
        </w:rPr>
        <w:t>Mr. MacDougall was still employed at Oakalla at that time. He was transferred to another institution in September, 1990.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4"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Northcott v. McEachern, [2007] B.C.J. No. 622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27,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27, 2007.</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Nos. S102298 and S85786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622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2007 BCSC 421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156 A.C.W.S. (3d) 379</w:t>
      </w:r>
    </w:p>
    <w:p>
      <w:pPr>
        <w:spacing w:before="120" w:line="260" w:lineRule="atLeast"/>
        <w:rPr>
          <w:lang w:val="en-US" w:eastAsia="en-US" w:bidi="ar-SA"/>
        </w:rPr>
      </w:pPr>
      <w:r>
        <w:rPr>
          <w:rFonts w:ascii="arial" w:eastAsia="arial" w:hAnsi="arial" w:cs="arial"/>
          <w:color w:val="000000"/>
          <w:sz w:val="20"/>
          <w:lang w:val="en-US" w:eastAsia="en-US" w:bidi="ar-SA"/>
        </w:rPr>
        <w:t>Between Edith Virginia Northcott, Larry James Northcott and Bradley James Northcott, Plaintiffs, and Heather McEachern, Defendant (Registry No. S102298) And between Bradley James Northcott, Madison Northcott, an infant, by her Litigation Guardian, Bradley James Northcott, Cole Northcott, an infant, by his Litigation Guardian, Bradley James Northcott and Kyle Northcott, an infant, by his Litigation Guardian Bradley James Northcott, Plaintiffs, and Heather McEachern, Defendant (Registry No. S85786)</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5" style="position:absolute;z-index:2516910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4" w:name="Keywords_31"/>
      <w:bookmarkEnd w:id="204"/>
      <w:r>
        <w:rPr>
          <w:rFonts w:ascii="arial" w:eastAsia="arial" w:hAnsi="arial" w:cs="arial"/>
          <w:b/>
          <w:color w:val="000000"/>
          <w:sz w:val="20"/>
          <w:lang w:val="en-US" w:eastAsia="en-US" w:bidi="ar-SA"/>
        </w:rPr>
        <w:t>Civil procedure — Disposition without trial — Dismissal of action — Action unfounded in law — Frivolous, vexatious or abuse of process — The two actions against the defendant psychologist for allegedly negligently preparing an expert report ordered in child custody proceedings were dismissed as the witness immunity rule applied.</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Particular professions — Psychiatrists, psychologists and therapists — The two actions against the defendant psychologist for allegedly negligently preparing an expert report ordered in child custody proceedings were dismissed as the witness immunity rule applied.</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Professional responsibility — Professions — Health Care — Psychologists and psychiatrists — The two actions against the defendant psychologist for allegedly negligently preparing an expert report ordered in child custody proceedings were dismissed as the witness immunity rule applied.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5" w:name="Case Summary_27"/>
            <w:bookmarkEnd w:id="20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defendant psychologist sought the dismissal of two actions brought against him in which it was alleged that he negligently prepared an expert report ordered in child custody proceedings -- Plaintiffs' counsel acknowledged the first action was improperly pleaded and that maintaining both actions based on the same underlying claim was an abuse of process -- The defendant sought to dismiss the first action on the ground of witness immunity -- HELD: Both actions were dismissed -- The second action was dismissed for being an abuse of process -- The first was dismissed in light of the application of the witness immunity rule, which extended to the preparation of an expert report as well as to testimony in court -- No additional facts could be obtained through discovery or disclosed at trial which would displace the application of the rule. </w:t>
            </w:r>
            <w:r>
              <w:rPr>
                <w:lang w:val="en-US" w:eastAsia="en-US" w:bidi="ar-SA"/>
              </w:rPr>
              <w:cr/>
            </w:r>
          </w:p>
          <w:p>
            <w:pPr>
              <w:rPr>
                <w:lang w:val="en-US" w:eastAsia="en-US" w:bidi="ar-SA"/>
              </w:rPr>
            </w:pPr>
          </w:p>
        </w:tc>
      </w:tr>
    </w:tbl>
    <w:p>
      <w:pPr>
        <w:jc w:val="both"/>
        <w:rPr>
          <w:lang w:val="en-US" w:eastAsia="en-US" w:bidi="ar-SA"/>
        </w:rPr>
      </w:pPr>
      <w:bookmarkStart w:id="206" w:name="Legislation Cited_19"/>
      <w:bookmarkEnd w:id="20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76" style="position:absolute;z-index:2517422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 Rule 19(24)</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Child, Family and Community Services Act, </w:t>
      </w:r>
      <w:hyperlink r:id="rId566" w:history="1">
        <w:r>
          <w:rPr>
            <w:rFonts w:ascii="arial" w:eastAsia="arial" w:hAnsi="arial" w:cs="arial"/>
            <w:i/>
            <w:color w:val="0077CC"/>
            <w:sz w:val="20"/>
            <w:u w:val="single"/>
            <w:shd w:val="clear" w:color="auto" w:fill="FFFFFF"/>
            <w:lang w:val="en-US" w:eastAsia="en-US" w:bidi="ar-SA"/>
          </w:rPr>
          <w:t>R.S.B.C. 1996, c. 46, s. 59</w:t>
        </w:r>
      </w:hyperlink>
      <w:r>
        <w:rPr>
          <w:lang w:val="en-US" w:eastAsia="en-US" w:bidi="ar-SA"/>
        </w:rPr>
        <w:cr/>
      </w:r>
    </w:p>
    <w:p>
      <w:pPr>
        <w:keepNext/>
        <w:spacing w:before="240" w:line="340" w:lineRule="atLeast"/>
        <w:rPr>
          <w:lang w:val="en-US" w:eastAsia="en-US" w:bidi="ar-SA"/>
        </w:rPr>
      </w:pPr>
      <w:bookmarkStart w:id="207" w:name="Counsel_31"/>
      <w:bookmarkEnd w:id="20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7" style="position:absolute;z-index:2517934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T.P. Harding.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M.J. Kleisinger.</w:t>
      </w:r>
      <w:r>
        <w:rPr>
          <w:lang w:val="en-US" w:eastAsia="en-US" w:bidi="ar-SA"/>
        </w:rPr>
        <w:cr/>
      </w:r>
    </w:p>
    <w:p>
      <w:pPr>
        <w:spacing w:after="240"/>
        <w:rPr>
          <w:lang w:val="en-US" w:eastAsia="en-US" w:bidi="ar-SA"/>
        </w:rPr>
      </w:pPr>
      <w:bookmarkStart w:id="208" w:name="Judgment_31"/>
      <w:bookmarkEnd w:id="208"/>
      <w:r>
        <w:pict>
          <v:line id="_x0000_s1178" style="position:absolute;z-index:251844608"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A Corrigendum was released by the Court March 29, 2007. The correction has been made to the text and the Corrigendum is appended to this document.]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9" w:name="E.R.A. EDWARDS J."/>
            <w:bookmarkEnd w:id="209"/>
            <w:r>
              <w:rPr>
                <w:rFonts w:ascii="arial" w:eastAsia="arial" w:hAnsi="arial" w:cs="arial"/>
                <w:b/>
                <w:color w:val="000000"/>
                <w:sz w:val="30"/>
                <w:lang w:val="en-US" w:eastAsia="en-US" w:bidi="ar-SA"/>
              </w:rPr>
              <w:t>E.R.A. EDWARDS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applies pursuant to Rules 18A and 19(24) for dismissal of these two actions and also seeks dismissal of the later of the two actions as an abuse of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action was commenced August 31, 2000, in the Penticton Registry, the second April 4, 2004, in the New Westminster Registry.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actions allege the defendant, a psychologist, negligently prepared an expert report ordered by the Provincial Court in child custody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hearing of these applications, plaintiffs' counsel acknowledged that the first action was improperly pleaded and that maintaining the two actions based on the same underlying claim was an abuse of process. He explained the failure to discontinue the first action on the basis of possible limitation problems in respect of the second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cannot see how a limitation problem with the second action can be overcome by maintaining the first action. Since the defendant did not object to the second action on the basis it was out of time, the point was not argued.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any event, I find the second action is an abuse of process and would dismiss it on that 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primary ground on which counsel for the defendant argued that both actions ought to be dismissed was witness immunity.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facts of the case are simple. The defendant undertook, at the expense of the plaintiff Bradley Northcott, to prepare an expert report pursuant to the order of a Provincial Court judge under s. 59 of the </w:t>
      </w:r>
      <w:r>
        <w:rPr>
          <w:rFonts w:ascii="arial" w:eastAsia="arial" w:hAnsi="arial" w:cs="arial"/>
          <w:b/>
          <w:i/>
          <w:color w:val="000000"/>
          <w:sz w:val="20"/>
          <w:lang w:val="en-US" w:eastAsia="en-US" w:bidi="ar-SA"/>
        </w:rPr>
        <w:t>Child, Family and Community Services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order was made in proceedings arising from the fact Mr. Northcott's ex-wife had alleged he was abusing their children, which prompted the Director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apprehended the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Pursuant to the order of the Provincial Court, the defendant prepared a custody and access report about which she testified and was cross-examined before Mr. Justice Davies in the Supreme Court, who accepted her qualifications as an expert.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in the first action complained about the defendant's report to the College of Psychologists of British Columbia, after which the defendant voluntarily stopped preparing custody and access reports.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his written outline of argument, plaintiffs' counsel summarized the plaintiffs' position as follows: "The Defendant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enjoy "witness immunity" for her testimony at the trial of this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matter. That is irrelevant.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complained of is not her testimony.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 her sloppy investigation."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That statement does not accord with the numerous authorities cited by defendant's counsel and is not supported by the authorities cited by plaintiffs' counsel. The defendant does enjoy witness immunity which includes immunity in respect of the preparation of her expert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most current authority is the decision of the Ontario Court of Appeal in </w:t>
      </w:r>
      <w:r>
        <w:rPr>
          <w:rFonts w:ascii="arial" w:eastAsia="arial" w:hAnsi="arial" w:cs="arial"/>
          <w:b/>
          <w:i/>
          <w:color w:val="000000"/>
          <w:sz w:val="20"/>
          <w:lang w:val="en-US" w:eastAsia="en-US" w:bidi="ar-SA"/>
        </w:rPr>
        <w:t>Reynolds v. Kingston (Police Services Board)</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[2007] O.J. No. 900</w:t>
        </w:r>
      </w:hyperlink>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2007 ONCA 166</w:t>
        </w:r>
      </w:hyperlink>
      <w:r>
        <w:rPr>
          <w:rFonts w:ascii="arial" w:eastAsia="arial" w:hAnsi="arial" w:cs="arial"/>
          <w:color w:val="000000"/>
          <w:sz w:val="20"/>
          <w:lang w:val="en-US" w:eastAsia="en-US" w:bidi="ar-SA"/>
        </w:rPr>
        <w:t>, which was handed down after argument on these applications.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Reynolds</w:t>
      </w:r>
      <w:r>
        <w:rPr>
          <w:rFonts w:ascii="arial" w:eastAsia="arial" w:hAnsi="arial" w:cs="arial"/>
          <w:color w:val="000000"/>
          <w:sz w:val="20"/>
          <w:lang w:val="en-US" w:eastAsia="en-US" w:bidi="ar-SA"/>
        </w:rPr>
        <w:t>, the plaintiff had been charged with the stabbing death of a child and incarcerated. She was discharged after the child's body was exhumed and a second autopsy disclosed at least some of the child's wounds were consistent with dog bites.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sued the police and pathologist alleging negligent investigation. The pathologist had initially concluded that the child's wounds were stab wounds inflicted by scissors or a knife, though he knew there had been a pit bull in the room where the body was found.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pathologist, relying on the witness immunity rule, applied to strike out the action against him under the Ontario equivalent of British Columbia Rule 19(24).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Justice Coo dismissed the motion to strike. A Master later allowed the plaintiff to amend her Statement of Claim to allege "misfeasance in a public office". The Divisional Court allowed an appeal by the pathologist from the order of Coo J. and ordered the action struck out against the pathologist, with Wilson J. dissenting.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Ontario Court of Appeal unanimously reversed the Divisional Court, with Borins J.A. largely adopting the dissenting reasons of Wilson J.</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Reynolds</w:t>
      </w:r>
      <w:r>
        <w:rPr>
          <w:rFonts w:ascii="arial" w:eastAsia="arial" w:hAnsi="arial" w:cs="arial"/>
          <w:color w:val="000000"/>
          <w:sz w:val="20"/>
          <w:lang w:val="en-US" w:eastAsia="en-US" w:bidi="ar-SA"/>
        </w:rPr>
        <w:t xml:space="preserve">, Wilson J., at paragraph 104, </w:t>
      </w:r>
      <w:hyperlink r:id="rId569" w:history="1">
        <w:r>
          <w:rPr>
            <w:rFonts w:ascii="arial" w:eastAsia="arial" w:hAnsi="arial" w:cs="arial"/>
            <w:i/>
            <w:color w:val="0077CC"/>
            <w:sz w:val="20"/>
            <w:u w:val="single"/>
            <w:shd w:val="clear" w:color="auto" w:fill="FFFFFF"/>
            <w:lang w:val="en-US" w:eastAsia="en-US" w:bidi="ar-SA"/>
          </w:rPr>
          <w:t>[2006] O.J. No. 2039</w:t>
        </w:r>
      </w:hyperlink>
      <w:r>
        <w:rPr>
          <w:rFonts w:ascii="arial" w:eastAsia="arial" w:hAnsi="arial" w:cs="arial"/>
          <w:color w:val="000000"/>
          <w:sz w:val="20"/>
          <w:lang w:val="en-US" w:eastAsia="en-US" w:bidi="ar-SA"/>
        </w:rPr>
        <w:t xml:space="preserve">, distinguished the British Columbia decisions in </w:t>
      </w:r>
      <w:r>
        <w:rPr>
          <w:rFonts w:ascii="arial" w:eastAsia="arial" w:hAnsi="arial" w:cs="arial"/>
          <w:b/>
          <w:i/>
          <w:color w:val="000000"/>
          <w:sz w:val="20"/>
          <w:lang w:val="en-US" w:eastAsia="en-US" w:bidi="ar-SA"/>
        </w:rPr>
        <w:t>Carnahan et al. v. Coates et al.</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(1990), 71 D.L.R. (4th) 464</w:t>
        </w:r>
      </w:hyperlink>
      <w:r>
        <w:rPr>
          <w:rFonts w:ascii="arial" w:eastAsia="arial" w:hAnsi="arial" w:cs="arial"/>
          <w:color w:val="000000"/>
          <w:sz w:val="20"/>
          <w:lang w:val="en-US" w:eastAsia="en-US" w:bidi="ar-SA"/>
        </w:rPr>
        <w:t xml:space="preserve"> (B.C.S.C.) and </w:t>
      </w:r>
      <w:r>
        <w:rPr>
          <w:rFonts w:ascii="arial" w:eastAsia="arial" w:hAnsi="arial" w:cs="arial"/>
          <w:b/>
          <w:i/>
          <w:color w:val="000000"/>
          <w:sz w:val="20"/>
          <w:lang w:val="en-US" w:eastAsia="en-US" w:bidi="ar-SA"/>
        </w:rPr>
        <w:t>M.(N.) v. M.(I.A.S.)</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(1992), 69 B.C.L.R. (2d) 99</w:t>
        </w:r>
      </w:hyperlink>
      <w:r>
        <w:rPr>
          <w:rFonts w:ascii="arial" w:eastAsia="arial" w:hAnsi="arial" w:cs="arial"/>
          <w:color w:val="000000"/>
          <w:sz w:val="20"/>
          <w:lang w:val="en-US" w:eastAsia="en-US" w:bidi="ar-SA"/>
        </w:rPr>
        <w:t xml:space="preserve"> (C.A.) on the basis that in both those cases "the [defendants'] activities ... were the actual giving of evidence in court or out-of-court activities done for the express purpose of providing evidence in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Carnahan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is a case with facts closely parallel to those in the actions now before the court. The defendant, a psychologist, had prepared an access report in a matrimonial case and had testified respecting his report. Madam Justice Huddart, at p. 478, held that an expert witness must be "immune from suit by any person with whom his only relationship derives from the judicial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actions now before the court, as in </w:t>
      </w:r>
      <w:r>
        <w:rPr>
          <w:rFonts w:ascii="arial" w:eastAsia="arial" w:hAnsi="arial" w:cs="arial"/>
          <w:b/>
          <w:i/>
          <w:color w:val="000000"/>
          <w:sz w:val="20"/>
          <w:lang w:val="en-US" w:eastAsia="en-US" w:bidi="ar-SA"/>
        </w:rPr>
        <w:t>Carnahan</w:t>
      </w:r>
      <w:r>
        <w:rPr>
          <w:rFonts w:ascii="arial" w:eastAsia="arial" w:hAnsi="arial" w:cs="arial"/>
          <w:color w:val="000000"/>
          <w:sz w:val="20"/>
          <w:lang w:val="en-US" w:eastAsia="en-US" w:bidi="ar-SA"/>
        </w:rPr>
        <w:t>, the defendant's only relationship with the plaintiffs was in her capacity as an expert engaged to prepare a report who testified about it in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To similar effect are the decisions in </w:t>
      </w:r>
      <w:r>
        <w:rPr>
          <w:rFonts w:ascii="arial" w:eastAsia="arial" w:hAnsi="arial" w:cs="arial"/>
          <w:b/>
          <w:i/>
          <w:color w:val="000000"/>
          <w:sz w:val="20"/>
          <w:lang w:val="en-US" w:eastAsia="en-US" w:bidi="ar-SA"/>
        </w:rPr>
        <w:t>Boychyn v. Abbey</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[2001] O.J. No. 4503</w:t>
        </w:r>
      </w:hyperlink>
      <w:r>
        <w:rPr>
          <w:rFonts w:ascii="arial" w:eastAsia="arial" w:hAnsi="arial" w:cs="arial"/>
          <w:color w:val="000000"/>
          <w:sz w:val="20"/>
          <w:lang w:val="en-US" w:eastAsia="en-US" w:bidi="ar-SA"/>
        </w:rPr>
        <w:t xml:space="preserve"> (Ont. Sup. Ct.) and </w:t>
      </w:r>
      <w:r>
        <w:rPr>
          <w:rFonts w:ascii="arial" w:eastAsia="arial" w:hAnsi="arial" w:cs="arial"/>
          <w:b/>
          <w:i/>
          <w:color w:val="000000"/>
          <w:sz w:val="20"/>
          <w:lang w:val="en-US" w:eastAsia="en-US" w:bidi="ar-SA"/>
        </w:rPr>
        <w:t>Smith (Next Friend of) v. Kneier</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2001 ABQB 291</w:t>
        </w:r>
      </w:hyperlink>
      <w:r>
        <w:rPr>
          <w:rFonts w:ascii="arial" w:eastAsia="arial" w:hAnsi="arial" w:cs="arial"/>
          <w:color w:val="000000"/>
          <w:sz w:val="20"/>
          <w:lang w:val="en-US" w:eastAsia="en-US" w:bidi="ar-SA"/>
        </w:rPr>
        <w:t>. Both were actions alleging psychologists had negligently prepared expert reports for use in child custody cases. In neither case did the defendant actually testify in court. Both actions were dismissed on applications for summary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Carnahan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Boychyn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Smith</w:t>
      </w:r>
      <w:r>
        <w:rPr>
          <w:rFonts w:ascii="arial" w:eastAsia="arial" w:hAnsi="arial" w:cs="arial"/>
          <w:color w:val="000000"/>
          <w:sz w:val="20"/>
          <w:lang w:val="en-US" w:eastAsia="en-US" w:bidi="ar-SA"/>
        </w:rPr>
        <w:t xml:space="preserve"> are indistinguishable from the actions presently before the court. The authority of these cases is not contradicted by the reasoning of Wilson J, as adopted by the Ontario Court of Appeal in </w:t>
      </w:r>
      <w:r>
        <w:rPr>
          <w:rFonts w:ascii="arial" w:eastAsia="arial" w:hAnsi="arial" w:cs="arial"/>
          <w:b/>
          <w:i/>
          <w:color w:val="000000"/>
          <w:sz w:val="20"/>
          <w:lang w:val="en-US" w:eastAsia="en-US" w:bidi="ar-SA"/>
        </w:rPr>
        <w:t>Reynolds</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that the actions before the court are appropriate for determination under Rule 18A. No additional facts could be obtained through discovery or disclosed at a trial which would displace the application of the witness immunity rule.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the authorities cited above (and many others) make clear, the cause of action pleaded by the plaintiffs cannot succeed in light of the application of the witness immunity rule which extends to the preparation of an expert report as well as to testimony in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applications are allowed. Both actions are dismissed with costs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E.R.A. EDWARDS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CORRIGENDUM</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Released: March 29, 2007.</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Corrigendum to the Reasons for Judgment issued advising that in the list of appearances section on page one, counsel for the defendant should be M.J. Kleisinger, and counsel for the plaintiffs, T.P. Harding.</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Pacific Shower Doors (1995) Ltd. (c.o.b. Pacific Shower Doors) v. Osler, Hoskin &amp; Harcourt, LLP, [2011] B.C.J. No. 1910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14 and 15, 2011.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13, 2011.</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S132702</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[2011] B.C.J. No. 1910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BCSC 1370</w:t>
      </w:r>
    </w:p>
    <w:p>
      <w:pPr>
        <w:spacing w:before="120" w:line="260" w:lineRule="atLeast"/>
        <w:rPr>
          <w:lang w:val="en-US" w:eastAsia="en-US" w:bidi="ar-SA"/>
        </w:rPr>
      </w:pPr>
      <w:r>
        <w:rPr>
          <w:rFonts w:ascii="arial" w:eastAsia="arial" w:hAnsi="arial" w:cs="arial"/>
          <w:color w:val="000000"/>
          <w:sz w:val="20"/>
          <w:lang w:val="en-US" w:eastAsia="en-US" w:bidi="ar-SA"/>
        </w:rPr>
        <w:t>Between Pacific Shower Doors (1995) Ltd., carrying on business as Pacific Shower Doors, Jules Frederick Wilkins, Plaintiffs, and Osler, Hoskin &amp; Harcourt, LLP, Ronald Chung-Kuo Cheng, Gerald Alan Guant, Jaroslaw Jarosz also known as Peter Jarosz, Bradley Adair Jenkins, Almag Aluminum Inc., Apel Extrusions Limited, Can Art Aluminum Extrusion Inc., Metra Aluminum Inc., Signature Aluminum Canada Inc., Spectra Aluminum Products Inc., Spectra Anodizing Limited, The Minister of Finance (of Canada),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(129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0" style="position:absolute;z-index:2516920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10" w:name="Keywords_32"/>
      <w:bookmarkEnd w:id="210"/>
      <w:r>
        <w:rPr>
          <w:rFonts w:ascii="arial" w:eastAsia="arial" w:hAnsi="arial" w:cs="arial"/>
          <w:b/>
          <w:color w:val="000000"/>
          <w:sz w:val="20"/>
          <w:lang w:val="en-US" w:eastAsia="en-US" w:bidi="ar-SA"/>
        </w:rPr>
        <w:t>Civil litigation — Civil procedure — Parties — Adding or substituting — Disposition without trial — Dismissal of action — Frivolous, vexatious or abuse of process — Applications by defendants for dismissal of claims allowed and application by plaintiffs to remove and add defendants and to compel answers to interrogatories dismissed — Corporate plaintiff's request for exclusion from tariff for aluminium extrusions which it claimed were proprietary and unavailable in Canada was denied by tribunal — Plaintiff alleged law firm, who represented industry defendants, submitted reply to tribunal which falsely claimed industry defendants had capacity to produce like goods — Defendants answers were evidence prepared and used for quasi-judicial proceeding and were subject to witness immunity and absolute privilege — Plaintiff's claims made for improper purpose.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11" w:name="Case Summary_28"/>
            <w:bookmarkEnd w:id="21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defendants for the dismissal of the plaintiffs' claims and application by the plaintiffs for the removal and addition of a defendant and to compel the defendants to answer reasonable interrogatories. The plaintiffs were a Canadian owned and operated private company and its president and sole shareholder, who resided in China. In 2008, following a complaint from the industry defendants who were represented by the law firm defendants, the Canada Border Service Agency ("CBSA") initiated an investigation into whether certain aluminium extrusions from China had been dumped into Canada and subsidized. The trade tribunal then commenced an inquiry in relation to the investigation and ruled in favour of a combination of an anti-dumping duty and a countervailing duty. During the inquiry, the corporate plaintiff applied for an exclusion from the tariffs limited to a line of custom extruded show door parts which it alleged were proprietary to it on the grounds that the goods were not produced in Canada and there were no domestic substitutes. An unsigned reply form was submitted to the tribunal which falsely indicated that the industry defendants had present and full capacity to produce like goods and as a result the plaintiff's request for an exemption was denied. Following the denial of the plaintiff's request for an exemption, the plaintiff requested quotations from each of the industry defendants who admitted that they did not have the capacity to produce like goods and had no intention of doing so. The plaintiffs then applied to the tribunal for an interim review, which was denied on the basis that the new evidence proposed by the plaintiff should have been provided with its original application for exclusion. In addition, the plaintiffs' application for judicial review of that decision was denied. Thereafter, the plaintiffs dropped their request for judicial review and commenced this action. The defendants sought the dismissal of the plaintiffs' claims against them on the basis that the pleading disclosed no reasonable claim, was unnecessary, scandalous, frivolous or vexatious, and was an abuse of process. Alternatively, they sought an order that the plaintiff post security for costs. </w:t>
            </w:r>
            <w:r>
              <w:rPr>
                <w:lang w:val="en-US" w:eastAsia="en-US" w:bidi="ar-SA"/>
              </w:rPr>
              <w:cr/>
            </w:r>
          </w:p>
          <w:p>
            <w:pPr>
              <w:spacing w:before="120" w:line="260" w:lineRule="atLeast"/>
              <w:ind w:left="240"/>
              <w:jc w:val="both"/>
              <w:rPr>
                <w:lang w:val="en-US" w:eastAsia="en-US" w:bidi="ar-SA"/>
              </w:rPr>
            </w:pPr>
            <w:bookmarkStart w:id="212" w:name="Holdings of Court_23"/>
            <w:bookmarkEnd w:id="212"/>
            <w:r>
              <w:rPr>
                <w:rFonts w:ascii="arial" w:eastAsia="arial" w:hAnsi="arial" w:cs="arial"/>
                <w:color w:val="000000"/>
                <w:sz w:val="20"/>
                <w:lang w:val="en-US" w:eastAsia="en-US" w:bidi="ar-SA"/>
              </w:rPr>
              <w:t>HELD: Applications by the defendants allowed and application by the plaintiffs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Whether the industry defendants gave false answers themselves or the law firm defendants gave false answers on their behalf, the answers were caught by the witness immunity and absolute privilege rule as they were evidence prepared for and used in a quasi-judicial proceeding. Consequently, any claim of perjured evidence must be pursued in the criminal court. Furthermore, the claims were being brought for the improper purpose of blaming the industry and law firm defendants for adverse rulings made by the trade tribunal as a quasi-judicial body. The claims against the Crown could not succeed because they were not brought within the Crown Liability and Proceedings Act, they violated the principle of judicial immunity and were an attempt to circumvent the decisions of the tribunal and the court process set up to challenge those decisions. </w:t>
            </w:r>
            <w:r>
              <w:rPr>
                <w:lang w:val="en-US" w:eastAsia="en-US" w:bidi="ar-SA"/>
              </w:rPr>
              <w:cr/>
            </w:r>
          </w:p>
          <w:p>
            <w:pPr>
              <w:rPr>
                <w:lang w:val="en-US" w:eastAsia="en-US" w:bidi="ar-SA"/>
              </w:rPr>
            </w:pPr>
          </w:p>
        </w:tc>
      </w:tr>
    </w:tbl>
    <w:p>
      <w:pPr>
        <w:jc w:val="both"/>
        <w:rPr>
          <w:lang w:val="en-US" w:eastAsia="en-US" w:bidi="ar-SA"/>
        </w:rPr>
      </w:pPr>
      <w:bookmarkStart w:id="213" w:name="Legislation Cited_20"/>
      <w:bookmarkEnd w:id="21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81" style="position:absolute;z-index:2517432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Canadian International Trade Tribunal Act, R.S.C. 1985, c. 47, s. 3, s. 17</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Crown Liability and Proceedings Act, </w:t>
      </w:r>
      <w:hyperlink r:id="rId581"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Rules of Court, Rule 9-5, Rule 9-5(1)(a), Rule 9-5(2), Rule 13-1(c), Rule 13-1(15)</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Special Import Measures Act, </w:t>
      </w:r>
      <w:hyperlink r:id="rId582" w:history="1">
        <w:r>
          <w:rPr>
            <w:rFonts w:ascii="arial" w:eastAsia="arial" w:hAnsi="arial" w:cs="arial"/>
            <w:i/>
            <w:color w:val="0077CC"/>
            <w:sz w:val="20"/>
            <w:u w:val="single"/>
            <w:shd w:val="clear" w:color="auto" w:fill="FFFFFF"/>
            <w:lang w:val="en-US" w:eastAsia="en-US" w:bidi="ar-SA"/>
          </w:rPr>
          <w:t>R.S.C. 1985, c. S-15</w:t>
        </w:r>
      </w:hyperlink>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214" w:name="Counsel_32"/>
      <w:bookmarkEnd w:id="21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2" style="position:absolute;z-index:2517944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Plaintiff Jules Frederick Wilkins and M. Volker on behalf of Pacific Shower Doors (1995) Ltd. carrying on business as Pacific Shower Doors: In Person.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Osler, Hoskin &amp; Harcourt, LLP, Ronald Chung Kuo Cheng, Gerald Alan Guant, Jaroslaw Jarosz, Bradley Adair Jenkins: G.J. Killam, Q.C.</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Almag Aluminum Inc., Apel Extrusions Limited, Can Art Aluminum Extrusion Inc., Metra Aluminum Inc., Signature Aluminum Canada Inc., Spectra Aluminum Products Inc., Spectra Anodizing Limited: J.J.L. Hunter, Q.C., C.E. Hunter.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Attorney General of Canada: M.F. Volk.</w:t>
      </w:r>
      <w:r>
        <w:rPr>
          <w:lang w:val="en-US" w:eastAsia="en-US" w:bidi="ar-SA"/>
        </w:rPr>
        <w:cr/>
      </w:r>
    </w:p>
    <w:p>
      <w:pPr>
        <w:spacing w:after="240"/>
        <w:rPr>
          <w:lang w:val="en-US" w:eastAsia="en-US" w:bidi="ar-SA"/>
        </w:rPr>
      </w:pPr>
      <w:bookmarkStart w:id="215" w:name="Judgment_32"/>
      <w:bookmarkEnd w:id="215"/>
      <w:r>
        <w:pict>
          <v:line id="_x0000_s1183" style="position:absolute;z-index:25184563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6" w:name="J.D. TRUSCOTT J."/>
            <w:bookmarkEnd w:id="216"/>
            <w:r>
              <w:rPr>
                <w:rFonts w:ascii="arial" w:eastAsia="arial" w:hAnsi="arial" w:cs="arial"/>
                <w:b/>
                <w:color w:val="000000"/>
                <w:sz w:val="30"/>
                <w:lang w:val="en-US" w:eastAsia="en-US" w:bidi="ar-SA"/>
              </w:rPr>
              <w:t>J.D. TRUSCOTT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bring separate applications for dismissal of the claims made by the plaintiffs in their Notice of Civil claim filed January 27, 2011, on the grounds that the pleading discloses no reasonable claim, is unnecessary, scandalous, frivolous or vexatious, and is an abuse of the process of the court, all under Rule 9-5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Alternatively, the defendants save for the Attorney General of Canada seek orders that the plaintiffs post security for costs to be allowed to continue with the claims, failing which the claims should be stayed.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same time, the plaintiffs apply for orders removing the Minister of Finance as a defendant and replacing that official with the Attorney General of Canada or the Canada Border Services Agency, or, it is said, none or both of them as applicable, and further amending the Notice of Civil Claim as necessitated by the above change of defendants, either by an attached proposed amendment or a variation of that draft as dictated by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also seek orders compelling the domestic extruders, being the industry defendants, to answer reasonable interrogatories.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To begin with I will deal with the claims made by the plaintiffs in the Notice of Civil Claim filed January 27, 2011 and thereafter will deal with any other claims in the attached proposed amendment.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While Rule 9-5(2)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states that no evidence is admissible on an application for an order that a pleading discloses no reasonable claim, if the pleading in question refers to any document or documents, the contents and effects of those documents are proper matters to consider on such an application. Applications made on the other grounds may be based on evidence as well as on the pleading.</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Notice of Civil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somewhat lengthy and detailed summary of the allegations made in the Notice of Civil Claim over 13 pages is as follows. As might be expected from the fact that the plaintiffs are unrepresented by counsel and the Notice of Civil Claim was drafted by Mr. Wilkins, some of the claims are repetitious, although generally the complaints, whether constituting legal claims or not, are set out clearly enough to be understandable.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 xml:space="preserve">The allegations are: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Pacific Shower Doors (1995) Ltd. ("PSD") is a Canadian owned and operated private company incorporated under the laws of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Jules Frederick Wilkins ("Mr. Wilkins") is the president and sole shareholder of PSD.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Wilkins says he lives in China but maintains a home in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August 18, 2008 the president of the Canada Border Services Agency ("CBSA"), following a complaint filed by the domestic extruders, being the industry defendants herein, initiated investigations into whether certain aluminum extrusions originating in or exported from China had been dumped into Canada and subsidized.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alleged that at all times the domestic extruders were represented by the law firm of Osler, Hoskin &amp; Harcourt, LLP and its lawyers Ronald Chung-Kuo Cheng, Gerald Alan Guant, Jaroslaw Jurosz also know as Peter Jarosz, and Bradley Adair Jenkins ("Osler").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Canadian International Trade Tribunal ("CITT") is a federal legislative tribunal created by the </w:t>
      </w:r>
      <w:r>
        <w:rPr>
          <w:rFonts w:ascii="arial" w:eastAsia="arial" w:hAnsi="arial" w:cs="arial"/>
          <w:i/>
          <w:color w:val="000000"/>
          <w:sz w:val="20"/>
          <w:lang w:val="en-US" w:eastAsia="en-US" w:bidi="ar-SA"/>
        </w:rPr>
        <w:t>Canadian International Trade Tribunal Act</w:t>
      </w:r>
      <w:r>
        <w:rPr>
          <w:rFonts w:ascii="arial" w:eastAsia="arial" w:hAnsi="arial" w:cs="arial"/>
          <w:color w:val="000000"/>
          <w:sz w:val="20"/>
          <w:lang w:val="en-US" w:eastAsia="en-US" w:bidi="ar-SA"/>
        </w:rPr>
        <w:t>, R.S.C. 1985, c. 47 ("</w:t>
      </w:r>
      <w:r>
        <w:rPr>
          <w:rFonts w:ascii="arial" w:eastAsia="arial" w:hAnsi="arial" w:cs="arial"/>
          <w:i/>
          <w:color w:val="000000"/>
          <w:sz w:val="20"/>
          <w:lang w:val="en-US" w:eastAsia="en-US" w:bidi="ar-SA"/>
        </w:rPr>
        <w:t>CITT 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CITT is charged with the responsibility of enforcing the provisions of the </w:t>
      </w:r>
      <w:r>
        <w:rPr>
          <w:rFonts w:ascii="arial" w:eastAsia="arial" w:hAnsi="arial" w:cs="arial"/>
          <w:i/>
          <w:color w:val="000000"/>
          <w:sz w:val="20"/>
          <w:lang w:val="en-US" w:eastAsia="en-US" w:bidi="ar-SA"/>
        </w:rPr>
        <w:t>Special Import Measures Act</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R.S.C. 1985, c. S-15</w:t>
        </w:r>
      </w:hyperlink>
      <w:r>
        <w:rPr>
          <w:rFonts w:ascii="arial" w:eastAsia="arial" w:hAnsi="arial" w:cs="arial"/>
          <w:color w:val="000000"/>
          <w:sz w:val="20"/>
          <w:lang w:val="en-US" w:eastAsia="en-US" w:bidi="ar-SA"/>
        </w:rPr>
        <w:t xml:space="preserve"> ("SIMA").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SIMA contains provisions designed to provide protection to Canadian producers who are being harmed or injured by the dumping or subsidizing of goods imported into Canada through the imposition of anti-dumping and/or contravening duties ("SIMA tariffs") on such goods.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 court of record CITT determines whether any imported goods are dumped and/or subsidized ("subject goods") and whether they have caused or are threatening to cause material injury to domestic producers.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Under SIMA Canadian producers must establish injury or potential injury arising from the importation of the subject goods and must prove that they possess full and present capacity to produce goods that are either identical or substitutable for the subject goods ("like goods").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CITT upon application can grant exclusions for certain imported goods as part of the subject goods that are not causing injury to Canadian producers because they do not produce domestically like goods.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November 18, 2008 CITT issued a notice of commencement of inquiry under SIMA related to the CBSA investigation.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inquiry was known as Aluminum Extrusions Inquiry No. MQ-2008-003. CITT issued findings on March 17, 2009 with reasons on April 1, 2009 ruling in favour of a combination of an anti-dumping duty and a countervailing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the CITT inquiry, PSD applied for an exclusion from SIMA tariffs limited to the line of custom extruded aluminum shower door parts alleged to be proprietary to PSD, on the grounds that these goods were not produced in Canada and there were no domestic substitutes.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CITT provided domestic extruders with a form for their replies to the PSD's product exclusion request.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Only one form was completed and the plaintiffs say they are not aware of who completed it because it was not signed.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stated that subsequent evidence suggests that it was an employee of Osler who completed the reply form, but it is said that if this turns out to be wrong then it is alleged alternatively that the domestic extruders together with Osler acted as a group. It is stated that the claim in the Notice of Claim is based upon Osler having completed the reply 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alleged that each of the domestic extruders told Osler they had no knowledge of PSD and the products imported by PSD and therefore Osler knew none of the domestic extruders had full and present capacity to produce like goods.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alleged that the affirmative answers given in the reply form that domestic extruders had present and full capacity to produce like goods, were untruthful answers as they should have been negative answers.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alleged that Osler's answers on the reply form were deliberate falsifications intended to sway the CITT into denying the plaintiffs' request for exclusion.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alleged CITT required documentary proof of any affirmative answer given to a key question on the reply form and several documents were attached to the reply form with many declared to be confidential and others with large blocks of information blacked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alleged that CITT simply presumed the documents attached contained the proof requested and it is alleged the documents could not have provided the necessary proof.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alleged the CITT decision denying exclusion to the plaintiffs was wrong in that it did not describe accurately the exclusions sought by the plaintiffs, it did not address the differing material facts alleged by the domestic extruders and the plaintiffs, it did not state what it believed to be the material facts it was accepting, and it did not give any reasons for dismissing the plaintiffs' testimony and accepting the testimony of the domestic extruders.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submitted that the CITT must have believed that at least one of the domestic extruders had full and present capacity to produce like goods and therefore needed to decide whether the plaintiffs were telling the truth or Osler was telling the truth, and the CITT should have recognized the inconsistencies and deficiencies in the Osler testimony and should have concluded that the plaintiffs' representations were truthful.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alleged that following the CITT decision denying exclusion the plaintiffs requested quotations from each of the domestic extruders who it is alleged fully admitted they did not have full and present capacity to produce like goods and had no intention of ever doing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alleged that with this new evidence the plaintiffs supplied to CITT for an interim review, but on July 24, 2009 the CITT denied the request to commence an interim review under Interim Review No. RD-2009-001.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alleged that the stated reason of CITT for denying the interim review was that the new evidence proposed by the plaintiffs should have been provided with its original application for exclusion.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allege this was erroneous reasoning in that the CITT never stipulated in the first place that this evidence would be required of the plaintiffs and it would have been next to impossible to obtain this information beforehand from the domestic extruders who were opposing the plaintiffs on its exclusion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applied for judicial review of the interim review decision and also sought leave to apply for judicial review of the original CITT denial of the plaintiffs' exclusion application, the plaintiffs being beyond the prescribed time limit to seek judicial review of the original exclusion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Federal Court of Appeal denied leave to the plaintiffs to file an application for judicial review of the original exclusion decision, being out of time to apply.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said the plaintiffs then dropped the judicial review of the interim review decision because the Federal Court of Appeal required the plaintiffs to be represented in court by a lawyer, which the plaintiffs say they could not afford, and they say the result of a successful judicial review would have only been to obtain a new interim review conducted again by the CITT, at a time that PSD likely would have been bankrupt.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said that Mr. Wilkins had lost all confidence in the CITT by that time and believed he needed to focus all his attention on rescuing PSD and therefore started this civil suit as the more appropriate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alleged that the effect of the SIMA tariffs have caused the plaintiffs great damage in their business. It is alleged Mr. Wilkins has set up a new company in China and moved PSD's production offshore so it is not subject to SIMA tariffs.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say they do not know the extent of their damages but seek general damages, what are called special damages being the lost value in PSD, and consequential special damages being the loss of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They also seek punitive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is alleged that the Minister of Finance should be liable for a fair share of the special damages because it could not have been intended that the CITT make decisions unsupportable by the facts before it and by the laws it was charged with upholding.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view of the agreement of the plaintiffs to replace the Minister of Finance with the Attorney General of Canada I will consider that this allegation is meant to apply to the Attorney General of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claim the domestic extruders are liable for aggravated damages, as well as general and special damages, and Osler was acting for and on behalf of them in an agency relationship.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also allege that whoever specifically gave the false testimony in deceiving the CITT must be accountable and that includes Osler and their employees. It is alleged each should be liable for punitive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plaintiffs say their claims in tort against the Minister of Finance (now Attorney General of Canada) are believed to be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ensure the CITT was adequately staffed with competent individuals and ensuring that the CITT came to reasonable conclusions consistent with the evidence and the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They also claim against the domestic extruders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any and all representations and decisions and actions taken by them and for all actions taken on their behalf by Osler.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They claim punitive damages against those domestic extruders who were involved in authoring, planning, sanctioning or otherwise participating in providing false or misleading testimony or evidence to the CITT.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alleged that as officers of the court Osler had an absolute ethical duty to tell the truth, including avoiding dishonesty or evasion about any matter related to the court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alleged Osler had to have known that the testimony they provided to the CITT, even if that testimony was provided along with the domestic extruders, was false.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alleged the motive was to mislead the CITT and the consequence was that PSD was deprived of its legal right to the limited exclusion it sought and has consequently suffered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also alleged that whoever provided false information to the CITT committed a criminal act and Osler is accused of performing a malicious act that interfered with the plaintiffs'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It is said that Osler is minimally accused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more likely is guilty of one or more torts involving intent, being one or more of fraudulent misrepresentation, libel, contempt, abuse of process, tortious interference, or intentional interference with contractual relations.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Submission of the Industry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the industry defendants say their clients provided evidence at a five day inquiry hearing conducted by the CITT and Osler represented them at the inquiry.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says that PSD did not provide any evidence at the inquiry hearing but filed a product exclusion request with the CITT seeking to exempt its particular products from the imposition of tariffs in the event that CITT concluded that the dumping and subsidizing of aluminum extrusions had caused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Counsel submits that at its root this is a claim that the plaintiffs were damaged by the evidence given by the industry defendants at the CITT hearing and as such the claim is precluded by the witness immunity rule of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addition, counsel submits the plaintiffs have not pled facts that if proven would establish the elements of any of the cause of actions pled.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Finally counsel submits that this claim is a collateral attack on the CITT decisions themselves and should be struck out as scandalous, unnecessary, frivolous, vexatious and an abuse of the court process, being an attempt to re-litigate the issues before the CITT for which the plaintiffs had rights of judicial review which were lost or abandoned by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Submissions of the Osler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Counsel for the defendants Osler submit that the claims against the Osler defendants must be dismissed as disclosing no reasonable claim, and as being unnecessary, scandalous, frivolous or vexatious, and an abuse of the process of the court, for the reason that the Osler lawyers at all times represented the industry defendants on the CITT inquiry and owed no duties of care to the plaintiffs, and are entitled to the right of absolute privilege in law from civil claims by anyone other than their own clients for legal advice given to their clients.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Submissions of the Attorney General of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for the Attorney General of Canada submits that the Notice of Civil Claim fails to disclose any claim known to law against the Crown for any direct liability and the legal principle of judicial immunity provides the Crown with a complete defence to any claim for vicarious liability for the decision of the CITT on the inquiry and on the interim review.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submitted as well that the claim is scandalous, unnecessary and vexatious and should be dismissed on that basis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It is submitted that the primary source of liability of the Crown is under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This Act holds the Crown liable for torts committed by servants of the Crown, for breach of duty attaching to the ownership, occupation, possession or control of property owned by the Crown, and for damage sustained by anyone by reason of a motor vehicle owned by the Crown, on a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Counsel submits that issues regarding staffing and supervision of the CITT lie at the feet of the Governor in Council by virtue of s. 3 of the </w:t>
      </w:r>
      <w:r>
        <w:rPr>
          <w:rFonts w:ascii="arial" w:eastAsia="arial" w:hAnsi="arial" w:cs="arial"/>
          <w:i/>
          <w:color w:val="000000"/>
          <w:sz w:val="20"/>
          <w:lang w:val="en-US" w:eastAsia="en-US" w:bidi="ar-SA"/>
        </w:rPr>
        <w:t>CITT Act</w:t>
      </w:r>
      <w:r>
        <w:rPr>
          <w:rFonts w:ascii="arial" w:eastAsia="arial" w:hAnsi="arial" w:cs="arial"/>
          <w:color w:val="000000"/>
          <w:sz w:val="20"/>
          <w:lang w:val="en-US" w:eastAsia="en-US" w:bidi="ar-SA"/>
        </w:rPr>
        <w:t xml:space="preserve"> which gives that officer the authority to appoint the CITT, and which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gives that officer the authority to make regulations, and it is submitted the Governor in Council is not a servant of the Crown but a representative of the Crown itself.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Further, it is submitted the Crown cannot be found vicariously liable for the conduct of members of the CITT when they are exercising judicial functions and are immune from suit. Section 17 of the </w:t>
      </w:r>
      <w:r>
        <w:rPr>
          <w:rFonts w:ascii="arial" w:eastAsia="arial" w:hAnsi="arial" w:cs="arial"/>
          <w:i/>
          <w:color w:val="000000"/>
          <w:sz w:val="20"/>
          <w:lang w:val="en-US" w:eastAsia="en-US" w:bidi="ar-SA"/>
        </w:rPr>
        <w:t>CITT Act</w:t>
      </w:r>
      <w:r>
        <w:rPr>
          <w:rFonts w:ascii="arial" w:eastAsia="arial" w:hAnsi="arial" w:cs="arial"/>
          <w:color w:val="000000"/>
          <w:sz w:val="20"/>
          <w:lang w:val="en-US" w:eastAsia="en-US" w:bidi="ar-SA"/>
        </w:rPr>
        <w:t xml:space="preserve"> states that the tribunal is a court of record and has all such powers, rights and privileges as are vested in a superior court of record so it is a quasi-judicial body entitled to immunity from suit for its decisions.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 and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To a great extent, the Notice of Civil Claim focuses on the reply form and documents filed with the CITT by and on behalf of the industry defendants, in reply to the plaintiffs' application for product exclusion.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is alleged that the reply was untruthful in its answers and deliberately so, and designed to sway the CITT into denying the plaintiffs' request for product exclusion.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alleged that the Osler lawyers signed the reply form knowing that the answers were false, or acted together with the industry defendants who knew the answers to be false.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part of the inquiry MQ-2008-003, the CITT conducted a hearing. In its statement of reasons finding that custom-shaped and standard-shaped aluminum extrusions originating in or exported from China have caused injury to the domestic industry, the CITT said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hearing, with public and in camera testimony, was held in Ottawa, Ontario, from February 16 to 20, 2008 (it should read 2009). The domestic producers that supported industry findings filed submissions, provided evidence and made arguments in support of such findings. They were represented by counsel and presented witnesses at the hearing.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participants are indicated in the statement of reasons as including the industry defendants in this action, and their lawyers at Osler.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PSD is shown as a party requesting product exclusions but Mr. Wilkins has informed me that he did not attend the CITT hearing because he decided not to oppose dumping and subsidization as he expected there were other companies who would do that and he expected dumping to be found, and he decided to focus on his product exclusion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statement of reasons of the CITT indicates requests for product exclusions from 44 parties proceeded by written submissions and information on forms that were provided. The parties in support of the injury findings consented to only one request for exclusion and opposed all other requests on the basis that their companies produced or had the capacity to produce products which were identical to or substitutable for the products for which exclusions were requested.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denying PSD's products exclusion request the CITT did so on the basis that no evidence was provided to support PSD's claim that the domestic producers were unable to meet its requirements in terms of fit, finish and packaging.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order and reasons of the CITT on PSD's interim review application RD-2009-001 state that it did not need to distribute PSD's request to other parties for comment, that the request for an interim review concerned an aspect of the findings that only affected PSD and the parties likely to oppose the request would not be adversely affected by the tribunal's disposition of the request.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does not appear therefore that the industry defendants or any submissions on their behalf and any of the Osler defendants were involved at all in the interim review application of PSD or in the decision of the CITT to deny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CITT said in its reasons that PSD attempted to re-argue its initial request for product exclusion and re-introduce the same arguments as in its initial request.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said that PSD's additional evidence that it provided that it said had been obtained after the injury inquiry and that it said showed that no domestic producer had the capacity to produce products identical or substitutable for the products PSD sought to exclude, was discoverable earlier prior to the injury inquiry by the exercise of reasonable diligence. The interim review was denied on that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tribunal pointed out that the product exclusion request form used in the injury inquiry specified that documentation should be provided to support any claim that an attempt had been made to purchase from domestic producers the products for which an exclusion request was filed.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This is a criticism of PSD's failure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court will only strike a claim under Rule 9-5(1)(a) where it is plain and obvious on the basis of the pleadings and the facts alleged therein that the pleading discloses no reasonable claim: </w:t>
      </w:r>
      <w:r>
        <w:rPr>
          <w:rFonts w:ascii="arial" w:eastAsia="arial" w:hAnsi="arial" w:cs="arial"/>
          <w:i/>
          <w:color w:val="000000"/>
          <w:sz w:val="20"/>
          <w:lang w:val="en-US" w:eastAsia="en-US" w:bidi="ar-SA"/>
        </w:rPr>
        <w:t>Hunt v. T &amp; N plc</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[1993] 4 S.C.R. 289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court must determine whether there is a question to be tried, regardless of the complexity, or novelty of that question, and that issue is to be decided on the basis of the pleadings as they stand or as they may be amended: </w:t>
      </w:r>
      <w:r>
        <w:rPr>
          <w:rFonts w:ascii="arial" w:eastAsia="arial" w:hAnsi="arial" w:cs="arial"/>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[1992] B.C.J. No. 1550</w:t>
        </w:r>
      </w:hyperlink>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69 B.C.L.R. (2d) 62</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industry defendants rely upon the legal principle that witnesses to a judicial or quasi-judicial proceeding are entitled to absolute immunity from suit.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 decision in this Court that considered the witness immunity rule in considerable detail is </w:t>
      </w:r>
      <w:r>
        <w:rPr>
          <w:rFonts w:ascii="arial" w:eastAsia="arial" w:hAnsi="arial" w:cs="arial"/>
          <w:i/>
          <w:color w:val="000000"/>
          <w:sz w:val="20"/>
          <w:lang w:val="en-US" w:eastAsia="en-US" w:bidi="ar-SA"/>
        </w:rPr>
        <w:t>Workum v. Olnick et al</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2005 BCSC 1262</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that case the plaintiff alleged that the defendants conspired together to procure false testimony that had been or would be given in three separate actions in Alberta and Arizona.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the decision the witness immunity rule was described as a fundamental rule of law which provides that no civil action lies at the suit of any person for any statement made by a witness in the course of giving evidence in a judicial or quasi-judicial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was found that the proceedings before the Alberta Securities Commission in which it was alleged that Mr. Olnick gave false testimony was a quasi-judicial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CITT is also a quasi-judicial institution being by the provisions in the </w:t>
      </w:r>
      <w:r>
        <w:rPr>
          <w:rFonts w:ascii="arial" w:eastAsia="arial" w:hAnsi="arial" w:cs="arial"/>
          <w:i/>
          <w:color w:val="000000"/>
          <w:sz w:val="20"/>
          <w:lang w:val="en-US" w:eastAsia="en-US" w:bidi="ar-SA"/>
        </w:rPr>
        <w:t>CITT Act</w:t>
      </w:r>
      <w:r>
        <w:rPr>
          <w:rFonts w:ascii="arial" w:eastAsia="arial" w:hAnsi="arial" w:cs="arial"/>
          <w:color w:val="000000"/>
          <w:sz w:val="20"/>
          <w:lang w:val="en-US" w:eastAsia="en-US" w:bidi="ar-SA"/>
        </w:rPr>
        <w:t xml:space="preserve"> a court of record having all such powers, rights and privileges as are vested in a superior court of record.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Workum</w:t>
      </w:r>
      <w:r>
        <w:rPr>
          <w:rFonts w:ascii="arial" w:eastAsia="arial" w:hAnsi="arial" w:cs="arial"/>
          <w:color w:val="000000"/>
          <w:sz w:val="20"/>
          <w:lang w:val="en-US" w:eastAsia="en-US" w:bidi="ar-SA"/>
        </w:rPr>
        <w:t xml:space="preserve"> the decision of the B.C. Court of Appeal in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(2003), 13 B.C.L.R. (4th) 298</w:t>
        </w:r>
      </w:hyperlink>
      <w:r>
        <w:rPr>
          <w:rFonts w:ascii="arial" w:eastAsia="arial" w:hAnsi="arial" w:cs="arial"/>
          <w:color w:val="000000"/>
          <w:sz w:val="20"/>
          <w:lang w:val="en-US" w:eastAsia="en-US" w:bidi="ar-SA"/>
        </w:rPr>
        <w:t xml:space="preserve"> was cited which dealt with the issue of whether someone who reports a member to a professional disciplinary body about his/her conduct can be sued for such claims as defamation,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malicious prosecution and conspiracy.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 xml:space="preserve"> decision the Court held that the trial judge had been correct in concluding that absolute privilege applies to all causes of action arising from the report to the disciplinary body and quoted a decision from England in </w:t>
      </w:r>
      <w:r>
        <w:rPr>
          <w:rFonts w:ascii="arial" w:eastAsia="arial" w:hAnsi="arial" w:cs="arial"/>
          <w:i/>
          <w:color w:val="000000"/>
          <w:sz w:val="20"/>
          <w:lang w:val="en-US" w:eastAsia="en-US" w:bidi="ar-SA"/>
        </w:rPr>
        <w:t>Marrinan v. Vibart</w:t>
      </w:r>
      <w:r>
        <w:rPr>
          <w:rFonts w:ascii="arial" w:eastAsia="arial" w:hAnsi="arial" w:cs="arial"/>
          <w:color w:val="000000"/>
          <w:sz w:val="20"/>
          <w:lang w:val="en-US" w:eastAsia="en-US" w:bidi="ar-SA"/>
        </w:rPr>
        <w:t>, [1962] 3 All E.R. 380 (C.A.) where Seller L.J. stated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Whatever form of action is sought to be derived from what was said or done in the course of judicial proceedings must suffer the same fate of being barred by the rule which protects witnesses in their evidence before the court and in the preparation of the evidence which is to be so given. LORD ESHER M.R. has been well cited too; in Royal Aquarium and Summer and Winter Garden Society v. Parkinson [[1892] 1 Q.B. 431] he says [at p. 442]:</w:t>
      </w:r>
    </w:p>
    <w:p>
      <w:pPr>
        <w:spacing w:before="120" w:line="260" w:lineRule="atLeast"/>
        <w:ind w:left="1080"/>
        <w:rPr>
          <w:lang w:val="en-US" w:eastAsia="en-US" w:bidi="ar-SA"/>
        </w:rPr>
      </w:pPr>
      <w:r>
        <w:rPr>
          <w:rFonts w:ascii="arial" w:eastAsia="arial" w:hAnsi="arial" w:cs="arial"/>
          <w:color w:val="000000"/>
          <w:sz w:val="20"/>
          <w:lang w:val="en-US" w:eastAsia="en-US" w:bidi="ar-SA"/>
        </w:rPr>
        <w:t>It is true that, in respect of statements made in the course of proceedings before a court of justice, whether by judge or counsel, or witnesses, there is an absolute immunity from liability to an action. The ground of that rule is public policy. It is applicable to all kinds of courts of justice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Seller L.J. quoted further from </w:t>
      </w:r>
      <w:r>
        <w:rPr>
          <w:rFonts w:ascii="arial" w:eastAsia="arial" w:hAnsi="arial" w:cs="arial"/>
          <w:i/>
          <w:color w:val="000000"/>
          <w:sz w:val="20"/>
          <w:lang w:val="en-US" w:eastAsia="en-US" w:bidi="ar-SA"/>
        </w:rPr>
        <w:t>Royal Aquarium</w:t>
      </w:r>
      <w:r>
        <w:rPr>
          <w:rFonts w:ascii="arial" w:eastAsia="arial" w:hAnsi="arial" w:cs="arial"/>
          <w:color w:val="000000"/>
          <w:sz w:val="20"/>
          <w:lang w:val="en-US" w:eastAsia="en-US" w:bidi="ar-SA"/>
        </w:rPr>
        <w:t>,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But it does not matter whether the action is framed as an action for defamation or as an action analogous to an action for malicious prosecution or for deceit or, as in this instance, for combining or conspiring together for the purpose of injuring another: the rules of law is that no action lies against witnesses in respect of evidence prepared (Watson v. McEwan, Watson v. Jones [[1905] A.C. 480], given, adduced or procured by them in the course of legal proceedings. The law protects witnesses and others, not for their benefit, but for a higher interest, namely, the advancement of public justice.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Another decision of this Court cited with approval in </w:t>
      </w:r>
      <w:r>
        <w:rPr>
          <w:rFonts w:ascii="arial" w:eastAsia="arial" w:hAnsi="arial" w:cs="arial"/>
          <w:i/>
          <w:color w:val="000000"/>
          <w:sz w:val="20"/>
          <w:lang w:val="en-US" w:eastAsia="en-US" w:bidi="ar-SA"/>
        </w:rPr>
        <w:t>Workum</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(1994), 99 B.C.L.R. (2d) 166</w:t>
        </w:r>
      </w:hyperlink>
      <w:r>
        <w:rPr>
          <w:rFonts w:ascii="arial" w:eastAsia="arial" w:hAnsi="arial" w:cs="arial"/>
          <w:color w:val="000000"/>
          <w:sz w:val="20"/>
          <w:lang w:val="en-US" w:eastAsia="en-US" w:bidi="ar-SA"/>
        </w:rPr>
        <w:t xml:space="preserve">, where another passage in </w:t>
      </w:r>
      <w:r>
        <w:rPr>
          <w:rFonts w:ascii="arial" w:eastAsia="arial" w:hAnsi="arial" w:cs="arial"/>
          <w:i/>
          <w:color w:val="000000"/>
          <w:sz w:val="20"/>
          <w:lang w:val="en-US" w:eastAsia="en-US" w:bidi="ar-SA"/>
        </w:rPr>
        <w:t>Marrinan v. Vibart</w:t>
      </w:r>
      <w:r>
        <w:rPr>
          <w:rFonts w:ascii="arial" w:eastAsia="arial" w:hAnsi="arial" w:cs="arial"/>
          <w:color w:val="000000"/>
          <w:sz w:val="20"/>
          <w:lang w:val="en-US" w:eastAsia="en-US" w:bidi="ar-SA"/>
        </w:rPr>
        <w:t xml:space="preserve"> was quoted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It has been recognized since Watson v. McEwan, [1905] A.C. 480 that a statement made by a witness to a party or to a party's solicitor in the course of preparation for trial is also privileged; otherwise the plaintiff could not sue for a statement made in the witness stand but could sue for the statement made in preparation for that trial. Such a result would be illogical and would defeat the policy reasons underlying the immunity. Similar considerations apply to a claim based on a conspiracy to commit perjury.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Workum</w:t>
      </w:r>
      <w:r>
        <w:rPr>
          <w:rFonts w:ascii="arial" w:eastAsia="arial" w:hAnsi="arial" w:cs="arial"/>
          <w:color w:val="000000"/>
          <w:sz w:val="20"/>
          <w:lang w:val="en-US" w:eastAsia="en-US" w:bidi="ar-SA"/>
        </w:rPr>
        <w:t xml:space="preserve"> said that the rule has been extended to cover allegations of conspiracy to commit perjury (give false evidence) and cited in support a decision of the High Court of Australia in </w:t>
      </w:r>
      <w:r>
        <w:rPr>
          <w:rFonts w:ascii="arial" w:eastAsia="arial" w:hAnsi="arial" w:cs="arial"/>
          <w:i/>
          <w:color w:val="000000"/>
          <w:sz w:val="20"/>
          <w:lang w:val="en-US" w:eastAsia="en-US" w:bidi="ar-SA"/>
        </w:rPr>
        <w:t>Cabassi v. Vila</w:t>
      </w:r>
      <w:r>
        <w:rPr>
          <w:rFonts w:ascii="arial" w:eastAsia="arial" w:hAnsi="arial" w:cs="arial"/>
          <w:color w:val="000000"/>
          <w:sz w:val="20"/>
          <w:lang w:val="en-US" w:eastAsia="en-US" w:bidi="ar-SA"/>
        </w:rPr>
        <w:t xml:space="preserve"> (1940), 64 C.L.R. 130, where Williams J. said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A witness usually discusses his evidence ..., and often with that party himself, so it would be simple to allege the conspiracy to give false evidence or to utter a slander in order to found the action. The value of the immunity of witnesses would be substantially diminished and in fact almost destroyed if such an action could be brought because, even if it failed, as pointed out by Lord Penzance in Dawkins v. Lord Rokeby [(1875) L.R. 7 H.L. at p. 756] ..., "the witness may be cleared by the jury of the imputation, and may yet have to encounter the expenses and distress of a harassing litigation. With such possibilities hanging over his head, a witness cannot be expected to speak with that free and open mind which the administration of justice demands." (at p. 151)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Workum</w:t>
      </w:r>
      <w:r>
        <w:rPr>
          <w:rFonts w:ascii="arial" w:eastAsia="arial" w:hAnsi="arial" w:cs="arial"/>
          <w:color w:val="000000"/>
          <w:sz w:val="20"/>
          <w:lang w:val="en-US" w:eastAsia="en-US" w:bidi="ar-SA"/>
        </w:rPr>
        <w:t xml:space="preserve"> concluded that absolute privilege attaches to evidence given at judicial and quasi-judicial proceedings and it makes no difference that the words may be totally false, spoken with or without malice.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Workum</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Darker et al v. Chief Constable of the West Midlands Police</w:t>
      </w:r>
      <w:r>
        <w:rPr>
          <w:rFonts w:ascii="arial" w:eastAsia="arial" w:hAnsi="arial" w:cs="arial"/>
          <w:color w:val="000000"/>
          <w:sz w:val="20"/>
          <w:lang w:val="en-US" w:eastAsia="en-US" w:bidi="ar-SA"/>
        </w:rPr>
        <w:t>, [2001] 1 A.C. 435 was cited, where it was said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If witnesses were open to a challenge upon the substance of the evidence which they have given in court proceedings, the whole matters to which the evidence related would again be canvassed before another court and in effect the case would be re-tried. To allow such a proceeding would enable a collateral attack to be made upon the earlier decision and the law is opposed to that kind of repetitive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Workum</w:t>
      </w:r>
      <w:r>
        <w:rPr>
          <w:rFonts w:ascii="arial" w:eastAsia="arial" w:hAnsi="arial" w:cs="arial"/>
          <w:color w:val="000000"/>
          <w:sz w:val="20"/>
          <w:lang w:val="en-US" w:eastAsia="en-US" w:bidi="ar-SA"/>
        </w:rPr>
        <w:t xml:space="preserve"> decision in this Court was upheld in the British Columbia Court of Appeal: </w:t>
      </w:r>
      <w:hyperlink r:id="rId588" w:history="1">
        <w:r>
          <w:rPr>
            <w:rFonts w:ascii="arial" w:eastAsia="arial" w:hAnsi="arial" w:cs="arial"/>
            <w:i/>
            <w:color w:val="0077CC"/>
            <w:sz w:val="20"/>
            <w:u w:val="single"/>
            <w:shd w:val="clear" w:color="auto" w:fill="FFFFFF"/>
            <w:lang w:val="en-US" w:eastAsia="en-US" w:bidi="ar-SA"/>
          </w:rPr>
          <w:t>2006 BCCA 528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Bringing these established principles home to the allegations made in this case, whether the industry defendants gave false evidence themselves in the written replies to the PSD's request for exclusion, or whether it was any of the Osler defendants as their lawyers who gave the answers on their behalf, about which I do not need to decide whether they were true or false answers or who gave them, all answers are caught for the benefit of the author by the witness immunity rule and are subject to absolute privilege from any claim by PSD and Mr. Wilkins. Any claim of perjured evidence must be pursued in the criminal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replies on behalf of the industry defendants were reviewed by the CITT on PSD's application for product exclusion and therefore meet the requirement of being evidence prepared for and used in a quasi-judicial proceeding and therefore subject to the witness immunity and absolute privilege rules.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industry defendants did not give any oral evidence to the CITT about PSD's request for product exclusion, according to the reasons of the CITT on the dumping and subsidizing inquiry, and were not asked to respond to PSD's request for interim review of the denial of its product exclusion request. Osler never gave any oral evidence either or were involved in the interim review.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Accordingly PSD can have no claim against the industry defendants and the Osler defendants for anything to do with the oral hearing held by the CITT nor anything to do with the interim review sought by PSD.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their capacity as lawyers for the industry defendants, and not as witnesses, the Osler defendants owed no duties of care to PSD or Mr. Wilkins who the industry defendants were opposing on the product exclusion application, as the only person that a lawyer owes a duty of care to, save for exceptional circumstances not relevant here, is the client (</w:t>
      </w:r>
      <w:r>
        <w:rPr>
          <w:rFonts w:ascii="arial" w:eastAsia="arial" w:hAnsi="arial" w:cs="arial"/>
          <w:i/>
          <w:color w:val="000000"/>
          <w:sz w:val="20"/>
          <w:lang w:val="en-US" w:eastAsia="en-US" w:bidi="ar-SA"/>
        </w:rPr>
        <w:t>Jensen v. MacGregor</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(1992), 65 B.C.L.R. (2d) 224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As I said in my reasons in </w:t>
      </w:r>
      <w:r>
        <w:rPr>
          <w:rFonts w:ascii="arial" w:eastAsia="arial" w:hAnsi="arial" w:cs="arial"/>
          <w:i/>
          <w:color w:val="000000"/>
          <w:sz w:val="20"/>
          <w:lang w:val="en-US" w:eastAsia="en-US" w:bidi="ar-SA"/>
        </w:rPr>
        <w:t>Holland v. Douglas</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2010 BCSC 96</w:t>
        </w:r>
      </w:hyperlink>
      <w:r>
        <w:rPr>
          <w:rFonts w:ascii="arial" w:eastAsia="arial" w:hAnsi="arial" w:cs="arial"/>
          <w:color w:val="000000"/>
          <w:sz w:val="20"/>
          <w:lang w:val="en-US" w:eastAsia="en-US" w:bidi="ar-SA"/>
        </w:rPr>
        <w:t>, there is an absolute privilege for all communications made by counsel in the course of, or incidental to, the processing and furtherance of judicial and quasi-judicial proceedings, and this extends to the contents of all pleadings, documents, and testimony offered in evidence, and to all actions taken preliminary thereto.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This decision was upheld by the Court of Appeal: </w:t>
      </w:r>
      <w:hyperlink r:id="rId591" w:history="1">
        <w:r>
          <w:rPr>
            <w:rFonts w:ascii="arial" w:eastAsia="arial" w:hAnsi="arial" w:cs="arial"/>
            <w:i/>
            <w:color w:val="0077CC"/>
            <w:sz w:val="20"/>
            <w:u w:val="single"/>
            <w:shd w:val="clear" w:color="auto" w:fill="FFFFFF"/>
            <w:lang w:val="en-US" w:eastAsia="en-US" w:bidi="ar-SA"/>
          </w:rPr>
          <w:t>2010 BCCA 345</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All claims made against the industry defendants and the Osler defendants in the Notice of Civil Claim are dismissed in their entirety as disclosing no reasonable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Holland v. Douglas</w:t>
      </w:r>
      <w:r>
        <w:rPr>
          <w:rFonts w:ascii="arial" w:eastAsia="arial" w:hAnsi="arial" w:cs="arial"/>
          <w:color w:val="000000"/>
          <w:sz w:val="20"/>
          <w:lang w:val="en-US" w:eastAsia="en-US" w:bidi="ar-SA"/>
        </w:rPr>
        <w:t xml:space="preserve"> I also said the following in my reasons that were cited with approval by the Court of Appeal:</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view it is scandalous, frivolous and vexatious where it is obvious the action cannot succeed and where it is brought for an improper purpose, here to blame defence counsel for adverse rulings made by the courts.</w:t>
      </w:r>
    </w:p>
    <w:p>
      <w:pPr>
        <w:spacing w:before="120" w:line="260" w:lineRule="atLeast"/>
        <w:ind w:left="720"/>
        <w:rPr>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 brought against the lawyers who have acted for or against the litigant in earlier proceedings (</w:t>
      </w:r>
      <w:r>
        <w:rPr>
          <w:rFonts w:ascii="arial" w:eastAsia="arial" w:hAnsi="arial" w:cs="arial"/>
          <w:i/>
          <w:color w:val="000000"/>
          <w:sz w:val="20"/>
          <w:lang w:val="en-US" w:eastAsia="en-US" w:bidi="ar-SA"/>
        </w:rPr>
        <w:t>Re Lang Michener et al. and Fabian et al.</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(1987), 59 O.R. (2d) 353</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In my view that is the situation here.</w:t>
      </w:r>
    </w:p>
    <w:p>
      <w:pPr>
        <w:spacing w:before="120" w:line="260" w:lineRule="atLeast"/>
        <w:ind w:left="720"/>
        <w:rPr>
          <w:lang w:val="en-US" w:eastAsia="en-US" w:bidi="ar-SA"/>
        </w:rPr>
      </w:pPr>
      <w:r>
        <w:rPr>
          <w:rFonts w:ascii="arial" w:eastAsia="arial" w:hAnsi="arial" w:cs="arial"/>
          <w:color w:val="000000"/>
          <w:sz w:val="20"/>
          <w:lang w:val="en-US" w:eastAsia="en-US" w:bidi="ar-SA"/>
        </w:rPr>
        <w:t>In my view the claims against the defendant Ms. Douglas are also an abuse of process for the same reasons. It is a wilful misuse or perversion of the court's process for a purpose extraneous or ulterior to that which the process was designed to serve.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These same reasons apply to the claims made by the plaintiffs here against the industry defendants and the Osler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Here the claims are being brought for the improper purpose of blaming the industry defendants and the Osler defendants for adverse rulings made by the CITT as a quasi-judicial body.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claims made in the Notice of Civil Claim are filed in an attempt to obtain a result which the plaintiffs failed to achieve before the CITT which holds the exclusive jurisdiction to deal with dumping and subsidizing issues, product exclusion applications and interim review applications, and which the plaintiffs failed to achieve as well on appeal of the CITT decisions through judicial review to the Federal Court of Appeal which has the exclusive jurisdiction to challenge the findings and reasons of the CITT.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claims made against the industry defendants and the Osler defendants are also dismissed on the grounds that they are scandalous, frivolous, vexatious and an abuse of the process of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claims against the Attorney General of Canada are also dismissed for the reasons advanced by counsel for the Attorney General.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CITT Act</w:t>
      </w:r>
      <w:r>
        <w:rPr>
          <w:rFonts w:ascii="arial" w:eastAsia="arial" w:hAnsi="arial" w:cs="arial"/>
          <w:color w:val="000000"/>
          <w:sz w:val="20"/>
          <w:lang w:val="en-US" w:eastAsia="en-US" w:bidi="ar-SA"/>
        </w:rPr>
        <w:t>, R.S.C. 1985, c. 47 requires that the members of CITT be appointed by the Governor in Council.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Governor in Council is a representative of the Crown itself and not a servant or agent of the Crown.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Crown liability can be established only by statute.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restricts the Crown liability to damage caused by a servant of the Crown, breach of duty attaching to the ownership, occupation or possession or control of property, or damage to anyone by reason of a motor vehicle owned by the Crown on a highway. With respect to liability for a servant of the Crown, the Crown can only be liable if that servant itself would have been liable at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None of these situations apply to the claims made here against the Attorney General of Canada. They are claims against the Crown for failing to staff and supervise the CITT properly and claims that the CITT itself made numerous erroneous decisions on the PSD claims for product exclusions.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claims against the Crown cannot succeed because they are not claims brought within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The claims against the CITT members violate the principle of judicial immunity that the members of the CITT are entitled to as a matter of law (</w:t>
      </w:r>
      <w:r>
        <w:rPr>
          <w:rFonts w:ascii="arial" w:eastAsia="arial" w:hAnsi="arial" w:cs="arial"/>
          <w:i/>
          <w:color w:val="000000"/>
          <w:sz w:val="20"/>
          <w:lang w:val="en-US" w:eastAsia="en-US" w:bidi="ar-SA"/>
        </w:rPr>
        <w:t>Morier and Boily v. Rovard</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[1985] 2 S.C.R. 716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Agnew v. Ontario Association of Architects</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(1987), 64 O.R. (2d) 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the members of the CITT are entitled to judicial immunity the Crown cannot be vicariously liable for the members of the CITT exercising their quasi-judicial functions.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my view these claims are also filed in an attempt to circumvent the decisions of the CITT and the court process set up to challenge these decisions through judicial review to the Federal Court of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These claims against the Attorney General of Canada do not disclose any reasonable claim and are also scandalous, frivolous, vexatious and an abuse of process for the same reasons as applied to the industry defendants and the Osler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claims made against the Attorney General of Canada are dismissed in their entirety.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Draft Amended Notice of Civil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proposed Amended Notice of Civil Claim is disallowed in its entirety as well. It does not offer any new cause of action that has any chance of success and is also scandalous, frivolous, vexatious and an abuse of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is nothing more than a restatement of the same complaints made in the filed Notice of Civil Claim, sometimes using different words, but failing for the same reasons as applied to the claims made in the filed Notice of Civil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industry defendants seek costs but do not say that they seek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They will have their costs at Scale B of Schedule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Osler defendants seek special costs, presumably because of the allegations of fraud and deliberate false statements made against them, which typically attract special costs where the allegations fail.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Ip v. I.C.B.C.</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(1994), 89 B.C.L.R. (2d) 251</w:t>
        </w:r>
      </w:hyperlink>
      <w:r>
        <w:rPr>
          <w:rFonts w:ascii="arial" w:eastAsia="arial" w:hAnsi="arial" w:cs="arial"/>
          <w:color w:val="000000"/>
          <w:sz w:val="20"/>
          <w:lang w:val="en-US" w:eastAsia="en-US" w:bidi="ar-SA"/>
        </w:rPr>
        <w:t>, Mr. Justice McKinnon of this Court said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An allegation of fraud, wilful misstatements, or other such claims made against a person casts a serious pall over his or her reputation in the community. Very careful consideration must be given by the defendant before making such serious allegations. At the very least,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must exist and if it does not then special costs by way of "chastisement" is a reminder to the defendant to exercise better care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These comments apply for the benefits of defendants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Osler defendants are entitled to special costs from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Attorney General of Canada does not seek special costs but seeks lump sum costs of $1,110, pursuant to Rule 13-1(c) and 13-1(15)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Attorney General of Canada will have its costs in the amount of $1,110, which I presume is to include disbursements.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J.D. TRUSCOTT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Payne v. Eagle Ridge Pontiac GMC Ltd., [2009] B.C.J. No. 819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S063594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819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530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177 A.C.W.S. (3d) 562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Barbara Irene Payne, Plaintiff, and Eagle Ridge Pontiac GMC Ltd., The Consumers Trust, and John Does #1 Through #10,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7" w:name="Keywords_33"/>
      <w:bookmarkEnd w:id="217"/>
      <w:r>
        <w:rPr>
          <w:rFonts w:ascii="arial" w:eastAsia="arial" w:hAnsi="arial" w:cs="arial"/>
          <w:b/>
          <w:color w:val="000000"/>
          <w:sz w:val="20"/>
          <w:lang w:val="en-US" w:eastAsia="en-US" w:bidi="ar-SA"/>
        </w:rPr>
        <w:t>Tort law — Fraud and misrepresentation — Negligent misrepresentation (Hedley Byrne principle) — Nature and extent of duty of care — Detrimental reliance — Class action by certified class members for damages arising from alleged negligent misrepresentations in connection with purchase of motor vehicles allowed — Defendant had prima facie duty of care toward class members regarding representations about cashable vouchers — Reasonably foreseeable class members would rely on representations and reliance reasonable — Defendant's statements in advertisement were inaccurate or misleading — Defendant maintained reasonable standard of care and prudence in investigating cashable vouchers and concluding program legitimate — Defendant did not meet requisite standard of care and was negligent regarding statements in advertisement which led purchasers to believe defendant responsible for program.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8" w:name="Case Summary_29"/>
            <w:bookmarkEnd w:id="2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action by members of the certified class for damages arising from alleged negligent misrepresentation in connection with the purchase of motor vehicles. In 2003, the representative plaintiff purchased a used vehicle from Eagle Ridge Pontiac GMS Ltd. ("Eagle Ridge"). She claimed that she was attracted to Eagle Ridge by a newspaper advertisement which offered purchasers cash back on the purchase of a vehicle. After purchasing the vehicle, she was offered a cashable voucher for $6,000 redeemable three years after the date of issue and was informed by Eagle Ridge employees that she would receive $6,000 in three years time. She was read the terms and conditions on the reverse of the voucher document and understood that she would have to follow the instructions in order to receive the money. The cashable vouchers were issued by Eagle Ridge pursuant to an agreement with Consumers Trust, a now-bankrupt organization based in the UK. Under the agreement, Eagle Ridge could use the vouchers as a sales promotion for a fee of 15 per cent of the written value of the vouchers issued, to be paid to Consumers Trust. The trustees of Consumers Trust were to set aside and hold in trust the money received from Eagle Ridge and other participating companies which would form a pool from which holders would be entitled to redeem their cashable vouchers. The agreement between Consumers Trust and Eagle Ridge specified that Eagle Ridge was not to assist customers in fulfilling the conditions necessary to redeem the vouchers. Prior to agreeing to enter into the Consumers Trust program, Eagle Ridge had discussions with the individual marketing the program and took a number of steps to ensure that the program was legitimate and the money it paid to Consumers Trust would be safeguarded, but did not make any specific inquiries or require specific confirmation that funds paid to Consumers Trust were held in a separate trust account on behalf of cashable voucher holders. Eagle Ridge participated in the program for approximately two months, during which time they sold 256 vehicles and issued 148 cashable vouchers. Approximately two weeks after starting the program, Eagle Ridge began requiring its customers to sign an acknowledgment which provided that they understood the voucher was a gift and that all future dealings with respect to the voucher were between the purchaser and Consumers Trust. In 2005, Consumers Trust filed for bankruptcy. Eagle Ridge did not make a claim in the bankruptcy proceedings or advise cashable voucher holders to do so. The plaintiff claimed that Eagle Ridge was negligent in making representations to the plaintiff that the voucher offer was legitimate and in failing to ascertain whether Consumers Trust had any legal existence in Canada, whether monies paid by Eagle Ridge were being held in accordance with the terms on the reverse side of the voucher, whether Eagle Ridge was operating pursuant to a valid trust agreement and whether funds held by Consumers Trust were insured.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9" w:name="Holdings of Court_24"/>
            <w:bookmarkEnd w:id="219"/>
            <w:r>
              <w:rPr>
                <w:rFonts w:ascii="arial" w:eastAsia="arial" w:hAnsi="arial" w:cs="arial"/>
                <w:color w:val="000000"/>
                <w:sz w:val="20"/>
                <w:lang w:val="en-US" w:eastAsia="en-US" w:bidi="ar-SA"/>
              </w:rPr>
              <w:t>HELD: Class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Eagle Ridge had a prima facie duty of care toward the plaintiff and other class members with respect to its representations regarding the cashable vouchers. It was reasonably foreseeable, given the defendant's knowledge and expertise about the cashable voucher program, that the plaintiff and other class members would rely on the defendant's representations in the advertisement and by the sales representatives and such reliance was reasonable in the circumstances. The defendant was under an obligation to be mindful of the plaintiff's legitimate interests in conducting its affairs. The defendant made statements in the advertisement that were inaccurate or misleading in that the advertisement suggested the offer was legitimate and it suggested that Eagle Ridge, and not a third party, was offering the opportunity to claim and receive the cash back. Eagle Ridge maintained a reasonable standard of care in its investigations of the cashable vouchers program and acted with reasonable prudence in reaching the conclusion that the cashable voucher program was legitimate. However, Eagle Ridge did not meet the requisite standard of care and was negligent with respect to statements in the advertisement which led purchasers to believe that it was responsible for the cashable voucher program.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0" w:name="Legislation Cited_21"/>
      <w:bookmarkEnd w:id="2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6"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Rule 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1" w:name="Counsel_33"/>
      <w:bookmarkEnd w:id="2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Marcus G. Bolda.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Eagle Ridge Pontiac GMC Ltd.: Philip J. Dadson.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2" w:name="Judgment_33"/>
      <w:bookmarkEnd w:id="222"/>
      <w:r>
        <w:pict>
          <v:line id="_x0000_s1188"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3" w:name="C.L. SMITH J._0"/>
            <w:bookmarkEnd w:id="223"/>
            <w:r>
              <w:rPr>
                <w:rFonts w:ascii="arial" w:eastAsia="arial" w:hAnsi="arial" w:cs="arial"/>
                <w:b/>
                <w:color w:val="000000"/>
                <w:sz w:val="30"/>
                <w:lang w:val="en-US" w:eastAsia="en-US" w:bidi="ar-SA"/>
              </w:rPr>
              <w:t>C.L.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under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is against Eagle Ridge Pontiac GMC Ltd. ("Eagle Ridge" or "the defendant"). Proceedings against the other defendants have been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Barbara Payne, the representative plaintiff, seeks damages against Eagle Ridge arising from alleged negligent misrepresentations to members of the certified class in connection with purchases of motor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statement of claim filed on June 2, 2006, alleges that Eagle Ridge, The Consumers Trust and the directing minds behind The Consumers Trust ("Consumers Trust") conspired together for the illegal purpose of inducing consumers to make purchases they would not otherwise make, or at prices they would not otherwise pay, by offering "Cashable Vouchers". The conspiracy claim was withdrawn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proceeded with her claim that Eagle Ridge was negligent in making representations to the plaintiff that the voucher offer was legitimate and in failing to ascertain whether Consumers Trust was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In particular, the plaintiff claims that the defendant failed to determine whether Consumers Trust had any legal existence in Canada, whether monies paid by Eagle Ridge were being held in accordance with the terms on the reverse side of the voucher, whether Eagle Ridge was operating pursuant to a valid trust agreement, and whether funds held by Consumers Trust were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class proceeding was certified by Order of this Court on August 10, 2007. In that Order, Barbara Payne was appointed as the representative plaintiff for the class. The class was defined as "all persons who were issued a document entitled 'Cashable Voucher', purporting to be issued by Consumers Trust, and who received such document from Eagle Ridge Buick GMC Ltd. between October 6 and November 26, 2003". The common issues, defined in the certification order and subsequently amended following the submissions of counsel at the trial, are:</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Eagle Ridge owed a duty of care to the plaintiff and other members of the certified class with respect to its statements about the Cashable Vouchers in its public advertisements and through its sales representatives;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Eagle Ridge breached its duty by making negligent representations about the Cashable Voucher program;</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Eagle Ridge was negligent in its investigations undertaken to ascertain whether the preferred "Cashable Vouchers" had value;</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Eagle Ridge was negligent in its training of and instructions to its employees regarding the Cashable Voucher program;</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was a conspiracy between the defendant Eagle Ridge and Consumers Trust; and</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representations could form part of the contracts made with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conspiracy and breach of contract claims have been abandoned and accordingly I will not determine the latter two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trial proceeded, by consent, by way of Special Case pursuant to Rule 33, with an agreed statement of facts. That agreed statement of facts included the transcript of the Examination for Discovery of Brian Knox, the manager of the defendant. In addition, the parties agreed that the affidavits filed for the class certification application were part of the 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These are my reasons for judgment on the first three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for the fourth common issue, whether the defendant was negligent in training and providing instructions to its sales representatives regarding the Cashable Voucher program, the evidence consisted solely of the written materials provided to the sales representatives as part of their training about the program. There was no evidence as to what other instruction, if any, was given to the sales representatives, or as to the context in which they received that instruction. Further, there was no evidence that would permit me to determine the applicable standard of care. Having considered the submissions of the parties and upon reflection, I have concluded that I cannot determine that issue on the agreed statement of facts pursuant to the Special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October 9, 2003, the representative plaintiff, Barbara Payne, purchased a used Pontiac Sunfire vehicle from Eagle Ridge for $15,248. She deposed that she was attracted to Eagle Ridge by an advertisement in the October 8, 2003 issue of the </w:t>
      </w:r>
      <w:r>
        <w:rPr>
          <w:rFonts w:ascii="arial" w:eastAsia="arial" w:hAnsi="arial" w:cs="arial"/>
          <w:i/>
          <w:color w:val="000000"/>
          <w:sz w:val="20"/>
          <w:lang w:val="en-US" w:eastAsia="en-US" w:bidi="ar-SA"/>
        </w:rPr>
        <w:t>Tri-City News</w:t>
      </w:r>
      <w:r>
        <w:rPr>
          <w:rFonts w:ascii="arial" w:eastAsia="arial" w:hAnsi="arial" w:cs="arial"/>
          <w:color w:val="000000"/>
          <w:sz w:val="20"/>
          <w:lang w:val="en-US" w:eastAsia="en-US" w:bidi="ar-SA"/>
        </w:rPr>
        <w:t>, published in Coquitlam, Port Coquitlam and Port Moody, B.C. The advertisement (a blurred photocopy of which was produced)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A MISPRINT!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EAGLE RIDGE PONTIAC IS OFFERING AN OPPORTUNITY TO CLAIM &amp; RECEIVE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 TO $30,000 CASH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car dealer has ever offered you the opportunity to claim and receive up to $30,000 cash back on a new or used vehicle purchase? If you think that this is too good to be true ... well think again, [illegible] Pontiac is doing just that! We are the only GM dealer in the lower [illegible] incredible opportunity, but act now as this is only for a limited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2002 Sunfire. ... $88 payment. ... Plus you get a $6,000 Cashable Voucher.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Ms. Payne made the vehicle purchase, she was offered a Cashable Voucher for $6,000, redeemable three years after the date of issue. She deposed that when she questioned whether she would ever receive the $6,000, Eagle Ridge employees told her that the Cashable Voucher program was "for real" and that in three years she would receive $6,000. Her evidence is that she would not have made the purchase if she had not been offered the Cashable Voucher. At about the same time that she signed the purchase agreement, the office manager prepared and gave her a voucher with a face amount of $6,000 and read to her the terms and conditions on the reverse side of the document. She did not ask for a reduction in the price of the vehicle in lieu of receiving a Cashable Voucher. She read the terms and conditions of the voucher when she got home and understood that she would have to follow the instructions in order to receive money from Consumers Trust. She was aware that the voucher was issued by Consumers Trust but thought that Consumers Trust was a part of General Motors.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Cashable Vouchers were issued by Eagle Ridge pursuant to an agreement with Consumers Trust, a now-bankrupt organization based in the United Kingdom. Under the agreement, Eagle Ridge could use the vouchers as a sales promotion for a fee of 15% of the written value of the vouchers issued, to be paid to Consumers Trust. The trustees of Consumers Trust were to set aside and hold in trust the money received from Eagle Ridge and other participating companies, which funds would form a pool from which holders would be entitled to redeem their Cashable Vouchers.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underlying premise of the program was that the majority of the holders of Cashable Vouchers would neglect or fail to comply with the very specific and stringent terms and conditions for redemption that were printed on the reverse side of each Cashable Voucher. In fact, the agreement specified that Eagle Ridge was not to assist customers in fulfilling the conditions necessary to redeem the vouchers, for example, by reminding them to send in the documents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vouchers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SOME SIMPLE BUT IMPORTANT VOUCHER HOLDER RULES TO REMEMBER WHICH ARE: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SEVEN DAYS OF THE ISSUE DATE SHOWN ON THE REVERSE SIDE ("ISSUE DATE") YOU MUST SUBMIT AN INITIAL REGISTRATION ("INITIAL REGISTRATION") BY SIGNING WHERE INDICATED AND THEN MAIL A PHOTOCOPY OF BOTH SIDES OF THIS VOUCHER BY REGISTERED MAIL ONLY TO THE TRUST AT THE CANADIAN ADMINISTRATION ADDRESS.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SEVEN DAYS AFTER THE THIRD ANNIVERSARY OF THE ISSUE DATE YOU MUST SUBMIT A CLAIM BY SENDING THIS ORIGINAL VOUCHER TO THE TRUST AT THE CANADIAN ADMINISTRATION ADDRESS BY REGISTERED MAIL ONLY TOGETHER WITH THE ORIGINAL DOCUMENTS SPECIFIED IN (A), (B) AND (C) BELOW AND THE DOCUMENTS SPECIFIED IN (D) BELOW ("CLAIM"). THE DOCUMENTS WILL BE RETURNED TO YOU BY REGISTERED MAIL WITHIN 28 DAYS.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INVOICE, RECEIPT OR RENTAL/LEASE/FINANCE AGREEMENT OBTAINED AGAINST YOUR ACQUISITION OF THE ITEM(S).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WRITTEN PROOF OF PAYMENT OF THE ITEM(S) OR PAYMENT TO DATE FOR RENTAL/LEASE/FINANCE OF THE ITEM(S) IN THE FORM OF RELEVANT BANK STATEMENT(S) OR IF PAID BY CASH A RELEVANT RECEIPT(S) OR OTHER SIMILAR DOCUMENTARY PROOF.</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YOUR REGISTERED MAIL RECEIPTS RELATING TO INITIAL REGISTRATION AND CLAIM BOTH OF WHICH MUST SHOW CLEAR ORIGINAL POSTAL DATE MARKING BY THE ISSUER.</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CERTIFIED COPY OF YOUR BIRTH CERTIFICATE TO PROVE YOUR IDENTITY TOGETHER WITH A PHOTOCOPY OF A CURRENT UTILITY BILL TO PROVE YOUR CURRENT ADDRESS DETAILS.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VOUCHER MATURITY HAS NOT OCCURRED BY 60 DAYS AFTER THE THIRD ANNIVERSARY OF THE ISSUE DATE THE TRUST WILL WRITE TO ALL HOLDERS WHO HAVE COMPLIED WITH THE TERMS AND CONDITIONS HEREIN AND OFFER TO REDEEM EACH VOUCHER FOR PAYMENT WITHIN 28 DAYS OF A SPECIFIED SUM EQUAL IN TRUE PERCENTAGE TERMS TO THE WRITTEN VALUE OF EACH VOUCHER AS IT RELATES TO THE VALUE OF THE WEEKLY FUND AT THAT TIME ("REDEMPTION PAYMENT").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DECIDE NOT TO ACCEPT REDEMPTION PAYMENT WE WILL AUTOMATICALLY PAY YOU THE FULL WRITTEN VALUE OF YOUR VOUCHER ON MATURITY BY REGISTERED 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holders of the vouchers were not necessarily entitled to receive the full amount stated on the vouchers, even if they complied with the conditions, but only their proportional share of a fund at 60 days after the third anniversary of the issue date (as described in para. 3 of the conditions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Prior to agreeing to enter into the Consumers Trust program, Eagle Ridge had discussions with the individual who was marketing it (Howard Olsen), and took a number of steps to ensure that the program was legitimate and that the money it paid to Consumers Trust would be safeguarded.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Brian Knox, the General Manager of Eagle Ridge, described the inquiries he made to determine the viability of the vouchers.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sought and obtained a document dated March 25, 2002, setting out the terms of the trust. The settlor was Eurofinance SA, a Gibraltar company, and the trustees were Richard Caplan and Wesley Harrison both of Caplans Solicitors, an English law firm. The beneficiaries were defined as "the consumers (member of the public or otherwise) who have successfully participated by claiming validly in a sales promotion or promotions owned and operated by the Settlor". The trust was said to be irrevocable. The responsibilities of the trustees included the obligations of the trustees set forth in the Cashable Voucher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well, Eagle Ridge received a letter from the auditors and general accountants of Caplans Solicitors, stating that the law firm carried full "Professional Indemnity Insurance" to a figure of $2,400,000 per claim on an unlimited claims made basis through a Law Society approved major insurance company. The letter stated that in the "unlikely event" of Caplans ceasing to trade for any reason, the Law Society would, under those circumstances, automatically appoint a substitute firm of solicitors to replace them in their obligations, including any claim or claims required to be made against the insurance coverage. It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we confirm that from the payments made by merchants for their use of the cashable voucher promotion, funds (in Canadian dollars only) are held by Caplans Solicitors in a Canadian Trust Bank account, on an irrevocable basis, for the exclusive payment of validly made claims by voucher 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Eagle Ridge received a letter from Caplans Solicitors stating that the firm's "professional indemnity cover provides a combination of worldwide trustee bonding and insurance protection for funds held by the Trust to the level of GBP 1,000,000 (approx. $2,400,000 Canadian) per claim on an unlimited claims made basis in any year". The letter said that the insurance company was Standard and Poors listed with an "A" rating and approved by the Law Society of England and Wales, and that "our insurance coverage provides protection to both participating merchants and individual voucher holders in that the Trustees are fully bonded (even to the extent of being replaced by the Law Society in the event of serious malpractice) and all funds held by the Trust are fully protected against financial misconduct by the Trustees or any other party working with or with the authority of the Trustees." Attached was a copy of the Certificate of Qualifying Insurance and other material confirming the details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Eagle Ridge did not make any specific inquiries or require specific confirmation that funds paid to Consumers Trust were, in fact, held in a separate trust account on behalf of Cashable Voucher 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Brian Knox testified at his Examination for Discovery that he was concerned about the track record of Consumers Trust because Eagle Ridge would be sending them a lot of money, and he wanted to know how the program worked. He said that he was told that Consumers Trust had actuarial reports that less than 15 percent of people remember to fulfill the conditions, based on 12 years' experience in England. He said Eagle Ridge was concerned about whether this program was legitimate, but learned that it had been cleared by Ontario Consumer Affairs, the Federal Competitions Bureau, Manitoba Consumer Affairs and Alberta Consumer Affairs, and eventually in British Columbia. He testified that he also learned that another retailer, United Furniture, was going to take part in the program after one of its employees, who was a lawyer, had gone to London and had checked out the principals of Consumers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Eagle Ridge participated in the program between October 6 and the end of November, 2003. During that time Eagle Ridge sold a total of 256 vehicles and issued a total of 148 Cashable Vouchers. It placed the advertisement in the </w:t>
      </w:r>
      <w:r>
        <w:rPr>
          <w:rFonts w:ascii="arial" w:eastAsia="arial" w:hAnsi="arial" w:cs="arial"/>
          <w:i/>
          <w:color w:val="000000"/>
          <w:sz w:val="20"/>
          <w:lang w:val="en-US" w:eastAsia="en-US" w:bidi="ar-SA"/>
        </w:rPr>
        <w:t>Tri-City News</w:t>
      </w:r>
      <w:r>
        <w:rPr>
          <w:rFonts w:ascii="arial" w:eastAsia="arial" w:hAnsi="arial" w:cs="arial"/>
          <w:color w:val="000000"/>
          <w:sz w:val="20"/>
          <w:lang w:val="en-US" w:eastAsia="en-US" w:bidi="ar-SA"/>
        </w:rPr>
        <w:t xml:space="preserve"> (to which Ms. Payne responded) on or about October 8,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October 17, 2003, Eagle Ridge introduced a requirement that customers receiving Cashable Vouchers would have to sign an acknowledgement, worded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undersigned hereby acknowledges receipt of cashable voucher #_______. The undersigned acknowledges and fully understands this is a gift and as per the terms of the program, Eagle Ridge Buick GMC Ltd. cannot correspond or remind the undersigned about the program. In addition, all future dealings are between the undersigned and The Consumer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However, not much later, Eagle Ridge ended its participation in the Cashable Voucher program. Mr. Knox's evidence was that Eagle Ridge decided to withdraw because vehicle sales were going down, people seemed to be fixated on the Cashable Vouchers, and the sales department hated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Consumers Trust filed for bankruptcy in December 2005. Eagle Ridge did not make a claim in the bankruptcy proceedings or advise Cashable Voucher holders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Hedley Byrne &amp; Co. v. Heller &amp; Partners Ltd.,</w:t>
      </w:r>
      <w:r>
        <w:rPr>
          <w:rFonts w:ascii="arial" w:eastAsia="arial" w:hAnsi="arial" w:cs="arial"/>
          <w:color w:val="000000"/>
          <w:sz w:val="20"/>
          <w:lang w:val="en-US" w:eastAsia="en-US" w:bidi="ar-SA"/>
        </w:rPr>
        <w:t xml:space="preserve"> [1964] A.C. 465, [1963] All E.R. 575 (H.L.), the starting point for the law of negligent misstatement, has been significantly modified by more recent jurisprudence in Canada. In </w:t>
      </w:r>
      <w:r>
        <w:rPr>
          <w:rFonts w:ascii="arial" w:eastAsia="arial" w:hAnsi="arial" w:cs="arial"/>
          <w:b/>
          <w:i/>
          <w:color w:val="000000"/>
          <w:sz w:val="20"/>
          <w:lang w:val="en-US" w:eastAsia="en-US" w:bidi="ar-SA"/>
        </w:rPr>
        <w:t>Hedley Byrne</w:t>
      </w:r>
      <w:r>
        <w:rPr>
          <w:rFonts w:ascii="arial" w:eastAsia="arial" w:hAnsi="arial" w:cs="arial"/>
          <w:color w:val="000000"/>
          <w:sz w:val="20"/>
          <w:lang w:val="en-US" w:eastAsia="en-US" w:bidi="ar-SA"/>
        </w:rPr>
        <w:t>, a bank (Heller) negligently provided a positive credit report to the plaintiff in respect of one of the plaintiff's customers, Easipower. The plaintiff relied on the information and took responsibility for some of Easipower's business liabilities, suffering a loss when Easipower went bankrupt. The bank had sought to shield itself from liability by including a written disclaimer in its original report. The House of Lords found that the relationship between Hedley Byrne and Heller was sufficiently proximate to create a duty of care: Heller should have known that Hedley Byrne would rely on its representations. However, in the outcome, Heller was absolved of liability for Hedley Byrne's loss because of it had employed an effective disclaimer.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Supreme Court of Canada has adopted and modified the </w:t>
      </w:r>
      <w:r>
        <w:rPr>
          <w:rFonts w:ascii="arial" w:eastAsia="arial" w:hAnsi="arial" w:cs="arial"/>
          <w:b/>
          <w:i/>
          <w:color w:val="000000"/>
          <w:sz w:val="20"/>
          <w:lang w:val="en-US" w:eastAsia="en-US" w:bidi="ar-SA"/>
        </w:rPr>
        <w:t>Hedley Byrne</w:t>
      </w:r>
      <w:r>
        <w:rPr>
          <w:rFonts w:ascii="arial" w:eastAsia="arial" w:hAnsi="arial" w:cs="arial"/>
          <w:color w:val="000000"/>
          <w:sz w:val="20"/>
          <w:lang w:val="en-US" w:eastAsia="en-US" w:bidi="ar-SA"/>
        </w:rPr>
        <w:t xml:space="preserve"> principle concerning duty of care for negligent misstatement: see </w:t>
      </w:r>
      <w:r>
        <w:rPr>
          <w:rFonts w:ascii="arial" w:eastAsia="arial" w:hAnsi="arial" w:cs="arial"/>
          <w:b/>
          <w:i/>
          <w:color w:val="000000"/>
          <w:sz w:val="20"/>
          <w:lang w:val="en-US" w:eastAsia="en-US" w:bidi="ar-SA"/>
        </w:rPr>
        <w:t>Queen v. Cognos,</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45 C.C.E.L. 153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Hercules Management Ltd. v. Ernst &amp; Young</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146 D.L.R. (4th) 577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Queen v. Cognos</w:t>
      </w:r>
      <w:r>
        <w:rPr>
          <w:rFonts w:ascii="arial" w:eastAsia="arial" w:hAnsi="arial" w:cs="arial"/>
          <w:color w:val="000000"/>
          <w:sz w:val="20"/>
          <w:lang w:val="en-US" w:eastAsia="en-US" w:bidi="ar-SA"/>
        </w:rPr>
        <w:t xml:space="preserve">, the Court referred (at 110) to the five criteria established in </w:t>
      </w:r>
      <w:r>
        <w:rPr>
          <w:rFonts w:ascii="arial" w:eastAsia="arial" w:hAnsi="arial" w:cs="arial"/>
          <w:b/>
          <w:i/>
          <w:color w:val="000000"/>
          <w:sz w:val="20"/>
          <w:lang w:val="en-US" w:eastAsia="en-US" w:bidi="ar-SA"/>
        </w:rPr>
        <w:t>Hedley Byrne</w:t>
      </w:r>
      <w:r>
        <w:rPr>
          <w:rFonts w:ascii="arial" w:eastAsia="arial" w:hAnsi="arial" w:cs="arial"/>
          <w:color w:val="000000"/>
          <w:sz w:val="20"/>
          <w:lang w:val="en-US" w:eastAsia="en-US" w:bidi="ar-SA"/>
        </w:rPr>
        <w:t xml:space="preserve"> for a finding of negligent misrepresentation: (1) the duty of care must be founded on a special relationship between the person making the representation and the person receiving it; (2) the representation must be untrue, inaccurate or misleading; (3) the representor must have acted negligently in making the representation; (4) the representee must have acted reasonably in relying on it; and (5) the reliance must have been detrimental to the representee in that it resulted 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Hercules Management</w:t>
      </w:r>
      <w:r>
        <w:rPr>
          <w:rFonts w:ascii="arial" w:eastAsia="arial" w:hAnsi="arial" w:cs="arial"/>
          <w:color w:val="000000"/>
          <w:sz w:val="20"/>
          <w:lang w:val="en-US" w:eastAsia="en-US" w:bidi="ar-SA"/>
        </w:rPr>
        <w:t xml:space="preserve">, a case concerning alleged misrepresentations made to shareholders in an auditor's report, the Supreme Court reconciled the negligent misrepresentation cases with the overarching principles regarding duty of care that were stated in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[1977] 2 All E.R. 492 (H.L.). It ruled that the two-stage test from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should be applied, with some modifications, to determine whether a duty of care exists. This approach has more recently been affirmed in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Court explained in </w:t>
      </w:r>
      <w:r>
        <w:rPr>
          <w:rFonts w:ascii="arial" w:eastAsia="arial" w:hAnsi="arial" w:cs="arial"/>
          <w:b/>
          <w:i/>
          <w:color w:val="000000"/>
          <w:sz w:val="20"/>
          <w:lang w:val="en-US" w:eastAsia="en-US" w:bidi="ar-SA"/>
        </w:rPr>
        <w:t>Hercules Management</w:t>
      </w:r>
      <w:r>
        <w:rPr>
          <w:rFonts w:ascii="arial" w:eastAsia="arial" w:hAnsi="arial" w:cs="arial"/>
          <w:color w:val="000000"/>
          <w:sz w:val="20"/>
          <w:lang w:val="en-US" w:eastAsia="en-US" w:bidi="ar-SA"/>
        </w:rPr>
        <w:t xml:space="preserve"> that the first stage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requires a decision as to whether the defendant-representor and plaintiff-representee were in a relationship of proximity or neighbourhood (at para. 22). The Court then stated at paras. 23-24: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order to render "proximity" a useful tool in defining when a duty of care exists in negligent misrepresentation cases, therefore, it is necessary to infuse that term with some meaning. In other words, it is necessary to set out the basis upon which one may properly reach the conclusion that proximity inheres between a representor and a representee.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can be done most clearly as follows. The label "proximity", as it was used by Lord Wilberforce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supra, was clearly intended to connote that the circumstances of the relationship inhering between the plaintiff and the defendant are of such a nature that the defendant may be said to be under an obligation to be mindful of the plaintiff's legitimate interests in conducting his or her affairs. Indeed, this idea lies at the very heart of the concept of a "duty of care", as articulated most memorably by Lord Atkin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at pp. 580-81. In cases of negligent misrepresentation, the relationship between the plaintiff and the defendant arises through reliance by the plaintiff on the defendant's words. Thus, if "proximity" is meant to distinguish the cases where the defendant has a responsibility to take reasonable care of the plaintiff from those where he or she has no such responsibility, then in negligent misrepresentation cases, it must pertain to some aspect of the relationship of reliance. </w:t>
      </w:r>
      <w:r>
        <w:rPr>
          <w:rFonts w:ascii="arial" w:eastAsia="arial" w:hAnsi="arial" w:cs="arial"/>
          <w:color w:val="000000"/>
          <w:sz w:val="20"/>
          <w:u w:val="single"/>
          <w:lang w:val="en-US" w:eastAsia="en-US" w:bidi="ar-SA"/>
        </w:rPr>
        <w:t xml:space="preserve">To my mind, proximity can be seen to inhere between a defendant-representor and a plaintiff-representee when two criteria relating to reliance may be said to exist on the facts: (a) the defendant ought reasonably to foresee that the plaintiff will rely on his or her representation; and (b) reliance by the plaintiff would, in the particular circumstances of the case, be reasonable. To use the term employed by my colleague, Iacobucci J., in </w:t>
      </w:r>
      <w:r>
        <w:rPr>
          <w:rFonts w:ascii="arial" w:eastAsia="arial" w:hAnsi="arial" w:cs="arial"/>
          <w:i/>
          <w:color w:val="000000"/>
          <w:sz w:val="20"/>
          <w:u w:val="single"/>
          <w:lang w:val="en-US" w:eastAsia="en-US" w:bidi="ar-SA"/>
        </w:rPr>
        <w:t>Cognos</w:t>
      </w:r>
      <w:r>
        <w:rPr>
          <w:rFonts w:ascii="arial" w:eastAsia="arial" w:hAnsi="arial" w:cs="arial"/>
          <w:color w:val="000000"/>
          <w:sz w:val="20"/>
          <w:u w:val="single"/>
          <w:lang w:val="en-US" w:eastAsia="en-US" w:bidi="ar-SA"/>
        </w:rPr>
        <w:t>, supra, at p. 110, the plaintiff and the defendant can be said to be in a "special relationship" whenever these two factors inhere.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Thus, the key questions are: 1) whether it was reasonably foreseeable that the plaintiff would rely on the representation, and 2) whether reliance by the plaintiff was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(at para. 43) listed five indicia of reasonable reliance:</w:t>
      </w:r>
      <w:r>
        <w:rPr>
          <w:rFonts w:ascii="arial" w:eastAsia="arial" w:hAnsi="arial" w:cs="arial"/>
          <w:sz w:val="20"/>
          <w:lang w:val="en-US" w:eastAsia="en-US" w:bidi="ar-SA"/>
        </w:rPr>
        <w:cr/>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a direct or indirect financial interest in the transaction in respect of which the representation was made (this factor is often referred to simply as "pecuniary interest");</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 professional or someone possessed of special skill, judgment or knowledge;</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advice or information was provided in the course of the defendant's business;</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was given deliberately and not at a social event; and</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was given in response to a specific inquiry or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overarching question is set out in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xml:space="preserve"> at paras. 33-34: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this Court stated in </w:t>
      </w:r>
      <w:r>
        <w:rPr>
          <w:rFonts w:ascii="arial" w:eastAsia="arial" w:hAnsi="arial" w:cs="arial"/>
          <w:i/>
          <w:color w:val="000000"/>
          <w:sz w:val="20"/>
          <w:lang w:val="en-US" w:eastAsia="en-US" w:bidi="ar-SA"/>
        </w:rPr>
        <w:t>Hercules Managements Ltd. v. Ernst &amp; Young</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at para. 24, per La Forest 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label "proximity", as it was used by Lord Wilberforce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was clearly intended to connote that the circumstances of the relationship inhering between the plaintiff and the defendant are of </w:t>
      </w:r>
      <w:r>
        <w:rPr>
          <w:rFonts w:ascii="arial" w:eastAsia="arial" w:hAnsi="arial" w:cs="arial"/>
          <w:color w:val="000000"/>
          <w:sz w:val="20"/>
          <w:u w:val="single"/>
          <w:lang w:val="en-US" w:eastAsia="en-US" w:bidi="ar-SA"/>
        </w:rPr>
        <w:t>such a nature that the defendant may be said to be under an obligation to be mindful of the plaintiff's legitimate interests in conducting his or her affairs</w:t>
      </w:r>
      <w:r>
        <w:rPr>
          <w:rFonts w:ascii="arial" w:eastAsia="arial" w:hAnsi="arial" w:cs="arial"/>
          <w:color w:val="000000"/>
          <w:sz w:val="20"/>
          <w:lang w:val="en-US" w:eastAsia="en-US" w:bidi="ar-SA"/>
        </w:rPr>
        <w:t xml:space="preserve">. [Emphasis added by the Court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Defining the relationship may involve looking at expectations, representations, reliance, and the property or other interests involved. Essentially, these are factors that allow us to evaluate the closeness of the relationship between the plaintiff and the defendant and to determine whether it is just and fair having regard to that relationship to impose a duty of care in law upon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second stage, requiring determination of whether a finding of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should be negated on public policy grounds, arises only when the case is "novel" and does not fall within a previously recognized category: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at para. 39. The Court referred, at para. 36, to liability for negligent misstatement as a previously recognized category of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Micron Construction Ltd. v. Hongkong Bank</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2000 BCCA 141</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184 D.L.R. (4th) 75</w:t>
        </w:r>
      </w:hyperlink>
      <w:r>
        <w:rPr>
          <w:rFonts w:ascii="arial" w:eastAsia="arial" w:hAnsi="arial" w:cs="arial"/>
          <w:color w:val="000000"/>
          <w:sz w:val="20"/>
          <w:lang w:val="en-US" w:eastAsia="en-US" w:bidi="ar-SA"/>
        </w:rPr>
        <w:t>, at para. 103, Esson J.A. for the majority in the Court of Appeal suggested that the confusion inherent in the term "reasonable reliance" might be reduced if the term "justifiable reliance" were used to state the test for imposing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confusion inherent in the term "reasonable reliance" might be reduced if the term "justifiable reliance" was employed to state the test for imposing liability. That is a term which Professor Blom has employed in this context, as in this passage in his 1986-1987 article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para. 86) at p. 283: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suggest the following general proposition, the underlying rationale of which extends beyond negligent misstatement to all forms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a case of negligent misstatement causing pure economic loss on a contract or other financial transaction, it is not enough that the average person would foreseeably rely on the defendant's statements. The defendant owes the plaintiff no duty of care unless a reasonably prudent and sceptical person, in the plaintiff's position, would have been led by the defendant's words or conduct to believe that he had an assurance of the defendant's taking reasonable care, equivalent in weight to the defendant's promise.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Only in such a case can the plaintiff truly be said to have placed justifiable reliance on the defendant. This distinction between the plaintiff who foreseeably relies, and the plaintiff who is justified in relying, also mitigates the risk of liability to an indeterminately large group. The relationship between the defendant and such a large group will seldom justify the inference of an assurance like the one suggested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Some recent cases of this Court, applying the principles regarding negligent misrepresentation, were brought to my attention: </w:t>
      </w:r>
      <w:r>
        <w:rPr>
          <w:rFonts w:ascii="arial" w:eastAsia="arial" w:hAnsi="arial" w:cs="arial"/>
          <w:b/>
          <w:i/>
          <w:color w:val="000000"/>
          <w:sz w:val="20"/>
          <w:lang w:val="en-US" w:eastAsia="en-US" w:bidi="ar-SA"/>
        </w:rPr>
        <w:t>Kumar v. Picco</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2007 BCSC 1669</w:t>
        </w:r>
      </w:hyperlink>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53 C.C.L.T. (3d) 300</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VSH Management Inc. v. Neufeld</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2002 BCSC 755</w:t>
        </w:r>
      </w:hyperlink>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[2002] 9 W.W.R. 709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applying the law to the facts of this case, I will address the following questions, relating to the common issues:</w:t>
      </w:r>
      <w:r>
        <w:rPr>
          <w:rFonts w:ascii="arial" w:eastAsia="arial" w:hAnsi="arial" w:cs="arial"/>
          <w:sz w:val="20"/>
          <w:lang w:val="en-US" w:eastAsia="en-US" w:bidi="ar-SA"/>
        </w:rPr>
        <w:cr/>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Eagle Ridge owe the plaintiff and other class members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 make representations to the plaintiff or other members of the class through the advertisement in the </w:t>
      </w:r>
      <w:r>
        <w:rPr>
          <w:rFonts w:ascii="arial" w:eastAsia="arial" w:hAnsi="arial" w:cs="arial"/>
          <w:i/>
          <w:color w:val="000000"/>
          <w:sz w:val="20"/>
          <w:lang w:val="en-US" w:eastAsia="en-US" w:bidi="ar-SA"/>
        </w:rPr>
        <w:t>Tri-City News</w:t>
      </w:r>
      <w:r>
        <w:rPr>
          <w:rFonts w:ascii="arial" w:eastAsia="arial" w:hAnsi="arial" w:cs="arial"/>
          <w:color w:val="000000"/>
          <w:sz w:val="20"/>
          <w:lang w:val="en-US" w:eastAsia="en-US" w:bidi="ar-SA"/>
        </w:rPr>
        <w:t xml:space="preserve"> that were false, inaccurate or misleading?</w:t>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in making the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Because the nature of the evidence presented in the Special Case regarding representations by the defendant's employees to individual class members including the plaintiff does not permit sufficiently detailed findings of fact, I will make no findings of fact. Such findings can be made on an individual basis. As well, the determination of the final two elements of negligent misrepresentation as described in </w:t>
      </w:r>
      <w:r>
        <w:rPr>
          <w:rFonts w:ascii="arial" w:eastAsia="arial" w:hAnsi="arial" w:cs="arial"/>
          <w:b/>
          <w:i/>
          <w:color w:val="000000"/>
          <w:sz w:val="20"/>
          <w:lang w:val="en-US" w:eastAsia="en-US" w:bidi="ar-SA"/>
        </w:rPr>
        <w:t>Queen v. Cognos</w:t>
      </w:r>
      <w:r>
        <w:rPr>
          <w:rFonts w:ascii="arial" w:eastAsia="arial" w:hAnsi="arial" w:cs="arial"/>
          <w:color w:val="000000"/>
          <w:sz w:val="20"/>
          <w:lang w:val="en-US" w:eastAsia="en-US" w:bidi="ar-SA"/>
        </w:rPr>
        <w:t xml:space="preserve"> must be made on an individual basis: (1) the extent to which the plaintiff or members of the class relied upon the defendant's representations (including representations made in the advertisement or by the defendant's employees) and whether their reliance was reasonable; and (2) whether such reliance was to their detriment in that it resulted in damages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alleged that Eagle Ridge made representations to customers in two ways: through its newspaper advertisements and through its sales representatives' presentations to customers. The plaintiff says that Eagle Ridge had "special knowledge" of the Cashable Voucher program, giving rise to a special relationship between Eagle Ridge and its customers resulting in a duty of care, and that Eagle Ridge should have foreseen that its customers would rely on the representations it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Bolda, counsel for the plaintiff, cited the text of the advertisement in support of the plaintiff's claim that Eagle Ridge misled customers with respect to the promotional offer. He argued that the wording "Eagle Ridge Pontiac is offering an opportunity to claim and receive ... up to $30,000 CASH BACK" suggested that Eagle Ridge was standing behind the Cashable Vouchers and reasonably led the plaintiff to believe that Consumers Trust was a part of General Motors. He argued as well that the use of the term "cashable" reasonably leads to the inference that the vouchers can be converted into ready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asserted that Eagle Ridge, by allowing customers to think that it was Eagle Ridge, not Consumers Trust, which offered the opportunity, failed to meet the standard of care required of a reasonable person in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Bolda also submitted that Eagle Ridge failed to undertake due diligence with respect to Consumer Trust and argued that the agreement the defendant signed with Consumers Trust contained a number of "red flags" that should have alerted it to the possibility of fraud. He referred in particular to: the assumption that the majority of customers would forget or neglect to fulfill the conditions to make them eligible to receive the cash back; and the lack of confirmation that funds paid to Consumers Trust were in fact held in a separate trust account on behalf of Cashable Voucher 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denied that it owed the plaintiff a duty of care. As I understand Mr. Dadson's submission on behalf of the defendant, this was on the basis that: (1) reliance was not foreseeable in this case because the vouchers were presented as gifts; and (2) policy considerations militate against the imposition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this regard, Mr. Dadson argued that the plaintiff is really trying to use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impose on the defendant an obligation to guarantee another's obligation. He asked, "... would a promotion involving gifts of travel tickets require the giver to pay for the travel if the airline from which the ticket is purchased goes out of business?", suggesting that the answer would obviously be in the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for the defendant further argued that the advertisement must not be viewed in isolation, since it played only a small role in the manner in which the program was described to the customers. He submitted that the defendant exercised due diligence both in inquiring as to the validity of the vouchers and in describing them to its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Did Eagle Ridge owe the plaintiff and other class members a </w:t>
      </w:r>
      <w:r>
        <w:rPr>
          <w:rFonts w:ascii="arial" w:eastAsia="arial" w:hAnsi="arial" w:cs="arial"/>
          <w:b/>
          <w:i/>
          <w:color w:val="000000"/>
          <w:sz w:val="20"/>
          <w:lang w:val="en-US" w:eastAsia="en-US" w:bidi="ar-SA"/>
        </w:rPr>
        <w:t>prima facie</w:t>
      </w:r>
      <w:r>
        <w:rPr>
          <w:rFonts w:ascii="arial" w:eastAsia="arial" w:hAnsi="arial" w:cs="arial"/>
          <w:b/>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questions at this stage are (a) whether it was reasonably foreseeable that the plaintiff and other class members would rely on the defendant's representations, and (b) whether reliance by the plaintiff and other class members on the defendant's representations was reasonable or justifiable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a starting point, it is obvious that when a car dealership advertises a promotional program designed to bring customers into its place of business, and promotes the program through its sales representatives, it is reasonably foreseeable that customers will rely on what is said about the program in the advertisement and by the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also note the following with respect to the five indicia of reliance approved by the Supreme Court of Canada in </w:t>
      </w:r>
      <w:r>
        <w:rPr>
          <w:rFonts w:ascii="arial" w:eastAsia="arial" w:hAnsi="arial" w:cs="arial"/>
          <w:b/>
          <w:i/>
          <w:color w:val="000000"/>
          <w:sz w:val="20"/>
          <w:lang w:val="en-US" w:eastAsia="en-US" w:bidi="ar-SA"/>
        </w:rPr>
        <w:t>Hercules Management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Direct or indirect financial interest in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voucher offer was an incentive for prospective customers, such as the class members, to come to the dealership and discuss the purchase of vehicles. The defendant had a financial interest in the hoped-for transactions.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 Expertise and knowledge of the representor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subject-matter of the representations was the Cashable Vouchers. Eagle Ridge had knowledge and expertise regarding the vouchers, both in absolute terms and in relation to its customers.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 Information provided in the course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information given to customers about the vouchers was provided in the course of business.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Information given deliberately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information provided to customers was clearly given deliberately.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 Response to a specific inquiry or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advertisement featuring the Cashable Vouchers in the </w:t>
      </w:r>
      <w:r>
        <w:rPr>
          <w:rFonts w:ascii="arial" w:eastAsia="arial" w:hAnsi="arial" w:cs="arial"/>
          <w:i/>
          <w:color w:val="000000"/>
          <w:sz w:val="20"/>
          <w:lang w:val="en-US" w:eastAsia="en-US" w:bidi="ar-SA"/>
        </w:rPr>
        <w:t>Tri-City News</w:t>
      </w:r>
      <w:r>
        <w:rPr>
          <w:rFonts w:ascii="arial" w:eastAsia="arial" w:hAnsi="arial" w:cs="arial"/>
          <w:color w:val="000000"/>
          <w:sz w:val="20"/>
          <w:lang w:val="en-US" w:eastAsia="en-US" w:bidi="ar-SA"/>
        </w:rPr>
        <w:t xml:space="preserve"> was placed for the express purpose of attracting potential customers into the Eagle Ridge showroom. It was not responsive to a specific inquiry or request. However, it was otherwise with respect to the sales representative's statements to Ms. Payne; those were responsive to her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Taking all of those factors into account (and, in particular, the defendant's knowledge and expertise about the Cashable Voucher program, that was not available to the plaintiff and other members of the class), I find that it was reasonably foreseeable that the plaintiff and other class members would rely on the defendant's representations in the advertisement and by the defendant's sales representatives, and that such reliance was reasonable or justifiable in the circumstances. Thus, the relationship between the representative plaintiff and the defendant was such that the defendant was under an obligation to be mindful of the plaintiff's legitimate interests in conducting its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find that Eagle Ridge had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toward the plaintiff and other class members with respect to its representations regarding the Cashable Vouchers.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Did the defendant make representations to the plaintiff or other members of the class through the advertisement in the Tri-City News that were false, inaccurate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First, in the newspaper advertisement, the defendant advertised an "opportunity to claim and receive up to $30,000 cash back", and suggested -- by exhorting readers to "think again" if the offer looked "too good to be true" -- that the offer was legitimate and made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Second, Consumers Trust is not mentioned in the advertisement. Instead, the wording was, "What car dealer has ever offered you the opportunity to claim and receive ... cash back ..." and "[Eagle Ridge] Pontiac is doing just that!", followed by a reference to Eagle Ridge as the only "GM dealer" offering this opportunity. The advertisement thus suggests that the opportunity was to claim and receive cash back from Eagle Ridge or General Motors, rather than from a third party such as Consumers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find that the defendant made statements in the newspaper advertisement that were inaccurate or misleading, in two respects: (a) the advertisement suggested that the offer was legitimate; and (b) the advertisement suggested that it was not a third party, but the Eagle Ridge General Motors dealership that was offering the opportunity to claim and receive the cash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make no findings with respect to what was said by sales representatives to individual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Was the defendant negligent in making the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determining the standard of care to be applied, I note what the Supreme Court of Canada stated in </w:t>
      </w:r>
      <w:r>
        <w:rPr>
          <w:rFonts w:ascii="arial" w:eastAsia="arial" w:hAnsi="arial" w:cs="arial"/>
          <w:b/>
          <w:i/>
          <w:color w:val="000000"/>
          <w:sz w:val="20"/>
          <w:lang w:val="en-US" w:eastAsia="en-US" w:bidi="ar-SA"/>
        </w:rPr>
        <w:t>Stewart v. Pettie,</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121 D.L.R. (4th) 222</w:t>
        </w:r>
      </w:hyperlink>
      <w:r>
        <w:rPr>
          <w:rFonts w:ascii="arial" w:eastAsia="arial" w:hAnsi="arial" w:cs="arial"/>
          <w:color w:val="000000"/>
          <w:sz w:val="20"/>
          <w:lang w:val="en-US" w:eastAsia="en-US" w:bidi="ar-SA"/>
        </w:rPr>
        <w:t>,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primary purposes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is to enforce reasonable standards of conduct so as to prevent the creation of reasonably foreseeable risks. In this way, tort law serves as a disincentive to risk-creating behaviour. To impose liability even where the risk which materialized was not reasonably foreseeable is to lay a portion of the loss at the feet of a party who has, in the circumstances, acted reasonably. Tort law does not require the wisdom of Solomon. All it requires is that people act reasonably in the circumstances. The "reasonable person"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was described by Laidlaw J.A. in this way in </w:t>
      </w:r>
      <w:r>
        <w:rPr>
          <w:rFonts w:ascii="arial" w:eastAsia="arial" w:hAnsi="arial" w:cs="arial"/>
          <w:b/>
          <w:i/>
          <w:color w:val="000000"/>
          <w:sz w:val="20"/>
          <w:lang w:val="en-US" w:eastAsia="en-US" w:bidi="ar-SA"/>
        </w:rPr>
        <w:t>Arland v. Taylor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[1955] O.R. 131</w:t>
      </w:r>
      <w:r>
        <w:rPr>
          <w:rFonts w:ascii="arial" w:eastAsia="arial" w:hAnsi="arial" w:cs="arial"/>
          <w:color w:val="000000"/>
          <w:sz w:val="20"/>
          <w:lang w:val="en-US" w:eastAsia="en-US" w:bidi="ar-SA"/>
        </w:rPr>
        <w:t xml:space="preserve"> (C.A.), at p. 142: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is not an extraordinary or unusual creature; he is not superhuman; he is not required to display the highest skill of which anyone is capable; he is not a genius who can perform uncommon feats, nor is he possessed of unusual powers of foresight. He is a person of normal intelligence who makes prudence a guide to his conduct. He does nothing that a prudent man would not do and does not omit to do anything a prudent man would do. He acts in accord with general and approved practice. His conduct is guided by considerations which ordinarily regulate the conduct of human affairs. His conduct is the standard "adopted in the community by persons of ordinary intelligence and 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Did Eagle Ridge use prudence as a guide to its conduct, and adopt the standard of persons of ordinary intelligence and prudence when it made the statements in the newspaper advertisement?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begin with the representation about the legitimacy of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was not disputed at trial that the defendant honestly believed that the Consumers Trust Cashable Voucher program was legitimate and honestly believed that the defendant's customers would be able to obtain money from Consumers Trust if they complied with the program's (onerous)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That Eagle Ridge sent funds to Consumers Trust bespeaks, at a minimum, that it was acting in good faith and believed Consumers Trust was legitimate. It also supports an inference that the defendant had a financial incentive to take due care. The General Manager of Eagle Ridge, Brian Knox, testified at his Examination for Discovery that it was bad for business to have the car dealership associated with a fraudulent or money-losing venture and that he hoped, in embarking on the program, that it would produce happy customers who would come back, presumably to purchase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is nothing to suggest that when Eagle Ridge withdrew from the Cashable Voucher program, it did so for any reason other than that the Cashable Vouchers were reducing rather than increasing sales. The introduction of the disclaimer by Eagle Ridge partway through its participation appears to have come about because of the complexity involved in explaining to customers that Consumers Trust had the ultimate responsibility for payment of the vouchers.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find that Eagle Ridge had its own interests at stake in its agreement with Consumers Trust, that it believed in good faith that the Cashable Voucher program was legitimate, and that this belief was based on the responses Eagle Ridge received to a number of inquiries made to various parties about the program. The documentation Eagle Ridge received showed that a trust fund had been created, that the trustees were members of a reputable firm of solicitors in England, and that the obligations of the trustees were back-stopped by professional liability insurance. Eagle Ridge made reasonable efforts to determine whether Consumers Trust was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organization and whether it was likely that the program would pay out. It concluded that Consumers Trust was legitimate and that customers would receive their funds, provided they complied with the voucher requirements. While Eagle Ridge's principals knew that the availability of payments from the trust fund depended on most customers failing to achieve the redemption of their Cashable Vouchers, this in and of itself does not mean that Eagle Ridge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could have done more; for example, it could have sought specific confirmation that the funds it sent to Consumers Trust were held in a separate trust account on behalf of Cashable Voucher holders. However, it did conduct fairly extensive inquiries, from a number of sources, before it entered into the program and offered it to its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taking all of the circumstances into account, that Eagle Ridge maintained a reasonable standard of care in its investigations, and that it acted with reasonable prudence in reaching the conclusion that the Cashable Voucher program was legitimate.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turn to the second misrepresentation in the advertisement - that the Eagle Ridge General Motors dealership was the entity providing the opportunity to claim and receive cash back. In that regard, a reasonably prudent and intelligent person would have taken care to ensure that readers were not misled as to the entity they would be dealing with. I find that Eagle Ridge did not meet the requisite standard of care with respect to that representation, and that it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conclusions on the common issues that I have been able to determine on the evidence are: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Eagle Ridge owed a duty of care to the plaintiff and other class members with respect to statements made about the Cashable Vouchers in its advertisements and by its representatives;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Eagle Ridge made misrepresentations regarding the legitimacy of the Cashable Voucher program and the entity offering the vouchers;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Eagle Ridge maintained a reasonable standard of care in its investigations regarding the legitimacy of the Cashable Voucher program and in representing that the program was legitimate;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Eagle Ridge did not maintain a reasonable standard of care in making the representation that the offer came from itself rather than from Consumers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Decisions as to the granting of relief will await further submissions from the parties and determination of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Reddy v. Element Fleet Management Inc., [2015] B.C.J. No. 564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28,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S112600, S121941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564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465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Leelavathi Reddy a.k.a. Leela Reddy, Plaintiff, and Element Fleet Management Inc., Defendant And between Russ Reddy a.k.a. Purushotham Reddy, Plaintiff, and Accurate Effective Bailiffs Ltd., Element Fleet Management Inc., Does 1-10,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4" w:name="Keywords_34"/>
      <w:bookmarkEnd w:id="224"/>
      <w:r>
        <w:rPr>
          <w:rFonts w:ascii="arial" w:eastAsia="arial" w:hAnsi="arial" w:cs="arial"/>
          <w:b/>
          <w:color w:val="000000"/>
          <w:sz w:val="20"/>
          <w:lang w:val="en-US" w:eastAsia="en-US" w:bidi="ar-SA"/>
        </w:rPr>
        <w:t>Civil litigation — Civil procedure — Disposition without trial — Dismissal of action — Delay or failure to prosecute — Failure to comply with court order — Costs — Particular orders — Special orders — For reprehensible or inefficient conduct — Application by defendant to strike civil claims issued by plaintiffs and special costs allowed — Plaintiffs did not respond to request to schedule case planning conference, case planning orders and did not attend conference, examinations for discovery or application — Plaintiffs duly served at address provided — Plaintiffs' son requested adjournment on basis plaintiffs were in India but no one responded to defendant's response — While no orders for compliance had been made, plaintiffs' non-compliance with Rules and orders was persistent and they provided no explanation or assurance of future compliance — Conduct reprehensible and deserving of rebuke.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5" w:name="Case Summary_30"/>
            <w:bookmarkEnd w:id="2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to dismiss the plaintiffs' claims for non-compliance with Rules and orders. The plaintiffs were a husband and wife who had issued separate civil claims against the defendant. The husband's claim alleged he was assaulted during the defendant's repossession of a vehicle that was subject to a separate action by his son regarding the lease agreement. The husband did not respond to the defendant's request to schedule a case planning conference, did not file a proposal and did not attend the conference. A production order was made in the husband's absence, which he did not respond to or comply with, nor did he attend examination for discovery or the settlement conference. The wife's claim alleged fraudulent and negligent misrepresentation and breach of contract in relation to the lease. The wife sent a blank list of documents and requested the defendant's list, but did not respond to the defendant's request to schedule a case planning conference and did not attend the conference or examination for discovery. The plaintiffs were served with this application by registered mail to their address of service and also to the email the wife provided. The defendant's counsel received a reply email from the address, purportedly from the plaintiffs' son, which stated he had communicated the information to the plaintiffs, and they were aware of the hearing but were in India where they spent most of their time as the husband was ill with cancer. The son stated the email was prepared with legal advice, though the plaintiffs remained self-represented, and requested the application be rescheduled to April so the plaintiffs had the opportunity to attend. The email asserted the plaintiffs were not responsible for costs incurred by the defendant, and the defendant had been unreasonable in scheduling steps without any response from the plaintiffs. The defendant's counsel responded with a request for the plaintiffs' consent to communication with the son by email but no one responded. The defendant argued there would be no purpose in imposing a lesser sanction than dismissal.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6" w:name="Holdings of Court_25"/>
            <w:bookmarkEnd w:id="22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had been properly served at all times at the address of service they provided and never changed. Even the son's email indicated the plaintiffs were duly served and referred to contents of communications sent to the plaintiffs. No orders for compliance had been sought or made, but the plaintiffs had provided no explanation for their failure to comply and no assurances of future compliance. No medical evidence was provided in support of the son's email. Given the ongoing nature of the plaintiffs' non-compliance with Rules and orders, and the absence of any effort to proposal to remedy the non-compliance, striking the claims was reasonable. There was no reason to believe a compliance order or adjournment would result in compliance. Given the ongoing and complete non-compliance, failure to acknowledge non-compliance and email chastising the defendant for proceeding, the plaintiffs' conduct was reprehensible and deserving or rebuke with special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7" w:name="Legislation Cited_22"/>
      <w:bookmarkEnd w:id="2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1"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4-1, Rule 5-1(5), Rule 5-2(2), Rule 7-1(1), Rule 7-2(14), Rule 8-1, Rule 14-1, Rule 22-7, Rule 22-7(2), Rule 22-7(5), Rule 22-7(5)(a), Rule 22-7(5)(f), Rule 22-7(6)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8" w:name="Counsel_34"/>
      <w:bookmarkEnd w:id="2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Leelavathi Reddy and Russ Reddy: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Element Fleet Management Inc.: K.A. McGoldrick.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9" w:name="Judgment_34"/>
      <w:bookmarkEnd w:id="229"/>
      <w:r>
        <w:pict>
          <v:line id="_x0000_s1193"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0" w:name="M.L. FLEMING J. (orally)"/>
            <w:bookmarkEnd w:id="230"/>
            <w:r>
              <w:rPr>
                <w:rFonts w:ascii="arial" w:eastAsia="arial" w:hAnsi="arial" w:cs="arial"/>
                <w:b/>
                <w:color w:val="000000"/>
                <w:sz w:val="30"/>
                <w:lang w:val="en-US" w:eastAsia="en-US" w:bidi="ar-SA"/>
              </w:rPr>
              <w:t>M.L. FLEMING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Leelavathi Reddy and Russ Reddy, are husband and wife with separate civil claims against the defendant, Element Fleet Management Inc. ("Element"). Element applies for orders dismissing the claims of Mr. and Mrs. Reddy pursuant to Rule 22-7 alleging non-compliance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orders made in each proceeding. The defendants also seek special costs for its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applications were heard together and in the interests of efficiency I am providing one set of reasons, although I have considered them separately in coming to my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each of the applications the defendants rely on the affidavit evidence of legal assistants Erin O'Connor and Camille DesLauriers, which provide highly detailed accounts of the procedural history in both proceedings. I accept that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History of Mr. Reddy's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Turning first to the application against Mr. Reddy. The procedural history is as follows: on March 22, 2010, Mr. Reddy filed a notice of civil claim for damages against the applicant and Accurate Effective Bailiffs Ltd. ("Accurate") alleging he was assaulted and injured by employees of Accurate when they came onto his property in an attempt to locate and/or repossess a Porsche that was subject to an action brought by his son, Sal Reddy ("Sal"), against the applicant regarding a lease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During the course of that proceeding Sal was found in contempt of court on two occasions in August 2012, and a warrant for his arrest was ordered. On September 6, 2012, the court ordered his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his notice of civil claim Mr. Reddy provides suite 113 - 8623 Granville Street as his address for service, as does Mrs. Reddy in her action, which is an UPS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Accurate was never served with Mr. Reddy's claim. The applicant filed a response on April 5, 2012, and in May 2012 Mr. Reddy served a blank list of documents and requested production of the defendant's list of documents. He made a further request on or about June 6, 2012, for document production but since then has not communicated with the applicant at all. His address for service has remained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Together the plaintiffs also own a home located in Richmond which the applicant understands to be their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May 2013 applicant's counsel wrote to the plaintiff advising him that she wished to schedule a case planning conference and inviting him to provide his available dates. The letter was sent to Mr. Reddy by regular mail at his address for service and his home address. No response was received. The applicant then scheduled a case planning conference for July 17, 2013. The applicant served Mr. Reddy with a case planning proposal. The letter accompanying the proposal informed Mr. Reddy that Rule 5-1(5) required him to file a case plan proposal within 14 days. He signed for the letter and the proposal when served by registered mail at his home in Richmond. He did not attend the case planning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However, an order was made in his absence requiring him to provide a list of documents by September 3, 2013, granting liberty to the defendant to schedule an examination for discovery in the event he did not respond, which was required to be completed by October 1, 2013, and requiring completion of the examination for discovery of the defendant's representative by that same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were also ordered to attend a settlement conference by November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Unentered and entered copies of the case plan order were served on Mr. Reddy at his address for service and the Richmond address. The entered order was returned with a note that the plaintiff no longer used the address for service. No other address for service has ever been provided by Mr. Reddy.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October 26, 2013, applicant's counsel served its list of documents on Mr. Reddy and proposed dates for his examination for discovery. The applicant scheduled an examination for discovery of Mr. Reddy for September 19, 2013. The appointment was sent by registered mail to his home address and delivered by a courier who dropped it in the mail slot. The appointment was set under cover of letter that notified the plaintiff if he did not attend the examination for discovery his action may be dismissed pursuant to Rule 22-7(5)(a). The plaintiff did not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applicant then scheduled a settlement conference for October 24, 2013. Again Mr. Reddy was advised by registered mail sent to his home. The letter was also delivered by a courier who dropped it into the mail slot. He did not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the applicant subsequently became aware that required witness fees had not been paid to Mr. Reddy for his attendance at the scheduled discovery. Consequently the applicant sent him a second appointment for examination for discovery on May 23, 2014, requiring him to attend on June 9, 2014, along with a cheque for the required witness fees. He was asked to notify counsel if he was unavailable. He did not respond or attend.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History of Ms. Reddy's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respect to Mrs. Reddy's claim, the procedural history is as follows. She signed a lease agreement with the applicant on or about July 26, 2001, for a 1991 Range Rover. Mrs. Reddy filed a notice of civil claim on April 19, 2011, setting out very similar allegations against the applicant that were claimed by Sal Reddy in his action. She alleged fraudulent and negligent misrepresentation as well as breach of contract against the applicant and sought rescission of the lease and the return of all funds paid to the applicant. At bottom she alleged as her son Sal had done that she understood she had bought the vehicle and not leased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May 27, 2011, the applicant filed its response to civil claim. On or about June 23, 2011, Mrs. Reddy sent an e-mail to applicant's counsel from a Yahoo address and advised he could contact her at that e-mail address. She also confirmed her address for service was as set out above at the UPS office. Just as Mr. Reddy had done Mrs. Reddy then served a blank list of documents and requested the applicant's list on April 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June 7, 2012, she again requested production of the applicant's list of documents. On June 15, 2012, counsel for the applicant wrote to Mrs. Reddy expressing concern about the blank list of documents and advised her he wished to schedule a case planning conference. He proposed dates but received no response. That letter was sent to the e-mail address provided by Mrs. Reddy and to her address for service by regular mail. Applicant's counsel also sent two follow-up letters. She then scheduled the case planning conference for September 12, 2012. The applicant notified her of the date and time by e-mail and regular mail with an enclosed filed notice of case planning conference and informed the plaintiff of the rule requirements regarding case plan proposals, also providing her with a blank form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Again she was notified by e-mail and regular mail. Mrs. Reddy did not attend. The conference proceeded and the court granted orders requiring the exchange of lists of documents by October 31, 2012, examination for discovery to take place by July 31, 2013, and a settlement conference by March 15,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Mrs. Reddy was served with both unfiled and filed copies of the case plan order as directed by using four methods: e-mailing the order to two e-mail addresses the applicant had previously used to correspond with Mrs. Reddy and Sal Reddy and the e-mail address I have referred to above, as well as sending the order by regular mail to the address for service and her residence in Richmond. A cover letter required she contact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October 7, 2013, the applicant's counsel wrote to her again enclosing the applicant's list of documents and canvassing dates for her examination for discovery. In the absence of a response counsel scheduled the date for November 20, 2013. The appointment was served by regular mail to her address for service and the Richmond home. The cover letter advised Mrs. Reddy that if she did not attend the examination for discovery, her action may be dismissed pursuant to Rules 22-7(5)(a) and (f). A letter and appointment again were sent by e-mail and regular mail to her address for service and her home address. She did not respond to the appointment or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Again, the applicant's counsel became aware required witness fees had not been paid for her attendance and consequently a second appointment was also served on her for examination for discovery on May 23, 2014, requiring her to attend on June 9, 2014. The appointment was served on both the address for service and the home in Richmond with the cheque for witness fees being sent to the Richmond address. Again Mrs. Reddy did not attend or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letter accompanying the appointment incorrectly identified the date of discovery as June 13, 2014. The court reporter's offices advised that Mrs. Reddy did not attend on that day either.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Procedural History of the Current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January 7, 2014, the applicant's counsel served the plaintiffs with the respective notices of application and affidavit material for this application by registered mail to their address for service and under cover of letter enclosing a copy of the text of Rule 8-1. To date Canada Post has not returned the materials as undeliverable. That same day applicant's counsel wrote a second letter to each plaintiff by registered mail to the Richmond address advising them of the notices of application and their delivery to the address for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the second letter was sent to Mrs. Reddy at the Yahoo e-mail address she had provided, also on January 7, 2014. On January 16, 2015, applicant's counsel received an e-mail from that same e-mail address attaching a letter to counsel and asking that it be provided to the court in the event the application proceeded. A redacted version of the letter was provided to the court which bears the heading "Settlement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letter purports to be sent by Nash Reddy, who identifies himself as the son of Mr. and Mrs. Reddy and the brother of Sal ("Nash"). He advises counsel's e-mail regarding the applications came to his attention on January 14, 2015. He confirms he has communicated its contents to his parents and they are aware of the hearing on January 27, 2015. He also advises the letter was prepared with legal assistance, although his parents remain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Nash goes on to write that his parents are in India and will not be returning until early April. He states that since 2012 they have been spending most of their time there, seldom visiting Canada. He refers then to Mr. Reddy being diagnosed with cancer in the last few years and the illness having progressed to stage four. He cites this as the reason why his parents spend most of their time in India with his father's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Nash then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note further in Leelavathi Reddy's action the steps you have taken since June 15, 2012, (paragraph 18 and onward of your notice of application) including the case planning conference and the examination for discovery are carried with the knowledge that the plaintiff is either not receiving or not responding to your communications. It is our position that the costs you have incurred for those steps are not attributable to the plaintiff as the proper step to take would have been to seek the court's direction at that time before taking any further steps. It is particularly unreasonable to book an examination for discovery and incur the costs thereof while you have clear indication that the plaintiff is either not receiving or not responding to your communications. We note the same with respect to the Russ Reddy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Nash asks that the applicant reschedule the applications to a date in April so the plaintiffs will have the opportunity to attend. He also requests that further communications be directed to the same e-mail address and advises that he too is physically out of the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response, the applicant's counsel sought the consent of the plaintiffs to communicate with Nash about these proceedings through the same e-mail address. The plaintiffs did not respond nor did Nash.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With respect to Nash's assertions about his father's health the materials include an affidavit prepared by Mr. Reddy himself in Sal's proceedings sworn December 2, 2011. He deposes to the circumstances underlying his own action, alleging that two men hired by the applicant came onto his property and threatened to harm him and pushed him in an effort to find the Porsche. Mr. Reddy describes himself as a 71 year old senior citizen diagnosed with stage four prostate cancer. He also deposes to the Richmond address having been his personal residence where Sal has lived with him for over 20 years. A recent title search confirms that Mr. and Mrs. Reddy continue to own that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Before further considering the defendant's applications pursuant to Rule 22-7, I want to make it clear that I accept the plaintiffs have been properly served when required to be served and provided with all the written communication referred to in the above 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Rule 4-1 requires each party to a proceeding who is not represented by counsel to have an accessible address for service. If there is a change in address for service the party must file and serve a notice of address for service in form 9. Neither plaintiff has done so in this case. Indeed Nash's letter does not allege his parents have not been properly notified or served. It is clear from his letter that the notices of application and affidavit material have been received because he discusses their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applicant relies on Rules 22-7(2) and (5) and (6)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which read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Powers of court</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subrules (3) and (4), if there has been a failure to comply with these Supreme Court Civil Rules, the court may</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aside a proceeding, either wholly or in part,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proceeding or strike out the response to civil clam and pronounce judgment, or</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orders it considers will further the object of these Supreme Court Civil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Consequences of certain non-compliance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any other power of the court under these Supreme Court Civil Rules, if a person, contrary to these Supreme Court Civil Rules and without lawful excuse,</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obey a subpoena or to attend at the time and place appointed for his or her examination for discovery,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produce or permit to be inspected any document or other property,</w:t>
      </w:r>
    </w:p>
    <w:p>
      <w:pPr>
        <w:numPr>
          <w:numId w:val="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answer interrogatories or to make discovery of documents,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then</w:t>
      </w:r>
    </w:p>
    <w:p>
      <w:pPr>
        <w:numPr>
          <w:numId w:val="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is the plaintiff or petitioner ... the court may dismiss the proceeding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to comply with direction of court</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without lawful excuse, refuses or neglects to comply with a direction of the court, the court may make an order under subrule (5) (f) or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Justice Willcock in </w:t>
      </w:r>
      <w:r>
        <w:rPr>
          <w:rFonts w:ascii="arial" w:eastAsia="arial" w:hAnsi="arial" w:cs="arial"/>
          <w:i/>
          <w:color w:val="000000"/>
          <w:sz w:val="20"/>
          <w:lang w:val="en-US" w:eastAsia="en-US" w:bidi="ar-SA"/>
        </w:rPr>
        <w:t>Breberin v. Santos</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2013 BCSC 560</w:t>
        </w:r>
      </w:hyperlink>
      <w:r>
        <w:rPr>
          <w:rFonts w:ascii="arial" w:eastAsia="arial" w:hAnsi="arial" w:cs="arial"/>
          <w:color w:val="000000"/>
          <w:sz w:val="20"/>
          <w:lang w:val="en-US" w:eastAsia="en-US" w:bidi="ar-SA"/>
        </w:rPr>
        <w:t>, sets out a very helpful summary of the jurisprudence dealing with dismissal applications pursuant to Rule 22-7 at paragraphs 52 and following,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Several principles identified in the jurisprudence describe and limit the appropriate application of Rule 22-7.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The order sought by the defendants is not readily granted. Dismissal is a "blunt tool, to be used sparingly" in response to procedural delay: </w:t>
      </w:r>
      <w:r>
        <w:rPr>
          <w:rFonts w:ascii="arial" w:eastAsia="arial" w:hAnsi="arial" w:cs="arial"/>
          <w:i/>
          <w:color w:val="000000"/>
          <w:sz w:val="20"/>
          <w:lang w:val="en-US" w:eastAsia="en-US" w:bidi="ar-SA"/>
        </w:rPr>
        <w:t>House of Sga'nisim v. Canada (Attorney General)</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2007 BCCA 483</w:t>
        </w:r>
      </w:hyperlink>
      <w:r>
        <w:rPr>
          <w:rFonts w:ascii="arial" w:eastAsia="arial" w:hAnsi="arial" w:cs="arial"/>
          <w:color w:val="000000"/>
          <w:sz w:val="20"/>
          <w:lang w:val="en-US" w:eastAsia="en-US" w:bidi="ar-SA"/>
        </w:rPr>
        <w:t xml:space="preserve"> (CanLII) at para. 28 [</w:t>
      </w:r>
      <w:r>
        <w:rPr>
          <w:rFonts w:ascii="arial" w:eastAsia="arial" w:hAnsi="arial" w:cs="arial"/>
          <w:i/>
          <w:color w:val="000000"/>
          <w:sz w:val="20"/>
          <w:lang w:val="en-US" w:eastAsia="en-US" w:bidi="ar-SA"/>
        </w:rPr>
        <w:t>House of Sga'nisim</w:t>
      </w:r>
      <w:r>
        <w:rPr>
          <w:rFonts w:ascii="arial" w:eastAsia="arial" w:hAnsi="arial" w:cs="arial"/>
          <w:color w:val="000000"/>
          <w:sz w:val="20"/>
          <w:lang w:val="en-US" w:eastAsia="en-US" w:bidi="ar-SA"/>
        </w:rPr>
        <w:t xml:space="preserve">]. The remedy is a "draconian" one, "only to be invoked in the most egregious of cases": </w:t>
      </w:r>
      <w:r>
        <w:rPr>
          <w:rFonts w:ascii="arial" w:eastAsia="arial" w:hAnsi="arial" w:cs="arial"/>
          <w:i/>
          <w:color w:val="000000"/>
          <w:sz w:val="20"/>
          <w:lang w:val="en-US" w:eastAsia="en-US" w:bidi="ar-SA"/>
        </w:rPr>
        <w:t>Homer Estate v. Eurocopter S.A.</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2003 BCCA 229</w:t>
        </w:r>
      </w:hyperlink>
      <w:r>
        <w:rPr>
          <w:rFonts w:ascii="arial" w:eastAsia="arial" w:hAnsi="arial" w:cs="arial"/>
          <w:color w:val="000000"/>
          <w:sz w:val="20"/>
          <w:lang w:val="en-US" w:eastAsia="en-US" w:bidi="ar-SA"/>
        </w:rPr>
        <w:t xml:space="preserve"> (CanLII) at para. 4. It is to be avoided where it is reasonable to do so: </w:t>
      </w:r>
      <w:r>
        <w:rPr>
          <w:rFonts w:ascii="arial" w:eastAsia="arial" w:hAnsi="arial" w:cs="arial"/>
          <w:i/>
          <w:color w:val="000000"/>
          <w:sz w:val="20"/>
          <w:lang w:val="en-US" w:eastAsia="en-US" w:bidi="ar-SA"/>
        </w:rPr>
        <w:t>House of Sga'nisim</w:t>
      </w:r>
      <w:r>
        <w:rPr>
          <w:rFonts w:ascii="arial" w:eastAsia="arial" w:hAnsi="arial" w:cs="arial"/>
          <w:color w:val="000000"/>
          <w:sz w:val="20"/>
          <w:lang w:val="en-US" w:eastAsia="en-US" w:bidi="ar-SA"/>
        </w:rPr>
        <w:t xml:space="preserve"> at para.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Where failure to comply with the Rules or failure to comply with the terms of a court order is established, the party at fault bears the onus of proving a lawful excuse for the non-compliance or non-observance: </w:t>
      </w:r>
      <w:r>
        <w:rPr>
          <w:rFonts w:ascii="arial" w:eastAsia="arial" w:hAnsi="arial" w:cs="arial"/>
          <w:i/>
          <w:color w:val="000000"/>
          <w:sz w:val="20"/>
          <w:lang w:val="en-US" w:eastAsia="en-US" w:bidi="ar-SA"/>
        </w:rPr>
        <w:t>Balaj v. Xiaogang</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2012 BCSC 231</w:t>
        </w:r>
      </w:hyperlink>
      <w:r>
        <w:rPr>
          <w:rFonts w:ascii="arial" w:eastAsia="arial" w:hAnsi="arial" w:cs="arial"/>
          <w:color w:val="000000"/>
          <w:sz w:val="20"/>
          <w:lang w:val="en-US" w:eastAsia="en-US" w:bidi="ar-SA"/>
        </w:rPr>
        <w:t xml:space="preserve"> (CanLII) at para. 36 [</w:t>
      </w:r>
      <w:r>
        <w:rPr>
          <w:rFonts w:ascii="arial" w:eastAsia="arial" w:hAnsi="arial" w:cs="arial"/>
          <w:i/>
          <w:color w:val="000000"/>
          <w:sz w:val="20"/>
          <w:lang w:val="en-US" w:eastAsia="en-US" w:bidi="ar-SA"/>
        </w:rPr>
        <w:t>Balaj</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Eisele v. B.A. Blacktop Ltd. et al</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2004 BCSC 521</w:t>
        </w:r>
      </w:hyperlink>
      <w:r>
        <w:rPr>
          <w:rFonts w:ascii="arial" w:eastAsia="arial" w:hAnsi="arial" w:cs="arial"/>
          <w:color w:val="000000"/>
          <w:sz w:val="20"/>
          <w:lang w:val="en-US" w:eastAsia="en-US" w:bidi="ar-SA"/>
        </w:rPr>
        <w:t xml:space="preserve"> (CanLII) at para.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In this context, a "lawful excuse" is "one which, in the discretion of the judge acting judicially, is worthy of acceptance": </w:t>
      </w:r>
      <w:r>
        <w:rPr>
          <w:rFonts w:ascii="arial" w:eastAsia="arial" w:hAnsi="arial" w:cs="arial"/>
          <w:i/>
          <w:color w:val="000000"/>
          <w:sz w:val="20"/>
          <w:lang w:val="en-US" w:eastAsia="en-US" w:bidi="ar-SA"/>
        </w:rPr>
        <w:t>United Furniture Warehouse LP v. 551148 B.C. Ltd.</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2007 BCSC 1252</w:t>
        </w:r>
      </w:hyperlink>
      <w:r>
        <w:rPr>
          <w:rFonts w:ascii="arial" w:eastAsia="arial" w:hAnsi="arial" w:cs="arial"/>
          <w:color w:val="000000"/>
          <w:sz w:val="20"/>
          <w:lang w:val="en-US" w:eastAsia="en-US" w:bidi="ar-SA"/>
        </w:rPr>
        <w:t xml:space="preserve"> (CanLII) at para. 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Because an action may be struck when the lack of production has been occasioned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required should be more than moderate on a scale ranging from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Fundamental failures, such as failure to make appropriate disclosure of documents or records, must be treated as a serious default.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A dismissal order will not usually be granted on a first application for relief arising from procedural delay, even intentional delay. Injustice might result from such a course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A dismissal order will not usually be granted until the plaintiff has been warned that result will follow upon further delay or obstruction.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Lesser sanctions ought to be considered where any are available and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A self-represented litigant cannot be held to the same standards as a professional lawyer in terms of compliance with court procedures and rules. That said, a litigant who chooses to represent him- or herself cannot ignore his or her responsibilities with impunity.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A persistent pattern of delay on the part of the plaintiff, as well as a persistent failure to comply with the Rules of Court and court orders, may result in a dismissal order. Defaults must be seen in context. The plaintiff's conduct of the claim from its inception does have a bearing on the seriousness of the default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principles enunciated by Justice Willcock include what has been referred to as a two-step process adopted in the case of </w:t>
      </w:r>
      <w:r>
        <w:rPr>
          <w:rFonts w:ascii="arial" w:eastAsia="arial" w:hAnsi="arial" w:cs="arial"/>
          <w:i/>
          <w:color w:val="000000"/>
          <w:sz w:val="20"/>
          <w:lang w:val="en-US" w:eastAsia="en-US" w:bidi="ar-SA"/>
        </w:rPr>
        <w:t>Neeld v. Pezamerica Resources Corp.</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[1985] B.C.J. No. 2356</w:t>
        </w:r>
      </w:hyperlink>
      <w:r>
        <w:rPr>
          <w:rFonts w:ascii="arial" w:eastAsia="arial" w:hAnsi="arial" w:cs="arial"/>
          <w:color w:val="000000"/>
          <w:sz w:val="20"/>
          <w:lang w:val="en-US" w:eastAsia="en-US" w:bidi="ar-SA"/>
        </w:rPr>
        <w:t xml:space="preserve"> (C.A.).Unless there are unusual circumstances, the offending party is first put on notice by the court that an order to strike will likely follow unless there is compliance by dismissing the application to strike in the first instance and making certain orders for compliance. Then, if there is still a lack of compliance, the other party is at liberty to make a second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Animating this two-step process are the overlapping principles of proportionality, second chance and alternate remedy. Clearly dismissal of the action must be proportionate to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Justice Fitzpatrick in </w:t>
      </w:r>
      <w:r>
        <w:rPr>
          <w:rFonts w:ascii="arial" w:eastAsia="arial" w:hAnsi="arial" w:cs="arial"/>
          <w:i/>
          <w:color w:val="000000"/>
          <w:sz w:val="20"/>
          <w:lang w:val="en-US" w:eastAsia="en-US" w:bidi="ar-SA"/>
        </w:rPr>
        <w:t>Schwarzinger v. Bramwell</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2011 BCSC 304</w:t>
        </w:r>
      </w:hyperlink>
      <w:r>
        <w:rPr>
          <w:rFonts w:ascii="arial" w:eastAsia="arial" w:hAnsi="arial" w:cs="arial"/>
          <w:color w:val="000000"/>
          <w:sz w:val="20"/>
          <w:lang w:val="en-US" w:eastAsia="en-US" w:bidi="ar-SA"/>
        </w:rPr>
        <w:t xml:space="preserve"> observed considering proportionality inevitably leads to the question of whether a lesser remedy would cure the default and inspire confidence that court orders and the rules would be respected and followed in future (at para. 123). In this case no orders for compliance have ever been sought or made, and certainly orders for compliance could be granted. Contempt proceedings could be brought, although it seems almost certain the applicants would be unable to effect personal service upon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applicant argues the circumstances here are unusual and make it clear that no purpose would be served by imposing lesser sanctions and a warning that dismissal will follow upon further delay or obstruction. The plaintiffs' non-compliance with the rules in this case are multiple and serious. Neither filed a case plan proposal nor attending the case planning conferences as required by Rule 5-2(2). Both have failed to comply with Rule 7-1(1) by serving blank lists of documents only. Both have failed to comply with Rule 7-2(14) by failing to attend their respective second scheduled examinations for discovery. In addition, both plaintiffs have failed to comply with all aspects of the case planning orders made in their respective proceedings. I note that both plaintiffs have been put on notice by the applicant, with respect to discovery appointments in particular, that an order for dismissal could be made in the event they did not attend or attempt to reschedule.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court must consider the offending parties' explanation for non-compliance. It is for the party to establish a lawful excuse for their non-compliance. Justice Fitzpatrick in </w:t>
      </w:r>
      <w:r>
        <w:rPr>
          <w:rFonts w:ascii="arial" w:eastAsia="arial" w:hAnsi="arial" w:cs="arial"/>
          <w:i/>
          <w:color w:val="000000"/>
          <w:sz w:val="20"/>
          <w:lang w:val="en-US" w:eastAsia="en-US" w:bidi="ar-SA"/>
        </w:rPr>
        <w:t>Schwarzinger</w:t>
      </w:r>
      <w:r>
        <w:rPr>
          <w:rFonts w:ascii="arial" w:eastAsia="arial" w:hAnsi="arial" w:cs="arial"/>
          <w:color w:val="000000"/>
          <w:sz w:val="20"/>
          <w:lang w:val="en-US" w:eastAsia="en-US" w:bidi="ar-SA"/>
        </w:rPr>
        <w:t xml:space="preserve"> points out that a party who comes to court apologizing and providing reasoning for their transgression is more likely to be given another chance. A party who continues to deny their transgression must necessarily raise in the court's mind the question of whether that party is likely to simply continue their conduct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this case, unlike the other authorities I have been asked to consider, the plaintiffs have provided no explanation for their failure to comply. Their non-compliance is not acknowledged at all nor do they provide any assurances they will comply in the future. In his letter Nash refers to his father's ill health as an explanation for their absence only, which in turn forms the basis for their request to adjourn the hearing of the dismissal applications. He asks only they be given an opportunity to attend that hearing. He states the letter was prepared with legal advice, which is of some significance to me. In any event I note that in </w:t>
      </w:r>
      <w:r>
        <w:rPr>
          <w:rFonts w:ascii="arial" w:eastAsia="arial" w:hAnsi="arial" w:cs="arial"/>
          <w:i/>
          <w:color w:val="000000"/>
          <w:sz w:val="20"/>
          <w:lang w:val="en-US" w:eastAsia="en-US" w:bidi="ar-SA"/>
        </w:rPr>
        <w:t>Neeld</w:t>
      </w:r>
      <w:r>
        <w:rPr>
          <w:rFonts w:ascii="arial" w:eastAsia="arial" w:hAnsi="arial" w:cs="arial"/>
          <w:color w:val="000000"/>
          <w:sz w:val="20"/>
          <w:lang w:val="en-US" w:eastAsia="en-US" w:bidi="ar-SA"/>
        </w:rPr>
        <w:t xml:space="preserve"> medical evidence was tendered to explain non-attendance at a discovery. Here we have, apart from the assertions of Nash, no evidence other than the prior affidavit of Mr. Reddy and no communication at all from the plaintiffs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view given the ongoing nature of the plaintiff's non-compliance and the absence of any effort or a proposal to remedy that non-compliance, orders to strike the claims sought by the applicant are reasonable, despite the absence of a prior application for dismissal. I am concerned that refusing the applicant's application or adjourning it will simply send a message to these plaintiffs and litigants generally that parties may disregard court orders and their obligations under the Rules as they wish. The nature of the plaintiffs' non-compliance here is serious, repeated and entirely unacknowledged. I also have little confidence that adjourning the application will change the course of the plaintiffs' conduct or that they will actually attend any further hearing date given the history of the proceedings to date, the content of the letter prepared by Nash and their failure to respond to the applicant's request for their consent to communicate with him. Accordingly, I grant both applications to dismiss the plaintiffs' claims pursuant to Rule 22-7.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And then, counsel, what were the subparagraphs?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McGOLDRICK: 2, 5 and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All right. The actual power of the court is found in subsection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McGOLDRICK: Oh,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COURT: And subparagraph (d), is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McGOLDRICK: I believe it is (5)(f), subparagraph (5)(f).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COURT: Yes. Subsection (5), paragraph (f).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applicant also seeks special costs for these applications and costs at Scale B for the rest of the proceeding. Costs awards are discretionary but the general rule is that costs should follow the event. Special costs are awarded in exceptional circumstances to chastise or punish a party's litigation conduct and encompass an element of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authority to award costs is found in the inherent jurisdiction of the court and in Rule 14-1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Court of Appeal's decision in </w:t>
      </w:r>
      <w:r>
        <w:rPr>
          <w:rFonts w:ascii="arial" w:eastAsia="arial" w:hAnsi="arial" w:cs="arial"/>
          <w:i/>
          <w:color w:val="000000"/>
          <w:sz w:val="20"/>
          <w:lang w:val="en-US" w:eastAsia="en-US" w:bidi="ar-SA"/>
        </w:rPr>
        <w:t>Garcia v. Crestbrook</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remains the leading authority on special costs. There reprehensible conduct was established as the single standard for awarding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Westsea Construction Ltd. v. Veale</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2013 BCSC 1657</w:t>
        </w:r>
      </w:hyperlink>
      <w:r>
        <w:rPr>
          <w:rFonts w:ascii="arial" w:eastAsia="arial" w:hAnsi="arial" w:cs="arial"/>
          <w:color w:val="000000"/>
          <w:sz w:val="20"/>
          <w:lang w:val="en-US" w:eastAsia="en-US" w:bidi="ar-SA"/>
        </w:rPr>
        <w:t xml:space="preserve"> Justice Gropper canvassed the jurisprudence on special costs since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and provided a helpful distillation of the key principles at para. 73, which are: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exercise restraint in awarding special costs;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special costs must demonstrate exceptional circumstances to justify a special costs order;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simply because the legal concept of "reprehensibility" captures different kinds of misconduct does not mean that all forms of misconduct are encompassed by this term;</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reprehensibility will likely be found in circumstances where there is evidence of improper motive, abuse of the court's process, misleading the court and persistent breaches of the rules of professional conduct and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that prejudice the applicant;</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can be awarded against parties and non-parties alike; and</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successful litigant is entitled to costs in accordance with the general rule that costs follow the event. Special costs are not awarded to a successful part as a "bonus" or further compensation for that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With respect to litigation conduct, special costs may be awarded where the court finds the party has not conducted him or herself in accordance with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and has failed to comply with orders of the court. On these grounds the applicant argues the conduct of both plaintiffs has been reprehensible. It is not always the case that the court will order special costs when an order dismissing the claim is granted for non-compliance. The applicant here points to the special costs order made with respect to Sal when his claim was dismissed. However, Sal had been found in contempt twice prior to that order being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Nash's letter he essentially chastises the applicant for incurring considerable expense in attempting to move both actions forward in the absence of any response from the plaintiffs. This position reflects a troubling view of the roles of the plaintiffs' in these proceedings. He fails to acknowledge the applications to dismiss the actions were only necessary because of the plaintiffs' non-compliance.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focus in determining whether special costs should be ordered here is not the cost to the applicant throughout the course of the proceeding but the conduct of the plaintiffs giving rise to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Given the ongoing and serious non-compliance of the plaintiffs with the Rules as found above, their failure to comply with any aspect of the respective case planning orders, and their absolute lack of response to all written communication from the applicant until Nash's letter (which fails to acknowledge their non-compliance or provide a proposal for future compliance), I find their conduct reprehensible and worthy of the court's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applicant therefore shall have special costs for these applications. The balance of their costs shall be assessed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applicant seeks further orders relating to the styles of cause in these proceedings. So then we get to your draft orders. Based on the evidence set out in the recent land title searches, what I think is best is to amend the style of cause in the Russ Reddy proceedings so that his name appears as Russ Reddy also known as Purushotham Reddy. Then in Mrs. Reddy's proceeding the style of cause will be amended so that her name appears as Leelavathi Reddy also known as Leela Reddy and then I will grant the order you seek with respect to your client's change of name and I will allow you to seek entry of these orders without approval from either plaintiff given their non-attendance.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R. v. S.H., [2016] B.C.J. No. 401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Williams Lake,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R.W. Jenkins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15-18,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26,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32525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Williams Lake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401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336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S.H.</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1" w:name="Keywords_35"/>
      <w:bookmarkEnd w:id="231"/>
      <w:r>
        <w:rPr>
          <w:rFonts w:ascii="arial" w:eastAsia="arial" w:hAnsi="arial" w:cs="arial"/>
          <w:b/>
          <w:color w:val="000000"/>
          <w:sz w:val="20"/>
          <w:lang w:val="en-US" w:eastAsia="en-US" w:bidi="ar-SA"/>
        </w:rPr>
        <w:t>Criminal law — Criminal Code offences — Offences against person and reputation — Duties tending to preservation of life — Failure to provide necessaries of life — Assaults — Assault — Trial of accused charged with assault and failing to provide necessaries of life to her infant son — Accused convicted — Accused knew she was inadequately caring for child — Her failure to take action on advice of doctors amounted to marked departure from standard of care expected of prudent mother — Accused's failure to adequately feed child and obtain appropriate medical care endangered child's life — Her depression did not constitute lawful excuse — On several occasions, accused shook, struck and squeezed child, constituting assault — Criminal Code, ss. 215, 266.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2" w:name="Case Summary_31"/>
            <w:bookmarkEnd w:id="2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the accused charged with assault and failing to provide the necessaries of life to her infant son. The child was born premature in September 2011, when the accused was 19-years-old. The child suffered weight loss and failed to thrive. The accused missed several medical appointments for the child. When the child was apprehended and admitted to hospital, he was found to be severely malnourished. The child quickly gained weight in the hospital and once in foster care. The doctors concluded the failure to thrive had been caused by a lack of caloric intake. An x-ray when the child was four-months-old revealed a healing rib fracture. The child was removed from accused's care in November 2012. The accused's former roommate testified he had seen her strike the baby when he cried and squeeze him. The accused admitted to police she had shaken the child. She testified she had not had a permanent home for several years, did not know how to properly care for the child and was depressed after his birth.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3" w:name="Holdings of Court_26"/>
            <w:bookmarkEnd w:id="233"/>
            <w:r>
              <w:rPr>
                <w:rFonts w:ascii="arial" w:eastAsia="arial" w:hAnsi="arial" w:cs="arial"/>
                <w:color w:val="000000"/>
                <w:sz w:val="20"/>
                <w:lang w:val="en-US" w:eastAsia="en-US" w:bidi="ar-SA"/>
              </w:rPr>
              <w:t>HELD: The accused was convicted.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accused knew she was inadequately caring for the child. Her failure to take action on the advice of the doctors amounted to a marked departure from the standard of care expected of a prudent mother. Despite her depression, the accused was aware she was falling short of a minimum standard of care for the child. The accused's failure to adequately feed the child and obtain appropriate medical care endangered the child's life. Her depression did not constitute a lawful excuse. On several occasions, the accused shook, struck and squeezed the child, constituting assault.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4" w:name="Legislation Cited_23"/>
      <w:bookmarkEnd w:id="2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6"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 215, s. 215(1)(c), s. 215(2), s. 215(2)(b), s. 215(4)(d), s. 266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5" w:name="Counsel_35"/>
      <w:bookmarkEnd w:id="2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7"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A.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SH: B. Herdy.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6" w:name="Judgment_35"/>
      <w:bookmarkEnd w:id="236"/>
      <w:r>
        <w:pict>
          <v:line id="_x0000_s1198"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7" w:name="R.W. JENKINS J. (orally)"/>
            <w:bookmarkEnd w:id="237"/>
            <w:r>
              <w:rPr>
                <w:rFonts w:ascii="arial" w:eastAsia="arial" w:hAnsi="arial" w:cs="arial"/>
                <w:b/>
                <w:color w:val="000000"/>
                <w:sz w:val="30"/>
                <w:lang w:val="en-US" w:eastAsia="en-US" w:bidi="ar-SA"/>
              </w:rPr>
              <w:t>R.W. JENKINS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SH is charged with common assault of her infant son, who I will refer to as "N", under section 266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as well as failing to provide the necessaries of life to N, endangering his life, contrary to s. 215(2)(b)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During submissions, the defence conceded the charge of assault was effectively admitted by SH in the interview of her conducted by Cst. Cropley of the RCMP on January 5, 2013, the voluntariness of that statement having been admitted. In addition to the admissions in that statement, there was evidence of other assaults from other witnesses at trial. Accordingly, I will summarize later in these reasons the facts surrounding the charge of assault but will concentrate primarily on the evidence relating to the charge under s. 215(2)(b).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Regarding the charge under s. 215(2)(b), the defence did not take issue with evidence which revealed that N had failed to thrive, that he in fact lost weight and was regressing in his activities, especially in early 2012. I will summarize the findings of how N was failing to thrive and how that failure included insufficiently feeding N. The defence position on the latter charge is essentially that during the time that N was in the care of his mother, SH was depressed, unable to cope with the demands of a young baby, had often left N in the care of her partner and roommate during late 2011 through June 2012 and basically did not know how to care for N, including the necessity of adequate feeding. The defence also points to evidence indicating the accused did seek medical help for N from time to time indicating that she was taking active steps to determine what was wrong with N and that she was taking steps to provide him adequate care. In addressing these submissions, I will firstly review the statutory requirements the Crown must prove on a charge under s. 215 of the </w:t>
      </w:r>
      <w:r>
        <w:rPr>
          <w:rFonts w:ascii="arial" w:eastAsia="arial" w:hAnsi="arial" w:cs="arial"/>
          <w:i/>
          <w:color w:val="000000"/>
          <w:sz w:val="20"/>
          <w:lang w:val="en-US" w:eastAsia="en-US" w:bidi="ar-SA"/>
        </w:rPr>
        <w:t>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Relevant Portions of Section 215 of the </w:t>
      </w:r>
      <w:r>
        <w:rPr>
          <w:rFonts w:ascii="arial" w:eastAsia="arial" w:hAnsi="arial" w:cs="arial"/>
          <w:b/>
          <w:i/>
          <w:color w:val="000000"/>
          <w:sz w:val="20"/>
          <w:u w:val="single"/>
          <w:lang w:val="en-US" w:eastAsia="en-US" w:bidi="ar-SA"/>
        </w:rPr>
        <w:t>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Those portions of s. 215 of import to the case before me are as follows:</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is under a legal duty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necessaries of life to a person under his charge if that person</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unable, by reason of detention, age, illness, mental disorder or other cause, to withdraw himself from that charge,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unable to provide himself with necessaries of life.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commits an offence who, being under a legal duty within the meaning of subsection (1), fails without lawful excuse, the proof of which lies on him, to perform that duty, if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a duty imposed by paragraph (1) (c), the failure to perform the duty endangers the life of the person to whom the duty is owed or causes or is likely to cause the health of that person to be injured permanently.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who commits an offence under subsection (2)</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guilty of an indictable offence and liable to imprisonment for a term not exceeding five years; or</w:t>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guilty of an offence punishable on summary conviction and liable to imprisonment for a term not exceeding eighteen months.</w:t>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proceedings under this section,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a spouse or common-law partner or child is receiving or has received necessaries of life from another person who is not under a legal duty to provide them is not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SH's duty under s. 215(1)(c) is admitted. The further essential elements of the offence in issue are whether there was a failure to perform the duty to provide the necessaries of life (s. 215(1)(c), (2)), whether the failure to perform the duty endangered the life of the person, i.e. N, (s. 215(2)(b) and whether there was a lawful excuse for not performing the duty (s. 215(2)).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burden of proving there was no lawful excuse for failing to provide the necessities of life to, in this case, N, lies with the person required to perform that duty, i.e. SH. The fact that N was receiving necessaries of life from another person who is not under a legal duty to provide the necessities of life is not a defence available to SH (s. 215(4)(d)).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 was 19 years of age in the summer of 2011. In the preceding years, SH had endured life with her father and step-mother, both of whom suffered from addiction issues, the effects of which often left SH abandoned and lacking the guidance of conscientious parenting. In her grade 11 year, she was suspended from high school for non-attendance and moved in with her grandparents in Clinton for approximately one year, during which time she completed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leaving her grandparents' home she came to Williams Lake. During the summer of 2010, SH testified to having "couch surfed" at the homes of friends and supported herself on underage welfare or social assistance. She returned to live in her grandparents' spare room on occasion. Starting late September 2010 SH lived temporarily with friends, then in a homeless shelter and various other locations, never finding a permanent home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 met and commenced a relationship with RF during 2010 and realized she was pregnant in early 2011. After that relationship ended she again lived in various locations before moving in with RH in early September 2011, shortly before her son, N, was born in September 2011. N was born premature.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 testified that prior to the birth of N, she had no experience caring for babies and had never lived in a house with a baby present. She was aware that RH had two children from a prior relationship and both SH and RH testified that RH assisted the young mother in caring for N in his early months. She testified that she did not know how to properly care for N. Her knowledge was assembled from friends and family, who told her she should feed the baby when he cried and from the hospital, who provided her feeding instructions before she and N were discharged, including instructions on mixing and feeding N with baby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During this time, SH said she was depressed. Indeed, in December of 2010 and prior to the birth of N Dr. Graham York had prescribed anti-depressants for SH. Dr. York testified that when taking the anti-depressants, SH appeared to improve, though at times she advised Dr. York the anti-depressants were not working and on one occasion she had run out of the medicine. SH testified that she was suicidal on occasion commencing July of 2011. She also testified that she had difficulty getting out of bed to help care for N during his first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York never diagnosed SH as suffering from post-partum depression after the birth of 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Regarding N's care, SH took N to the office of Dr. York in Williams Lake for the first time on November 14, 2011. Dr. York testified at trial and stated that during this visit he undertook a complete physical exam of N, noted the child's weight was lower than average. He wanted to see weight gain going forward and asked SH to bring N back in one month. Dr. York testified that he had "no concerns" at that visit, N had been gaining some weight and since he had been premature, some lag in weight gain could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York testified that SH and N were a "no show" at an appointment scheduled for December 6, 2011, and cancelled another appointment scheduled for February 9, 2012. He next saw N on February 14, 2012, as his mother was concerned regarding his weight. As a result, Dr. York undertook a further full physical examination of N. N's weight was found to be significantly reduced but Dr. York could not find an obvious cause of the weight loss. As a result, he referred SH and N to Dr. Abelson, a pediatrician practicing in Prince George. N's weight as of February 14, 2012, was 4.5 kilograms. This weight indicated there had been a weight loss, which made Dr. York believe "something was amiss". Also during the appointment of February 14, 2012, Dr. York was concerned that N's "tone" was not good and was concerned there could be a circulatory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York testified that during these visits SH seemed "indifferent" and that she was not expressing as much concern as he would have expected when N's weight was very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William Abelson, a pediatrician at the University Hospital of Northern British Columbia ("UHNBC") in Prince George, was qualified as an expert at trial in the treatment of disease and injury in the human body in particular in the pre-adult body and in the physiology and health of the human body at the pre-adult stage. Dr. York had referred N to Dr. Abelson over concern N was "not thriving". SH declined an early appointment in Prince George and as a result an appointment was arranged for March 14, 2012, in Williams Lake. Dr. York had forwarded N's growth chart to Dr. Abelson, the results of which supported the concern that N was not thriving, showing a "dramatic fall off the growth curve". At the March 14 appointment Dr. Abelson was of the opinion that with N there was a "significant concern" with respect to N's ability or opportunity to thrive and he booked N into the hospital. He was concerned over N's weight and nutritional intake, since his weight was dropping unacceptably. Dr. Abelson testified that "given the type of [baby] formula taken and that it was being mixed properly" and considering the frequency of feeding described to him, the formula would have been adequate for N to flourish.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Abelson had also been advised through N's history taken from his mother that N had been sleeping 16 hours at a time. This report concerned him, especially since she had also reported feeding N every 2 or 3 hours. He opined that at N's age at the time, i.e. 6-7 months, a child should not sleep more than 6 to 8 hours and that it was "inappropriate" to let a baby sleep as long as SH had reported. Dr. Abelson continued to state that one explanation for excessive sleep by a baby is that the child is "energy deprived, i.e. not fed" and "starving children sleep much more". Also, Dr. Abelson was led to believe that N had been regressing in that SH had told Dr. Abelson that N had been able to sit with support but could no longer, that N had been giggling but was no longer doing so, and that N had been reaching and grasping for objects but was no longer doing so which, to Dr. Abelson, meant N was in regression and raised considerable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Abelson decided that N should be admitted to UHNBC so that he could be monitored and to investigate the cause for his failure to thrive. He made arrangements for SH to take N to Prince George the following week, setting an appointment for March 20,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 SH and RH did not show on the day set for admission. A message was left with SH, who called back and left a message stating "maybe Prince George was not an idea", "Prince George was not going to work for her" and that she would take N to hospital in Williams Lake or Vancouver. Dr. Abelson responded that "maybe was not acceptable" and, concerned that N was not being brought to the hospital, called the Ministry of Children and Family Development ("the Ministry") on March 22, 2012. N was admitted on March 23,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Abelson was concerned that the lack of nourishment in young children affected their development. Once N was admitted to the UHNBC, Dr. Abelson noted the "baby was at significant risk of future harm". When asked at trial "how dire" the circumstances were, Dr. Abelson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 was severely malnourished and I needed to assess him quickly. . . N would have come to risk of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also noted that interaction between SH and N when SH visited in the hospital could be described as "rough". Nurses at the hospital reiterated this, also commenting that N was an "extremely easy child temperamentally".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 remained in the hospital in Prince George from March 23 to April 3, 2012. During that time, Dr. Abelson testified N "did very well", gaining "a lot of weight" (15% of his body weight in 11 days). At this time, Dr. Abelson stated his diagnosis of N's failure to thrive prior to his admission was due to an "inadequate intake of calories".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Upon N's discharge from hospital in Prince George, he was placed in foster care by the Ministry. Dr. Abelson saw N again on May 15, 2012 at which time N's increase in weight was "unbelievable", in Dr. Abelson's words. Dr. Abelson testified there was "no doubt the failure to thrive had been caused by a lack of caloric intake". Dr. York made similar observations at a follow-up appointment on April 16, 2012, and so reported to Dr. Abelson.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August 10, 2012, Dr. York again attended upon SH and N during which time SH reported that she was having difficulty feeding N. There was no record of N's weight at that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When questioned at trial regarding SH's demeanour during the August 10, 2012, visit, Dr. York testified RH "seemed concerned" and that based upon the past he was surprised and encouraged that SH had brought N in to see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York saw N once again after having been called by a social worker regarding possible abuse of N by his mother and agreed to see N on an urgent basis. He was made aware of N having been taken to the emergency department at the Williams Lake hospital after reportedly having fallen down stairs while in his stroller. Dr. York testified that on that occasion N was alert and smiling and had a "greenish brown bruise" on his forehead. SH stated N had been bitten by another foster child, that the bruise pattern was consistent with a small bite. N also had a red rash under his left eye and on the right side of his neck. Dr. York concluded the bruises were consistent with the report of a fall down the stairs seven days previous and that the rash evidenced an inflammatory concern and not a traumatic event. Dr. York stated that based upon the history he entertained the possibility of physical abuse regarding 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Crown called as an expert witness Dr. Monica McKay, a consultant in pediatrics at the Williams Lake Hospital, who was qualified to opine on the treatment of disease and physiology and health in the human body, in particular the pre-adult body. Dr. McKay saw N on August 17, 2012. N had been admitted to the hospital due to problems his mother was experiencing in feeding N. SH had expressed her concern as to whether N was progressing, that she was living on her own with the baby and needed help for child care. Dr. McKay noted that developmentally N was "on track, holding furniture, sitting, babbling and holding items". She further noted that N seemed "to be doing well, cruising . . . ". He was being fed formula and Dr. McKay suggested he should be consuming one-half formula and one-half solids". Dr. McKay referred SH to a dietician.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Although N seemed healthy to Dr. McKay, she noted that N had a small "yellow or greenish" bruise on his inner eye lid which appeared to be healing. Dr. McKay admitted the injury may have been accidental, or consistent with the baby "banging" itself, but as the child had previously been at risk she had some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McKay saw N on one more occasion on May 3, 2013, when N was brought in by his mother and his foster mother. At that time, Dr. McKay testified N was "doing well" and on the growth chart N was at the 50th percentile, a positive indication.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Denise Chapple, a very experienced and highly respected pediatrician, also testified for the Crown and was qualified as an expert in medical and pediatric approaches to the recognition of signs and symptoms of child abuse and child neglect. Dr. Chapple testified that she was a consulting physician for the Suspected Child Abuse and Neglect Clinic (the "SCAN clinic") at Royal Inland Hospital in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Chapple was consulted regarding the welfare of N by the Ministry on October 10, 2012. She was retained to undertake a general medical review and to investigate suspicious bruising on N's body which had been observed by a social worker assigned to N's case. Bruising was not apparent at the time Dr. Chapple saw 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Chapple reviewed N's history including the clinical records of Drs. York and Abelson and the records the UHNBC made during N's time at the hospital. Dr. Chapple provided the Court with the following opinions, among others: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N's failure to thrive was "significant, in that he wasn't losing weight, but he certainly wasn't gaining weight appropriately." She agreed that the cause of N's failure to thrive was inadequate caloric intake;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inadequate caloric intake is severe, there is some risk of death, especially if the baby is dehydrated. Inadequate nutrition can also result in loss of weight, height, head circumference and brain growth;</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four-and-a-half months of age, when N had first seen Dr. Abelson, N's growth rate had fallen well below the lowest 5% of babies on the growth chart; at seven months, after being admitted to hospital, N had gained weight such that he had climbed on his growth rate chart up to the equivalent of at least 25% of babies;</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X-rays of N at four-and-a-half months which Dr. Chapple requested be sent to British Columbia Children's Hospital for review indicated a healing rib fracture which had not previously been detected by staff at the Williams Lake hospital. Dr. Chapple opined that the fracture was sub-acute, i.e. at the time of the X-ray was between 8 and 35 days old. She continued to state that there was no evidence of bone disease or any other explanation for the rib fracture and that the most common cause of such injuries in babies N's age is physical trauma through the application of force, such as squeezing or a significant blow. Dr. Chapple continued to opine that the odds of a fracture being indicative of abuse in a child under three years of age is 95%. Such fractures are unusual as such a young child would not be mobile, and here there was no history of how the fracture had occurred. Further, Dr. Chapple opined the fracture would not have occurred from normal handling;</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Bruising in children under nine months of age is rare, evidenced in less than 1% of cases. At the pre-cruising stage, babies were not expected to bruise; it is only once they start moving on their own that the front of the body and bony areas such as knees and elbows, nose and the back of the head are expected to bruise. She continued to state that causes of bruises include a blunt force or an underlying blood condition with trauma but that there was no evidence of any blood condition with N. As well, there had been evidence at trial of bruising in the same location on the top or helix of N's ears and over his eyelids; Dr. Chapple opined that if she had seen a bruise on the top of each ear at the helix of the ear, it would raise concerns of abuse;</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"petechiae", which are red or purple spots on the skin caused by bleeding into the skin, is six times more common in abused children. Petechiae were observed on one occasion on N's chest area. Dr. Chapple added that there was no underlying blood condition to explain the bruising according to blood tests carried out on N and concluded it was much more likely the petechiae resulted from a traumatic event;</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N's file there was no evidence of injuries caused by shaking;</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bruise in the area of N's eye was not likely self-inflicted but could have been caused by another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Chapple was also cross-examined as to the number of occasions when SH had sought medical help, either through doctors' appointments or attendances at emergency with N of which there were, by the Court's count, over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Carrie Vigue, a child protection worker with the Ministry, testified regarding her involvement with SH and N commencing August 2012. She and her fellow worker had received reports of N having bruises on his face. Upon proceeding to the then residence of SH and N, the witness observed purple bruises on the top of both of N's ears, which were described as "quite symmetrical". She added that the bruises were on the front and back of each ear. Ms. Vigue also noticed red marks on N's neck which appeared to be similar to a rash, "scaly-ish", she said, not a smooth skin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response to questions from Ms. Vigue, SH responded that N had fallen down stairs in his stroller. Ms. Vigue thought it unusual that the bruises would be so symmetrical if N had fallen down stairs. After discussing courses in parenting recommended to SH after August of 2012, when N had been placed again in voluntary care, she also discussed the possibility of the province not allowing N to go home with SH. SH, according to Ms. Vigue, responded that at first SH "did not want to touch him for the first four months, she was afraid of him, left everything to RH and he screwed it up" and "he [N] was just something she had given birth to". SH added that she was afraid she would shake him and was concerned her postpartum depression would set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November 26, 2012, N was removed from the care of SH by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RH, with whom SH lived starting approximately one week before N's birth until June of 2012, also testified at trial. His evidence related to how, in his opinion, SH was overwhelmed and frustrated with the responsibilities of motherhood, but was often receptive to asking for help with the baby. RH detailed how he tried to help, often feeding N twice in the evenings and putting him to bed before he left for his evening and overnight shift as a security guard and feeding him again on his return from his shift. He testified to trying to show SH how to prepare the baby's formula, but also stated "at no time do I recall when N was not hungry".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RH testified that SH's demeanour was desperate, and that she often told the baby to "shut up" if it was making noise. Regarding instances of abuse, RH testified to having seen SH strike N on the head when N cried so as to get him to stop crying. RH also witnessed SH pick N up and "squeeze" him, and on another occasion pull N out from under a desk by his wrists and squeeze him for 20 or 30 seconds following which he took N away from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Regarding injuries he observed on N, RH described occasions when N had "red marks on his neck", and recalled a bruise on the side of his head when SH said she accidentally sat on N on the bed and bruises on the front of N's face when she described how he fell down the stairs in his stroller.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Another witness for the Crown was Yvonne L'Heureux, a former friend of SH, who described incidents in August of 2012 when SH had been swinging N and dropped him onto the floor, among other alleged abuse. I note that Ms. L'Heureux and SH have not been friends for some time and no longer "see eye to eye". SH disputed Ms. L'Heureux's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Jodilyn Fast was the foster parent who began to care for N after N was discharged from hospital on April 3, 2012. Ms. Fast has been a foster parent to 60 children over a period of 23 years, all referred to her by the Ministry. She testified how N improved and grew in her care with N spending some weekends and other miscellaneous days looking after N. Ms. Fast testified that she had no difficulty feeding N, contrary to SH's reports. She recalled seeing marks on N several times, once in July of 2012 when SH told her that N had fallen from a chair and his left eye was purple in colour. She also described how N's face and right eye were swollen and bruised following the alleged fall down the stairs in his stroller.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cross-examination, Ms. Fast agreed that SH did not appear to be knowledgeable regarding feeding N, especially what types of food and the timing of feeding. She felt SH was overwhelmed trying to look after 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Crown also entered in evidence a compact disc and transcript of a statement by SH given to Cst. Cropley of the Williams Lake RCMP on January 5, 2013. Included in that statement were the following excerpts:</w:t>
      </w:r>
      <w:r>
        <w:rPr>
          <w:rFonts w:ascii="arial" w:eastAsia="arial" w:hAnsi="arial" w:cs="arial"/>
          <w:sz w:val="20"/>
          <w:lang w:val="en-US" w:eastAsia="en-US" w:bidi="ar-SA"/>
        </w:rPr>
        <w:cr/>
      </w:r>
    </w:p>
    <w:p>
      <w:pPr>
        <w:numPr>
          <w:numId w:val="2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 - Well because of the depression I slept just about twenty four hours a day so anything that [N] needed to have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Cropley - Mh hm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 - [RH] did it for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Cropley - Okay did you go see a doctor about depression - your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 - I didn't go until December of last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Cropley - And who was that doctor?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 - Dr. York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 - Ah my relationship with [N] there pretty much wasn't one um and [RH] and I didn't really get along towards - like it started changing about December that we stopped getting along of last year sorry for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Cst. Cropley - Yah approximately six months okay um did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you ever ah physically ah hit him or assault him at 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 - Ah no I shook him once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Cst. Cropley - Tell me more about ah how that all happened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 - Um my [postpartum] overcame me when I was changing [N]'s diaper and I don't really exactly remember what happened I just know that I shook him and [RH] walked in the room smacked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Cropley - And sometimes y'know kids just don't cooperate and it just gets so frustrating um were there other times when you did feel frustrated with N often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 - Not often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Cropley - No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 - I wasn't around him enough to feel like that often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 - Well I told him to shut up quite a bit when I was in my depressive mood yah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 - The whole time I we pretty much just slept all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Cropley - At any time throughout your guy's um contact when you had custody of [N] did you ever think about ah killing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 - Mh hm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Cropley - You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 - I'm not gonna lie yah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Cropley - Mh hm tell me more about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 - Well with [postpartum] and with the way this biological father was at sometimes I did rather he be dead than having to be burdened with everything that I was going through and he was going through and but I never actually like did anything to kill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Finally, SH testified on her own behalf. She described in detail the difficult life she had experienced through her childhood, her parent's separation, her father's battle with alcohol, his step-mother's drug addiction and how she had lived on her own for lengthy periods, especially during 2010 when she was regularly "couch surfing" and subsisting off of underage welfare. The emphasis in her evidence was the she never had parents as good role models, often had to fend for herself, suffered from depression, and had never lived in a home where a baby was present and being cared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 testified how during the first 3-4 months after N was born she would try to get out of bed to help care for N, but she "did not care for him a lot". She estimated she cared for him 30% of the time, with RH looking after N the rest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Regarding any education or courses she may have taken in child care, she testified that there were courses available to her in the care of infants while she was living in 100 Mile House but she had not taken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added that she had been concerned in early 2012 that something was wrong with N, at one point had taken N to Dr. York regarding him gaining weight by adding Pablum to the bottles; however, that process did not work and she ended up going back for more advice. She also stated that she understood N was small due to "genetics" and he had been premature, inferring she did not understand N was not thriving due to lack of food. She stated in her evidence that she was not "overwhelmed" but "in slightly over my head". She denied slapping N on the head but admitted that the allegations of abuse she described in her interview by Cst. Cropley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 also testified that while caring for N she was "wading through depression" but tried to do the right things for 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Regarding the failure at first to show up at the UHNBC as required by Dr. Abelson she testified that she and RH did not have money for gas for the trip but after Dr. Abelson insisting, were able to take N to the hospital three days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cross-examination SH agreed she was "frazzled as a mom", "slept too much", "didn't care about anything" and would "rather stay in bed than anything else". She attributed her attitude in that period to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Authorities Regarding s. 215 of the </w:t>
      </w:r>
      <w:r>
        <w:rPr>
          <w:rFonts w:ascii="arial" w:eastAsia="arial" w:hAnsi="arial" w:cs="arial"/>
          <w:b/>
          <w:i/>
          <w:color w:val="000000"/>
          <w:sz w:val="20"/>
          <w:u w:val="single"/>
          <w:lang w:val="en-US" w:eastAsia="en-US" w:bidi="ar-SA"/>
        </w:rPr>
        <w:t>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leading case regarding allegations of failing to provide the necessities of life under s. 215 is </w:t>
      </w:r>
      <w:r>
        <w:rPr>
          <w:rFonts w:ascii="arial" w:eastAsia="arial" w:hAnsi="arial" w:cs="arial"/>
          <w:i/>
          <w:color w:val="000000"/>
          <w:sz w:val="20"/>
          <w:lang w:val="en-US" w:eastAsia="en-US" w:bidi="ar-SA"/>
        </w:rPr>
        <w:t>R. v. Naglik</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[1993] 3 S.C.R. 122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Naglik</w:t>
      </w:r>
      <w:r>
        <w:rPr>
          <w:rFonts w:ascii="arial" w:eastAsia="arial" w:hAnsi="arial" w:cs="arial"/>
          <w:color w:val="000000"/>
          <w:sz w:val="20"/>
          <w:lang w:val="en-US" w:eastAsia="en-US" w:bidi="ar-SA"/>
        </w:rPr>
        <w:t>, Mr. Justice Lamer stated at paras. 34-37: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 . . Section 215 is aimed at establishing a uniform minimum level of care to be provided for those to whom it applies, and this can only be achieved if those under the duty are held to a societal, rather than a personal, standard of conduct. While the section does not purport to prescribe parenting or care-giving techniques, it does serve to set the floor for the provision of necessaries, at the level indicated by, for example, the circumstances described in subs. (2)(a)(ii). The effects of a negligent failure to perform the duty will be as serious as an intentional refusal to perform the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In </w:t>
      </w:r>
      <w:r>
        <w:rPr>
          <w:rFonts w:ascii="arial" w:eastAsia="arial" w:hAnsi="arial" w:cs="arial"/>
          <w:i/>
          <w:color w:val="000000"/>
          <w:sz w:val="20"/>
          <w:lang w:val="en-US" w:eastAsia="en-US" w:bidi="ar-SA"/>
        </w:rPr>
        <w:t>R. v. Gosset</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[1993] 3 S.C.R. 76</w:t>
        </w:r>
      </w:hyperlink>
      <w:r>
        <w:rPr>
          <w:rFonts w:ascii="arial" w:eastAsia="arial" w:hAnsi="arial" w:cs="arial"/>
          <w:color w:val="000000"/>
          <w:sz w:val="20"/>
          <w:lang w:val="en-US" w:eastAsia="en-US" w:bidi="ar-SA"/>
        </w:rPr>
        <w:t xml:space="preserve"> (judgment rendered concurrently), I discuss the nature of objective liability in the criminal law, which I term "penal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Briefly, </w:t>
      </w:r>
      <w:r>
        <w:rPr>
          <w:rFonts w:ascii="arial" w:eastAsia="arial" w:hAnsi="arial" w:cs="arial"/>
          <w:i/>
          <w:color w:val="000000"/>
          <w:sz w:val="20"/>
          <w:lang w:val="en-US" w:eastAsia="en-US" w:bidi="ar-SA"/>
        </w:rPr>
        <w:t>Gosset</w:t>
      </w:r>
      <w:r>
        <w:rPr>
          <w:rFonts w:ascii="arial" w:eastAsia="arial" w:hAnsi="arial" w:cs="arial"/>
          <w:color w:val="000000"/>
          <w:sz w:val="20"/>
          <w:lang w:val="en-US" w:eastAsia="en-US" w:bidi="ar-SA"/>
        </w:rPr>
        <w:t xml:space="preserve"> establishes that penal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punishes a marked departure from an objectively reasonable standard of care, in accord with Cory J.'s reasons in </w:t>
      </w:r>
      <w:r>
        <w:rPr>
          <w:rFonts w:ascii="arial" w:eastAsia="arial" w:hAnsi="arial" w:cs="arial"/>
          <w:i/>
          <w:color w:val="000000"/>
          <w:sz w:val="20"/>
          <w:lang w:val="en-US" w:eastAsia="en-US" w:bidi="ar-SA"/>
        </w:rPr>
        <w:t>R. v. Hundal</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[1993] 1 S.C.R. 867</w:t>
        </w:r>
      </w:hyperlink>
      <w:r>
        <w:rPr>
          <w:rFonts w:ascii="arial" w:eastAsia="arial" w:hAnsi="arial" w:cs="arial"/>
          <w:color w:val="000000"/>
          <w:sz w:val="20"/>
          <w:lang w:val="en-US" w:eastAsia="en-US" w:bidi="ar-SA"/>
        </w:rPr>
        <w:t xml:space="preserve">. However, I also make it clear in </w:t>
      </w:r>
      <w:r>
        <w:rPr>
          <w:rFonts w:ascii="arial" w:eastAsia="arial" w:hAnsi="arial" w:cs="arial"/>
          <w:i/>
          <w:color w:val="000000"/>
          <w:sz w:val="20"/>
          <w:lang w:val="en-US" w:eastAsia="en-US" w:bidi="ar-SA"/>
        </w:rPr>
        <w:t>Gosset</w:t>
      </w:r>
      <w:r>
        <w:rPr>
          <w:rFonts w:ascii="arial" w:eastAsia="arial" w:hAnsi="arial" w:cs="arial"/>
          <w:color w:val="000000"/>
          <w:sz w:val="20"/>
          <w:lang w:val="en-US" w:eastAsia="en-US" w:bidi="ar-SA"/>
        </w:rPr>
        <w:t xml:space="preserve"> that the reasonableness of the accused's conduct is not to be assessed in the abstract, but with reference to the circumstances of the accused and the offence, to avoid punishing the morally innocent who could not have acted other than they did in the circumstances; specifically, in </w:t>
      </w:r>
      <w:r>
        <w:rPr>
          <w:rFonts w:ascii="arial" w:eastAsia="arial" w:hAnsi="arial" w:cs="arial"/>
          <w:i/>
          <w:color w:val="000000"/>
          <w:sz w:val="20"/>
          <w:lang w:val="en-US" w:eastAsia="en-US" w:bidi="ar-SA"/>
        </w:rPr>
        <w:t>Gosset</w:t>
      </w:r>
      <w:r>
        <w:rPr>
          <w:rFonts w:ascii="arial" w:eastAsia="arial" w:hAnsi="arial" w:cs="arial"/>
          <w:color w:val="000000"/>
          <w:sz w:val="20"/>
          <w:lang w:val="en-US" w:eastAsia="en-US" w:bidi="ar-SA"/>
        </w:rPr>
        <w:t xml:space="preserve"> I summarize the operation of penal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 at pp. 95-96: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a marked departure from the standard of care is established, the focus of the investigation under penal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shift, therefore, to the question of </w:t>
      </w:r>
      <w:r>
        <w:rPr>
          <w:rFonts w:ascii="arial" w:eastAsia="arial" w:hAnsi="arial" w:cs="arial"/>
          <w:color w:val="000000"/>
          <w:sz w:val="20"/>
          <w:u w:val="single"/>
          <w:lang w:val="en-US" w:eastAsia="en-US" w:bidi="ar-SA"/>
        </w:rPr>
        <w:t>whether the accused was capable of recognizing that he or she had fallen short of the standard of care required in the circumstances by the charging section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What parts of the offence must be objectively foreseeable? In this appeal, Naglik was charged under ss. 197(2)(a)(ii) and 197(3) (now ss. 215(2)(a)(ii) and 215(3))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which make the failure to fulfil the duty to provide necessaries an offence where "the failure to perform the duty endangers the life of the person to whom the duty is owed, or causes or is likely to cause the health of that person to be endangered permanently". </w:t>
      </w:r>
      <w:r>
        <w:rPr>
          <w:rFonts w:ascii="arial" w:eastAsia="arial" w:hAnsi="arial" w:cs="arial"/>
          <w:color w:val="000000"/>
          <w:sz w:val="20"/>
          <w:u w:val="single"/>
          <w:lang w:val="en-US" w:eastAsia="en-US" w:bidi="ar-SA"/>
        </w:rPr>
        <w:t>I would hold that s. 215(2)(a) (ii) punishes a marked departure from the conduct of a reasonably prudent parent in circumstances where it was objectively foreseeable that the failure to provide the necessaries of life would lead to a risk of danger to the life, or a risk of permanent endangerment to the health, of the child</w:t>
      </w: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From the words of Mr. Justice Lamer, the following analysis is necessary in considering a charge against a parent under s. 215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and applying that analysis to the circumstances of SH.</w:t>
      </w:r>
      <w:r>
        <w:rPr>
          <w:rFonts w:ascii="arial" w:eastAsia="arial" w:hAnsi="arial" w:cs="arial"/>
          <w:sz w:val="20"/>
          <w:lang w:val="en-US" w:eastAsia="en-US" w:bidi="ar-SA"/>
        </w:rPr>
        <w:cr/>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Marked Departure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element considers whether SH's actions or omissions were a marked departure from the standard of care being a community or objective standard for the care of an infant.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From Dr. York's first examination of N on November 14, 2011, SH was made aware of his concerns that N's weight was lower than average and his growth rates had fallen below those of healthy children. He asked SH to bring N in for further appointments, and further recommended admission to UHNBC. Though SH expressed concern regarding N's weight, she skipped or cancelled appointments and at first failed to deliver the child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Of note around these cancellations and delays of treatment are that SH delayed N's examination or treatment in the face of repeated expressions of concern from N's doctors. She likewise misled N's doctors that she was providing adequate nutrition to 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Balancing these issues are SH's concern about N's health in February 2012, which resulted in her going to her doctor for assistance. Similar visits occurred after N had been hospitalized.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Nonetheless, the child was not growing, was regressing in his activities, and was sleeping far more hours than could have been expected for a child of his age. SH knew she was inadequately caring for N and had been made aware of Dr. York and Dr. Abelson's concerns. SH's failure to take action on the advice of the doctors amounts to a marked departure from the standard of care that could have been expected of a prudent mother, at least in the period of time between N's first visit to Dr. York in November 2011 and the admission of N to hospital in March of 2012.</w:t>
      </w:r>
      <w:r>
        <w:rPr>
          <w:rFonts w:ascii="arial" w:eastAsia="arial" w:hAnsi="arial" w:cs="arial"/>
          <w:sz w:val="20"/>
          <w:lang w:val="en-US" w:eastAsia="en-US" w:bidi="ar-SA"/>
        </w:rPr>
        <w:cr/>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element considers whether the accused was capable of recognizing that she had fallen short of the minimum standard of care such that she can be found morally guilty.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SH's testimony can be summarized to say that she was depressed and unaware of how to properly care for a child, but that she tried to do the right thing. She often referred to postpartum depression during her evidence, however, I note that she was not diagnosed with postpartum depression by her physicians. I accept that SH was suffering from depression, but was the depression to such a degree it was not objectively foreseeable that she was failing to meet community standards of caring for N, endangering his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Fitze</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(2000) 264 A.R. 319</w:t>
        </w:r>
      </w:hyperlink>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35 C.R. (5th) 114</w:t>
        </w:r>
      </w:hyperlink>
      <w:r>
        <w:rPr>
          <w:rFonts w:ascii="arial" w:eastAsia="arial" w:hAnsi="arial" w:cs="arial"/>
          <w:color w:val="000000"/>
          <w:sz w:val="20"/>
          <w:lang w:val="en-US" w:eastAsia="en-US" w:bidi="ar-SA"/>
        </w:rPr>
        <w:t>, Mr. Justice Verville of the Alberta Court of Queen's Bench was faced with a situation not unlike that before this Court. Commencing at para. 51, Verville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Taking into consideration the evidence of all of the witnesses who testified on this issue and the video which I had the opportunity to observe, I am of the view that Tammy Fritze suffered from a mild to moderate form of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I find, however, that while her appreciation of events may have been somewhat diminished, Tammy Fitze's condition did not affect her ability to realize that her care of Gaelen had fallen short of the standard required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SH testified at trial and stated to Cst. Cropley on several occasions that she had been suffering postpartum depression, that she was sleeping most of the time and that she was looking to RH to look after N. However, she had been made aware by November 2011 by Dr. York that N was small and on the growth chart his weight was lower than average. During her February 14, 2012, attendance on Dr. York, SH expressed concern about N's weight. SH's statements reflect concern that N was not thriving, but she did not appear to be accepting responsibility for N's failure to thrive or making appropriate efforts to correct it. SH's statements tend to deflect responsibility to her then roommate, RH, to her depression and to her lack of experience around young babies. I find that her statements reflect an awareness that she was falling short of a minimum standard of care for N, as well as a belief that her failures were excused by her depression, lack of experience and reliance upon others, i.e. she was capable of recognizing her failure and the attendant risks but was not willing to accept responsibility for the same.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Reasonable Foreseeability of Death or Permanent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This element considers whether it was objectively foreseeable that the failure to provide the necessities of life would endanger N's life or cause or likely cause his health to be permanently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From the testimony of Dr. York and Dr. Abelson, prior to treatment N was at significant risk of future harm as a result of SH's failure to provide him adequate calories or otherwise facilitate treatment for his depressed condition. Dr. Abelson in particular noted N's "dramatic fall off the growth curve" and that N was "severely malnourished".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manner and extent of that harm was detailed by Dr. Chapple, who outlined that inadequate nutrition invites risk of loss of weight, height, head circumference, and brain growth. In extreme cases risks include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the basis of this testimony I find that SH's failure to adequately feed N endangered N's life and would have likely caused his health to be permanently injured.</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Lawful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This element considers whether there was a lawful excuse for the failures of the accused. The term "lawful excuse" is unfortunately ambiguous, but in the context of the provisions seems to refer to a reason for the neglect that is sanctioned by law, or for which it would be inequitable to convict the accused: see </w:t>
      </w:r>
      <w:r>
        <w:rPr>
          <w:rFonts w:ascii="arial" w:eastAsia="arial" w:hAnsi="arial" w:cs="arial"/>
          <w:i/>
          <w:color w:val="000000"/>
          <w:sz w:val="20"/>
          <w:lang w:val="en-US" w:eastAsia="en-US" w:bidi="ar-SA"/>
        </w:rPr>
        <w:t>R. v. S.J.,</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2015 ONCA 97</w:t>
        </w:r>
      </w:hyperlink>
      <w:r>
        <w:rPr>
          <w:rFonts w:ascii="arial" w:eastAsia="arial" w:hAnsi="arial" w:cs="arial"/>
          <w:color w:val="000000"/>
          <w:sz w:val="20"/>
          <w:lang w:val="en-US" w:eastAsia="en-US" w:bidi="ar-SA"/>
        </w:rPr>
        <w:t xml:space="preserv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After referring to </w:t>
      </w:r>
      <w:r>
        <w:rPr>
          <w:rFonts w:ascii="arial" w:eastAsia="arial" w:hAnsi="arial" w:cs="arial"/>
          <w:i/>
          <w:color w:val="000000"/>
          <w:sz w:val="20"/>
          <w:lang w:val="en-US" w:eastAsia="en-US" w:bidi="ar-SA"/>
        </w:rPr>
        <w:t>Naglik,</w:t>
      </w:r>
      <w:r>
        <w:rPr>
          <w:rFonts w:ascii="arial" w:eastAsia="arial" w:hAnsi="arial" w:cs="arial"/>
          <w:color w:val="000000"/>
          <w:sz w:val="20"/>
          <w:lang w:val="en-US" w:eastAsia="en-US" w:bidi="ar-SA"/>
        </w:rPr>
        <w:t xml:space="preserve"> Mr. Justice Verville stated in </w:t>
      </w:r>
      <w:r>
        <w:rPr>
          <w:rFonts w:ascii="arial" w:eastAsia="arial" w:hAnsi="arial" w:cs="arial"/>
          <w:i/>
          <w:color w:val="000000"/>
          <w:sz w:val="20"/>
          <w:lang w:val="en-US" w:eastAsia="en-US" w:bidi="ar-SA"/>
        </w:rPr>
        <w:t>Fitze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 do not have a reasonable doubt, in all the circumstances, that Tammy Fitze may have been sufficiently severely depressed that this would have constituted a lawful excuse, that is, she was not sufficiently depressed that she could not have realized she was failing to provide the necessaries of life to Gaelen. In the circumstances, I find the mild to moderate form of depression suffered by Tammy Fitze does not constitute a lawful excuse. Accordingly, I find Tammy Fitze guilty of failing to provide the necessaries of life to Gaelen.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Thus, in </w:t>
      </w:r>
      <w:r>
        <w:rPr>
          <w:rFonts w:ascii="arial" w:eastAsia="arial" w:hAnsi="arial" w:cs="arial"/>
          <w:i/>
          <w:color w:val="000000"/>
          <w:sz w:val="20"/>
          <w:lang w:val="en-US" w:eastAsia="en-US" w:bidi="ar-SA"/>
        </w:rPr>
        <w:t>Fitze</w:t>
      </w:r>
      <w:r>
        <w:rPr>
          <w:rFonts w:ascii="arial" w:eastAsia="arial" w:hAnsi="arial" w:cs="arial"/>
          <w:color w:val="000000"/>
          <w:sz w:val="20"/>
          <w:lang w:val="en-US" w:eastAsia="en-US" w:bidi="ar-SA"/>
        </w:rPr>
        <w:t xml:space="preserve"> a moderate depression, though it may have diminished the accused's appreciation of events short of incapacity, did not constitute a lawful excuse for failing to provide the necessaries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this case, Dr. York's evidence established that SH had been suffering from depression prior to N's birth but does not establish that she suffered from postpartum depression as SH has stated at trial. Despite the difficulties her depression may have caused, I cannot concede that it amounts to a lawful excuse in the circumstances. It may, however, be raised at sentencing.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SH, would you please stand. For the reasons above, I find the accused guilty of both Counts 1 and 2 as charged in the indictment.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With respect to Count 1, I find SH shook N on six occasions from the time he was a newborn to the time he was six months old; struck N to the head on four occasions when N was between nine to 10 months old, causing bruising; and squeezing his torso at 10 months old. One of these assaults, committed when N was three or four months, fractured N's rib.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Count 2, SH's failure to properly feed N, together with her failure to obtain for him appropriate medical care or provide his doctors with accurate information as to his feeding schedules, constituted a marked departure from the conduct of a prudent parent in the circumstances. SH's actions after March 23, 2012, do not meet this threshold.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JENKINS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Sandhu v. HSBC Finance Mortgages Inc., [2017] B.C.J. No. 1013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K.N. Affleck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13-14, 2017;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19 and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S115747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1013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874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Sandip Sandhu and Harinder Sandhu, Kirsten Simmons and Stephen Simmons, Plaintiffs, and HSBC Finance Mortgages Inc. and Household Trust Company, Defendants BROUGHT PURSUANT to The Class Proceedings Act, R.S.B.C. 1996, c. 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0"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8" w:name="Keywords_36"/>
      <w:bookmarkEnd w:id="238"/>
      <w:r>
        <w:rPr>
          <w:rFonts w:ascii="arial" w:eastAsia="arial" w:hAnsi="arial" w:cs="arial"/>
          <w:b/>
          <w:color w:val="000000"/>
          <w:sz w:val="20"/>
          <w:lang w:val="en-US" w:eastAsia="en-US" w:bidi="ar-SA"/>
        </w:rPr>
        <w:t>Civil litigation — Civil procedure — Parties — Class or representative actions — Certification — Common interests and issues — Application by the plaintiffs for certification of the proposed class action dismissed — The plaintiffs, customers of the defendant HSBC Finance Mortgage (HSBC), claimed that HSBC had improperly charged them its legal fees for their mortgages, and claimed misrepresentation — While the plaintiffs had established commonality as to their claims on common contracts, and damages, they had not established that a class proceeding was the preferable procedure for dealing with their individual claims, which could be redressed by alternate statutory provisions — Business Practices and Consumer Protection Act, s. 172; Class Proceedings Act, s. 4(1).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Mortgages — Mortgage agreement — Terms — Express terms — Application by the plaintiffs for certification of the proposed class action dismissed — The plaintiffs, customers of the defendant HSBC Finance Mortgage (HSBC), claimed that HSBC had improperly charged them its legal fees for their mortgages, and claimed misrepresentation — While the plaintiffs had established commonality as to their claims on common contracts, and damages, they had not established that a class proceeding was the preferable procedure for dealing with their individual claims, which could be redressed by alternate statutory provisions — Business Practices and Consumer Protection Act, s. 172; Class Proceedings Act, s. 4(1).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9" w:name="Case Summary_32"/>
            <w:bookmarkEnd w:id="2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for certification of the proposed class action. The plaintiffs, customers of the defendant HSBC Finance Mortgage (HSBC), claimed that HSBC had improperly charged them its legal fees for their mortgages, and claimed misrepresentation by HSBC. HSBC had sought to dismiss the class action certification application, claiming that the plaintiffs had not established commonality of issues or damages; HSBC's application was allowed. On appeal, the Court of Appeal determined that a core list of common issues existed, and ordered that those issues be determined. On this redetermination, the court focussed on the issues of commonality of damages, and whether the proposed class action, as framed, was the best procedure to pursue the putative class members' individual claims. HSBC argued that the plaintiffs' claim that they suffered a loss was spurious, and denied that the plaintiffs' suffered any losses giving rise to a common issue or interest. HSBC noted that the Business Practices and Consumer Protection Act, particularly s. 172, would provide a more efficient means for the individual plaintiffs to seek redress.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0" w:name="Holdings of Court_27"/>
            <w:bookmarkEnd w:id="24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each putative class member's claim could be different, depending on the legal fees paid, that alone was not a bar to certification. The issues left open by the Court of Appeal met the certification criteria as to commonality. However, the fact that a far simpler procedure was available to each plaintiff under the BPCPA, which would determine whether the defendant engaged in deceptive acts or practices would provide financial redress if so. Accordingly, the class proceeding in this matter was not certified, where it failed to meet the requirement of preferability pursuant to s. 4(1)(d) of the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1" w:name="Legislation Cited_24"/>
      <w:bookmarkEnd w:id="2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1"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Business Practices and Consumer Protection Act, s.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440"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(1), s. 4(1) (c), s. 4(1)(d),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Mortgage Brokers Act, s. 17(3)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Trust and Loans Companies Act, </w:t>
      </w:r>
      <w:hyperlink r:id="rId644" w:history="1">
        <w:r>
          <w:rPr>
            <w:rFonts w:ascii="arial" w:eastAsia="arial" w:hAnsi="arial" w:cs="arial"/>
            <w:i/>
            <w:color w:val="0077CC"/>
            <w:sz w:val="20"/>
            <w:u w:val="single"/>
            <w:shd w:val="clear" w:color="auto" w:fill="FFFFFF"/>
            <w:lang w:val="en-US" w:eastAsia="en-US" w:bidi="ar-SA"/>
          </w:rPr>
          <w:t>S.C. 1991, c. 45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2" w:name="Counsel_36"/>
      <w:bookmarkEnd w:id="2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R.W. Cooper. Q.C., B.W. Lemer.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J.M. Sullivan, R.L. Reinertson.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3" w:name="Judgment_36"/>
      <w:bookmarkEnd w:id="243"/>
      <w:r>
        <w:pict>
          <v:line id="_x0000_s1203"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BACKGROUND TO THIS APPLICATION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SUBMISSIONS OF THE PLAINTIFFS ON S. 4(1)(C) OF THE ACT</w:t>
      </w:r>
    </w:p>
    <w:p>
      <w:p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(COMMONALITY)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PLAINTIFFS' SUBMISSION ON THE GOVERNING LEGAL PRINCIPLES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PLAINTIFFS' SUBMISSIONS ON THE PREFERABLE PROCEDURE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SUBMISSIONS OF HSBC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HSBC'S SUBMISSIONS ON S. 4(1)(C) COMMONALITY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HSBC'S SUBMISSIONS ON PREFERABILITY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ANALYSIS OF WHETHER THE CLAIMS RAISE COMMON ISSUES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DISCUSSION AND CONCLUSION ON THE ISSUE OF PREFERABILITY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4" w:name="K.N. AFFLECK J."/>
            <w:bookmarkEnd w:id="244"/>
            <w:r>
              <w:rPr>
                <w:rFonts w:ascii="arial" w:eastAsia="arial" w:hAnsi="arial" w:cs="arial"/>
                <w:b/>
                <w:color w:val="000000"/>
                <w:sz w:val="30"/>
                <w:lang w:val="en-US" w:eastAsia="en-US" w:bidi="ar-SA"/>
              </w:rPr>
              <w:t>K.N. AFFLECK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BACKGROUND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application is a further step in the efforts by the plaintiffs to certify this action pursuant to Part 2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April 20, 2007, Sandip Sandhu and Harinder Sandhu commenced this action. They claimed damages for themselves and for "all other persons who obtained a mortgage or loan from the defendants between January 1, 2001 and January 1, 2007." This was because, as alleged on the endorsement to the writ of summons, "the defendants did not disclose the cost of borrowing as a required by statute." The endorsement also outlines the claim that "the plaintiffs were charged for title insurance which was never purchased for their benefit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April 16, 2008, a statement of claim was filed, which was followed in the ensuing years by various amendments culminating, prior to a certification application, in an amended notice of civil claim filed on October 18,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February 2014 a certification application was heard over four days by Burnyeat J., who certified numerous issues to be tried in a class proceeding. The reasons of Burnyeat J., indexed at </w:t>
      </w:r>
      <w:hyperlink r:id="rId645" w:history="1">
        <w:r>
          <w:rPr>
            <w:rFonts w:ascii="arial" w:eastAsia="arial" w:hAnsi="arial" w:cs="arial"/>
            <w:i/>
            <w:color w:val="0077CC"/>
            <w:sz w:val="20"/>
            <w:u w:val="single"/>
            <w:shd w:val="clear" w:color="auto" w:fill="FFFFFF"/>
            <w:lang w:val="en-US" w:eastAsia="en-US" w:bidi="ar-SA"/>
          </w:rPr>
          <w:t>2014 BCSC 2041</w:t>
        </w:r>
      </w:hyperlink>
      <w:r>
        <w:rPr>
          <w:rFonts w:ascii="arial" w:eastAsia="arial" w:hAnsi="arial" w:cs="arial"/>
          <w:color w:val="000000"/>
          <w:sz w:val="20"/>
          <w:lang w:val="en-US" w:eastAsia="en-US" w:bidi="ar-SA"/>
        </w:rPr>
        <w:t>, began: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The order sought by the Plaintiffs is that this Action be certified as a class proceeding with the class defined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persons resident in British Columbia with whom the Defendants engaged in the Mortgage Business (as defined in the Amended Notice of Civil Claim) and who paid a fee from their mortgage proceeds or other funds for title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On behalf of the Class Members, the Representative Plaintiffs claim damages, statutory remedies and restitutionary remedies arising from the alleged failure to disclose the cost of borrowing, the secret charging of legal fees, and the unlawful selling of insurance. An Order is sought for the appointment as Representative Plaintiffs of Sandip Sandhu, Harinder Sandhu, Kirsten Simmons and Stephen Simmons, as is certification of the following issues as common issues: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Justice Burnyeat held that all but one of the issues met the test found in s. 4(1)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This section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The court must certify a proceeding as a class proceeding on an application under section 2 or 3 if all of the following requirements are met:</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Justice Burnyeat approved the case management plan proposed by the representative plaintiffs and ordered the joinder of Kirsten Simmons and Stephen Simmons as representative plaintiffs. The class was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resident in British Columbia with whom the Defendants engaged in the Mortgage Business (as defined in the Amended Notice of Civil Claim) and who paid a fee from their mortgage proceeds or other funds for title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reasons indexed at </w:t>
      </w:r>
      <w:hyperlink r:id="rId646" w:history="1">
        <w:r>
          <w:rPr>
            <w:rFonts w:ascii="arial" w:eastAsia="arial" w:hAnsi="arial" w:cs="arial"/>
            <w:i/>
            <w:color w:val="0077CC"/>
            <w:sz w:val="20"/>
            <w:u w:val="single"/>
            <w:shd w:val="clear" w:color="auto" w:fill="FFFFFF"/>
            <w:lang w:val="en-US" w:eastAsia="en-US" w:bidi="ar-SA"/>
          </w:rPr>
          <w:t>2016 BCCA 301</w:t>
        </w:r>
      </w:hyperlink>
      <w:r>
        <w:rPr>
          <w:rFonts w:ascii="arial" w:eastAsia="arial" w:hAnsi="arial" w:cs="arial"/>
          <w:color w:val="000000"/>
          <w:sz w:val="20"/>
          <w:lang w:val="en-US" w:eastAsia="en-US" w:bidi="ar-SA"/>
        </w:rPr>
        <w:t>, an appeal from the certification order was allowed. Paragraph 125 of Saunders J.A.'s reasons, with whom the other judges agreed,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allow the appeal by setting aside the order in its entirety, dismissing the application for certification of all issues except issues 1, 2, 3, 9 (modified to exclude reference in 9(i) to s. 8), 16, 20 and 21 as to which issues I would remit to the Supreme Court of British Columbia for consideration against the criterion in s. 4(1)(c)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Further, I would allow the appeal in respect to the order naming the Sandhus as representative plaintiffs, and dismiss the application to adduce fresh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At paras. 120-124 of her reasons, Saunders J.A. criticized Burnyeat J.'s approach to s. 4(1)(c)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[120] The appellants contend that the judge approached s. 4(1)(c) as a global assessment, rather than individually as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The judge's discussion of commonality is brief, and he did not individually address each issue listed as common, or even the chapter heads. After three paragraphs of analysis, he concluded: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[35] ... I am satisfied that there are common issues, the resolution of which alone advances the claims, avoids multiple and possible inconsistent judicial findings of fact, and meets the test for certification.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[36] I find that there are one or more common issues which arise from the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[122] The approach taken by the judge may have been the product of the multitudinous claims and issues advanced, in what is a transaction of a relatively discreet nature. Nonetheless, the appellants are correct. Where, as here, the commonality was contested, some greater attention to the issue was required to determine the fitness of each issue for certification as a common one, for example, damages. This is of particular importance in the certification stage because s. 4(1)(c) requires consideration of evidence and a finding there is some basis in fact for the issue to be pursued as a common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[123] The task of reviewing evidence is one that should be undertaken by the certification court and not, for the first time, by this court. I conclude the question of satisfaction of s. 4(1)(c) in respect to the common issues surviving this appeal must be returned to the trial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[124] The appellants have taken particular exception to the conclusion that damages may be proved using an aggregate approach. Given recent authorities there is considerable force to this submission. Accordingly, I would remit that issue to the trial court as well, with liberty to the respondents to adduce evidence to meet the criteria as they now may understand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result of the Court of Appeal's order is that, if this Court is satisfied that the provisions of ss. 4(1)(c) and (d)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met, the following issues recited in an appendix to the reasons may be tried in a class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Factual Issues</w:t>
      </w:r>
    </w:p>
    <w:p>
      <w:pPr>
        <w:numPr>
          <w:numId w:val="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Defendants' practices with respect to disclosure to Class Members of charges for title insurance premiums ("Title Insurance") and legal fees.</w:t>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are the title insurance premiums related to the Class Members' mortgages calculated.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have been the Defendants' legal fees and related expenses for the drafting, execution and registration of Class Members' mortgages and related steps.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Business Practices and Consumer Protection Act</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BPCPA</w:t>
      </w:r>
      <w:r>
        <w:rPr>
          <w:rFonts w:ascii="arial" w:eastAsia="arial" w:hAnsi="arial" w:cs="arial"/>
          <w:b/>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Defendants breached the ...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by: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Engaging in deceptive and unconscionable acts or practices contrary to sections 5 ... of </w:t>
      </w:r>
      <w:r>
        <w:rPr>
          <w:rFonts w:ascii="arial" w:eastAsia="arial" w:hAnsi="arial" w:cs="arial"/>
          <w:i/>
          <w:color w:val="000000"/>
          <w:sz w:val="20"/>
          <w:lang w:val="en-US" w:eastAsia="en-US" w:bidi="ar-SA"/>
        </w:rPr>
        <w:t>that Act</w:t>
      </w:r>
      <w:r>
        <w:rPr>
          <w:rFonts w:ascii="arial" w:eastAsia="arial" w:hAnsi="arial" w:cs="arial"/>
          <w:color w:val="000000"/>
          <w:sz w:val="20"/>
          <w:lang w:val="en-US" w:eastAsia="en-US" w:bidi="ar-SA"/>
        </w:rPr>
        <w:t>;</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disclose in a clear and comprehensible manner the nature and amount of all charges paid or payable, including the charges for Title Insurance and Undisclosed Legal Fees contrary to section 67(1) and 84(d), (h) and (o) of </w:t>
      </w:r>
      <w:r>
        <w:rPr>
          <w:rFonts w:ascii="arial" w:eastAsia="arial" w:hAnsi="arial" w:cs="arial"/>
          <w:i/>
          <w:color w:val="000000"/>
          <w:sz w:val="20"/>
          <w:lang w:val="en-US" w:eastAsia="en-US" w:bidi="ar-SA"/>
        </w:rPr>
        <w:t>that Act</w:t>
      </w:r>
      <w:r>
        <w:rPr>
          <w:rFonts w:ascii="arial" w:eastAsia="arial" w:hAnsi="arial" w:cs="arial"/>
          <w:color w:val="000000"/>
          <w:sz w:val="20"/>
          <w:lang w:val="en-US" w:eastAsia="en-US" w:bidi="ar-SA"/>
        </w:rPr>
        <w:t>,</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disclose clearly in writing that the Class Members may purchase insurance through an insurance agent and insurer of their choice contrary to section 71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Breach of Contract</w:t>
      </w:r>
    </w:p>
    <w:p>
      <w:pPr>
        <w:numPr>
          <w:numId w:val="1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contracts entered into between Class Members and the Defendants have been breached by the charging of the Class Members for Undisclosed Legal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 Issues</w:t>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Class Members are entitled to damages or other orders in respect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breaches of statutes, and breach of contract of the Defendants;</w:t>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should such damages be determined on an individual or aggregate basis and what is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Regarding the facts surrounding the certification application before Burnyeat J., at paras. 2 to 5 of her reasons, Madam Justice Saunders noted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In the residential mortgage loans business, advance of the borrowed funds depends upon the lender receiving sufficient assurance as to both the state of title relevant to the mortgage and registration of the mortgage. Traditionally, this has been provided by a legal opinion, and the borrower has been responsible for the attendant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In recent years, title insurance has become available as an alternative to a legal opinion. The respondents plead, and it appears uncontroversial, that title insurance is a contract of insurance that provides for indemnification of the lender in the event of an encumbrance or defect in the title or other matters that render a mortgage invalid.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In this class action litigation, the plaintiffs (the respondents on the appeal) are borrowers who satisfied the lender's requirement for an assurance by the device of title insurance. The litigation concerns their complaint that monies they paid as title insurance premiums, arranged through the lender, included fees for legal services provided by a mortgage title insurance company, including preparing mortgage documents, witnessing their execution and registering the mortgage.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The appellant HSBC Finance Mortgages Inc., together with the appellant Household Trust Company, provided residential mortgage loans to the plaintiffs. One of the documents prepared in every residential mortgage transaction is the disclosure statement, presented under the </w:t>
      </w:r>
      <w:r>
        <w:rPr>
          <w:rFonts w:ascii="arial" w:eastAsia="arial" w:hAnsi="arial" w:cs="arial"/>
          <w:i/>
          <w:color w:val="000000"/>
          <w:sz w:val="20"/>
          <w:lang w:val="en-US" w:eastAsia="en-US" w:bidi="ar-SA"/>
        </w:rPr>
        <w:t>Mortgage Brokers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313</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Mortgage Brokers Act Regulations</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B.C. Reg. 100/73</w:t>
        </w:r>
      </w:hyperlink>
      <w:r>
        <w:rPr>
          <w:rFonts w:ascii="arial" w:eastAsia="arial" w:hAnsi="arial" w:cs="arial"/>
          <w:color w:val="000000"/>
          <w:sz w:val="20"/>
          <w:lang w:val="en-US" w:eastAsia="en-US" w:bidi="ar-SA"/>
        </w:rPr>
        <w:t>. A disclosure statement sets out the allocation of the mortgage proceeds to various purposes. The respondents say this document hid the fact they were paying undisclosed legal fees. They say also that they were required to obtain title insurance. The judge characterized their claims as arising from allegations of failing to disclose the cost of borrowing, secretly charging legal fees, and unlawfully selling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Madam Justice Saunders gave "further background" at paras. 14 to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Title insurance provides a different way for lenders to be protected. The judge observed that the appellants entered into agreements with First American Title Insurance Company. Their agreement provided that, on the request of the appellants, the insurance company would obtain title insurance "[t]o and for the benefit of the [appellants]" in mortgage transactions between the appellants and their borrowing customers, and would perform other services including preparation of mortgage documents, witnessing the execution of the mortgage documents by customers, and registration of the mortgage documents in the Land Titles Office. The agreement precluded the appellants and the insurance company from disclosing the "working details and pricing" contained in the agreement, but the appellants have pleaded the agreement did not preclude them "from disclosing the price, fees or charges of the title insurance for a specific mortgage transaction to individual borrowers" at the relevant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respondents, the Sandhus and the Simmons, entered into mortgage agreements in respect to funds they borrowed from the appellants. The accompanying disclosure statements enumerated a title insurance premium and had no provision for a legal fee or disbursements. The Sandhus and the Simmons signed a "Mortgagor's Acknowledgment" acknowledging that they were, respectively, "not legally represented" or "not represented by a lawyer". Both acknowledgements stated "I do not wish to obtain independent legal advice before signing the mortgage even though [the lender] recommends I do so" and "I acknowledge that I can retain a lawyer at my own expense to act for me at any stage of this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It is undisputed that the line entry on the disclosure statements for payment of the title insurance premium was the sum of the title insurance premium and other charges applied under the agreements between the appellants and the insurance company. For example, the Sandhus' disclosure statement authorized a payment of $357 to the insurance company for a "Title insurance premium" whereas the 'premium' was in fact $115, $235 was 'policy insurance costs' (documentation, registration, etc.) and $7 was 'additional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pleading for the purpose of this application is an unfiled second further amended notice of civil claim. The allegations in the pleading before Burnyeat J., which the Court of Appeal held were deficient, have been deleted. Moreover, at paras. 24 through 26, the following allegations are made about the dealings of Kirsten and Stephen Simmons with the defendants:</w:t>
      </w:r>
      <w:r>
        <w:rPr>
          <w:rFonts w:ascii="arial" w:eastAsia="arial" w:hAnsi="arial" w:cs="arial"/>
          <w:sz w:val="20"/>
          <w:lang w:val="en-US" w:eastAsia="en-US" w:bidi="ar-SA"/>
        </w:rPr>
        <w:cr/>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March 2012 the Simmons Plaintiffs entered into a standard closed-end mortgage commitment with HSBC Mortgages for the amount of $41,399.12 and a Form B Mortgage with HSBC Mortgages for the amount of $13,900.00. These mortgages secured a term loan and a line of credit.</w:t>
      </w:r>
    </w:p>
    <w:p>
      <w:pPr>
        <w:numPr>
          <w:numId w:val="2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required by HSBC Mortgages, the Simmons Plaintiffs signed two Directions re Proceeds in favour of HSBC Mortgages authorizing and directing HSBC Mortgages to advance,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 payments to First Canadian Title Insurance Company in the sums of $465.00 and $791.00, respectively (the "Simmons Plaintiffs' Charges") purportedly to pay the Title Insurance Premium on the Simmons Property. HSBC Mortgages did not disclose to the Simmons Plaintiffs that part of the Simmons Plaintiffs' Charges paid for the Title Insurance Premium actually paid for the Undisclosed Legal Fees or that there was any charge for the Defendants' legal costs at all. HSBC Mortgages' Disclosure Statement did not disclose any charge for legal fees or related services.</w:t>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Simmons Plaintiffs' Charges were collected by HSBC Mortgages in accordance with the FATIC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seek a declaration that HSBC engaged in deceptive practices, damages for breach of contract, and other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no contest that, if certification is ordered, Kirsten and Stephen Simmons are suitable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For the reasons that follow, I dismiss the plaintiffs'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SUBMISSIONS OF THE PLAINTIFFS ON S. 4(1)(C) OF THE ACT (COMMONALITY)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began their submissions by describing the "facts" which they derive largely from the affidavits of the plaintiffs, Kirsten Simmons and Sandip Sandhu. Those "facts" are consistent with, but expand upon, Saunders J.A.'s discussion. The plaintiffs refer to the defendants collectively as HSBC, as I will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Simmons plaintiffs (who I will refer to as "the Simmons") contracted with HSBC for a "closed end" loan of $41,399.12 and a line of credit of $13,900. Both were to be secured by mortgages against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Simmons signed a document entitled "British Columbia statement of disclosure Business Practices and Consumer Protection Act for Closed-end Mortgages." It had 24 "boxes" each of which provided information on such matters as the principal amount of the mortgage and the annual interest rate. Box 17 contained the words "Title insurance fee" and showed a charge of $465. Box number 16 contained the words "Legal fee." The charge is shown as $0.00.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Simmons also signed a "Direction re Proceeds" which referred to "Title Insurance Fees" of $465. That document does not refer to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connection with their line of credit the Simmons signed a "Direction Re: Proceeds" which authorized the payment of $791 for "Title Insurance Fees" from that credit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Simmons signed a "Mortgagor's Acknowledgement" which contained the sentence: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understand that you may obtain title insurance in relation to this transaction and that if you do I may choose the title insurance company. In such circumstances, I direct you to place any title insurance through First Canadian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"Acknowledgement" also contained the following:</w:t>
      </w:r>
      <w:r>
        <w:rPr>
          <w:rFonts w:ascii="arial" w:eastAsia="arial" w:hAnsi="arial" w:cs="arial"/>
          <w:sz w:val="20"/>
          <w:lang w:val="en-US" w:eastAsia="en-US" w:bidi="ar-SA"/>
        </w:rPr>
        <w:cr/>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represent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received a true copy of the mortgage and any schedules, including ... the mortgage commitment disclosure statement (if applicable), credit agreement ...</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lawyer/notary or other officer is attending for the sole purpose of witnessing my signature to the mortgage and is acting only for HSBC Finance Mortgages Inc. in doing so, and is not acting in any way on my behalf and that I am not receiving legal advice from the lawyer witnessing my signature (British Columbia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Simmons received a "Borrower Conflict of Interest Disclosure Statement Form 10 - Section 17.3" of the </w:t>
      </w:r>
      <w:r>
        <w:rPr>
          <w:rFonts w:ascii="arial" w:eastAsia="arial" w:hAnsi="arial" w:cs="arial"/>
          <w:i/>
          <w:color w:val="000000"/>
          <w:sz w:val="20"/>
          <w:lang w:val="en-US" w:eastAsia="en-US" w:bidi="ar-SA"/>
        </w:rPr>
        <w:t>Mortgage Brokers Act</w:t>
      </w:r>
      <w:r>
        <w:rPr>
          <w:rFonts w:ascii="arial" w:eastAsia="arial" w:hAnsi="arial" w:cs="arial"/>
          <w:color w:val="000000"/>
          <w:sz w:val="20"/>
          <w:lang w:val="en-US" w:eastAsia="en-US" w:bidi="ar-SA"/>
        </w:rPr>
        <w:t xml:space="preserve"> signed by a representative of HSBC which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certify that I am the mortgage broker or an authorized representative of the mortgage broker and based on my knowledge, belief and information provided by third parties, this Disclosure Statement contains no untrue statement and does not omit to state a fact that is required to be stated or that is necessary to prevent a statement that is made from being false or misleading in circumstances in which it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Lastly, the Simmons were given a document entitled "HSBC Finance Documentation Overview," which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Statement of Disclosure details all the particulars of your loan. By signing the Statement of Disclosure, you are accepting the terms of the loan as detailed in boxes 1 to 24. Detailed in verbiage, is an explanation of the loan, including the figures disclosed, prepayment privileges, and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Sandhu plaintiffs (who I will refer to as the "Sandhus") will be class members if this action is certified as a class proceeding. They contracted with HSBC for a loan of $109,998.57 to be secured by a mortgage against their real property. They signed a "Disclosure Capital Statement (Pursuant to the Mortgage Brokers Act)" which referred to a "Title Insurance Premium" of $357 and received a "Request Funds Form" which authorized an advance of $357 to "1st CND TITLE." This is a reference to First Canadian Title ("FCT").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 document entitled "Commitment To Insured," First American Title Insurance Company, through its subsidiary FCT, showed an insurance premium of $115 "to title insure a second mortgage" granted by the Sandhus to HSBC. An "insurance policy cost" of $235 is shown on the document and "additional charges" of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By an agreement dated October 30, 1997 between Household Realty Corporation Limited and First American Title Insurance Company, the latter, through FCT, insured the title to the real property against which the Sandhus' mortgage was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That agreement specifies that FCT, as well as providing title insurance, would attend to the registration of the mortgage at "the Registry Office." It also required the parties to the agreement to keep confidential certain information. They could "advertise to their customers and the public generally the arrangement for the supply of title insurance ... But may not disclose the specific working details of prices contained herein." The plaintiffs submit that part of the information that HSBC did not disclose to its customers, including themselves, was that legal fees were part of the pricing.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Sandhus depose that, when they met with representatives of HSBC about their loan, they stated that they "would not pay for [HSBC's] legal fees related to the mortgage," and that it was "specifically stated" to them by HSBC that they "were not being charged" for legal fees. The Sandhus claim that, had they known that they were being charged legal fees for drafting and registering the mortgage, they "would not have agreed to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plaintiffs refer to the </w:t>
      </w:r>
      <w:r>
        <w:rPr>
          <w:rFonts w:ascii="arial" w:eastAsia="arial" w:hAnsi="arial" w:cs="arial"/>
          <w:i/>
          <w:color w:val="000000"/>
          <w:sz w:val="20"/>
          <w:lang w:val="en-US" w:eastAsia="en-US" w:bidi="ar-SA"/>
        </w:rPr>
        <w:t>Trust and Loan Companies Act</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S.C. 1991, c. 45</w:t>
        </w:r>
      </w:hyperlink>
      <w:r>
        <w:rPr>
          <w:rFonts w:ascii="arial" w:eastAsia="arial" w:hAnsi="arial" w:cs="arial"/>
          <w:color w:val="000000"/>
          <w:sz w:val="20"/>
          <w:lang w:val="en-US" w:eastAsia="en-US" w:bidi="ar-SA"/>
        </w:rPr>
        <w:t>. They accept that the Court of Appeal held that the plaintiffs' pleadings, which relied on that statute, did not disclose a viable cause of action. Nevertheless, they submit that the statute imposed an obligation on HSBC to disclose the cost of borrowing, including "any amount charged in connection with the loan that is payable by the borrower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plaintiffs submit that, at the relevant time, HSBC was a mortgage broker registered pursuant to the </w:t>
      </w:r>
      <w:r>
        <w:rPr>
          <w:rFonts w:ascii="arial" w:eastAsia="arial" w:hAnsi="arial" w:cs="arial"/>
          <w:i/>
          <w:color w:val="000000"/>
          <w:sz w:val="20"/>
          <w:lang w:val="en-US" w:eastAsia="en-US" w:bidi="ar-SA"/>
        </w:rPr>
        <w:t>Mortgage Brokers Act</w:t>
      </w:r>
      <w:r>
        <w:rPr>
          <w:rFonts w:ascii="arial" w:eastAsia="arial" w:hAnsi="arial" w:cs="arial"/>
          <w:color w:val="000000"/>
          <w:sz w:val="20"/>
          <w:lang w:val="en-US" w:eastAsia="en-US" w:bidi="ar-SA"/>
        </w:rPr>
        <w:t xml:space="preserve">. As a result, that statute and its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made various disclosure provisions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namely, Part 2 Division 1 (Deceptive Acts or Practices ); Part 5 Division 6 (Disclosure Required in Relation to Fixed Credit); and Part 5 Division 7 (Disclosure Required in Relation Open Credit) applicable to their borrowing from HSBC. Thus, according to the plaintiffs, HSBC had statutory obligations to disclose to them, and to all members of the proposed class, the nature and amount of all charges paid for title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Despite those obligations, the plaintiffs allege that HSBC misrepresented the cost of obtaining title insurance by failing to disclose to them, and to similarly placed customers, that customers were paying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SUBMISSION ON THE GOVERNING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plaintiffs referred to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paras. 14 - 16 for some general principles. Those paragraphs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w:t>
      </w:r>
      <w:r>
        <w:rPr>
          <w:rFonts w:ascii="arial" w:eastAsia="arial" w:hAnsi="arial" w:cs="arial"/>
          <w:color w:val="000000"/>
          <w:sz w:val="20"/>
          <w:u w:val="single"/>
          <w:lang w:val="en-US" w:eastAsia="en-US" w:bidi="ar-SA"/>
        </w:rPr>
        <w:t>The legislative history of the Class Proceedings Act, 1992, makes clear that the Act should be construed generously</w:t>
      </w:r>
      <w:r>
        <w:rPr>
          <w:rFonts w:ascii="arial" w:eastAsia="arial" w:hAnsi="arial" w:cs="arial"/>
          <w:color w:val="000000"/>
          <w:sz w:val="20"/>
          <w:lang w:val="en-US" w:eastAsia="en-US" w:bidi="ar-SA"/>
        </w:rPr>
        <w:t xml:space="preserve">. Before Ontario enacted the </w:t>
      </w:r>
      <w:r>
        <w:rPr>
          <w:rFonts w:ascii="arial" w:eastAsia="arial" w:hAnsi="arial" w:cs="arial"/>
          <w:i/>
          <w:color w:val="000000"/>
          <w:sz w:val="20"/>
          <w:lang w:val="en-US" w:eastAsia="en-US" w:bidi="ar-SA"/>
        </w:rPr>
        <w:t>Class Proceedings Act, 1992</w:t>
      </w:r>
      <w:r>
        <w:rPr>
          <w:rFonts w:ascii="arial" w:eastAsia="arial" w:hAnsi="arial" w:cs="arial"/>
          <w:color w:val="000000"/>
          <w:sz w:val="20"/>
          <w:lang w:val="en-US" w:eastAsia="en-US" w:bidi="ar-SA"/>
        </w:rPr>
        <w:t xml:space="preserve">, class actions were prosecuted in Ontario under the authority of Rule 12.01 of the </w:t>
      </w:r>
      <w:r>
        <w:rPr>
          <w:rFonts w:ascii="arial" w:eastAsia="arial" w:hAnsi="arial" w:cs="arial"/>
          <w:i/>
          <w:color w:val="000000"/>
          <w:sz w:val="20"/>
          <w:lang w:val="en-US" w:eastAsia="en-US" w:bidi="ar-SA"/>
        </w:rPr>
        <w:t>Rules of Civil Procedure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R.R.O. 1990, Reg. 194</w:t>
      </w:r>
      <w:r>
        <w:rPr>
          <w:rFonts w:ascii="arial" w:eastAsia="arial" w:hAnsi="arial" w:cs="arial"/>
          <w:color w:val="000000"/>
          <w:sz w:val="20"/>
          <w:lang w:val="en-US" w:eastAsia="en-US" w:bidi="ar-SA"/>
        </w:rPr>
        <w:t>. That rule provided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there are numerous persons having the same interest, one or more of them may bring or defend a proceeding on behalf or for the benefit of all, or may be authorized by the court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that rule allowed courts to deal with relatively simple class actions, it became clear in the latter part of the 20th century that Rule 12.01 was not well-suited to the kinds of complicated cases that were beginning to come before the courts. These cases reflected "[t]he rise of mass production, the diversification of corporate ownership, the advent of the mega-corporation, and the recognition of environmental wrongs":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26. They often involved vast numbers of interested parties and complex, intertwined legal issues - some common to the class, some not. While it would have been possible for courts to accommodate moderately complicated class actions by reliance on their own inherent power over procedure, this would have required courts to devise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solutions to procedural complexities on a case-by-case basis: see </w:t>
      </w:r>
      <w:r>
        <w:rPr>
          <w:rFonts w:ascii="arial" w:eastAsia="arial" w:hAnsi="arial" w:cs="arial"/>
          <w:i/>
          <w:color w:val="000000"/>
          <w:sz w:val="20"/>
          <w:lang w:val="en-US" w:eastAsia="en-US" w:bidi="ar-SA"/>
        </w:rPr>
        <w:t>Western Canadian Shopping Centres</w:t>
      </w:r>
      <w:r>
        <w:rPr>
          <w:rFonts w:ascii="arial" w:eastAsia="arial" w:hAnsi="arial" w:cs="arial"/>
          <w:color w:val="000000"/>
          <w:sz w:val="20"/>
          <w:lang w:val="en-US" w:eastAsia="en-US" w:bidi="ar-SA"/>
        </w:rPr>
        <w:t xml:space="preserve">, at para. 51. </w:t>
      </w:r>
      <w:r>
        <w:rPr>
          <w:rFonts w:ascii="arial" w:eastAsia="arial" w:hAnsi="arial" w:cs="arial"/>
          <w:color w:val="000000"/>
          <w:sz w:val="20"/>
          <w:u w:val="single"/>
          <w:lang w:val="en-US" w:eastAsia="en-US" w:bidi="ar-SA"/>
        </w:rPr>
        <w:t>The Class Proceedings Act, 1992, was adopted to ensure that the courts had a procedural tool sufficiently refined to allow them to deal efficiently, and on a principled rather than ad hoc basis, with the increasingly complicated cases of the modern era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w:t>
      </w:r>
      <w:r>
        <w:rPr>
          <w:rFonts w:ascii="arial" w:eastAsia="arial" w:hAnsi="arial" w:cs="arial"/>
          <w:color w:val="000000"/>
          <w:sz w:val="20"/>
          <w:u w:val="single"/>
          <w:lang w:val="en-US" w:eastAsia="en-US" w:bidi="ar-SA"/>
        </w:rPr>
        <w:t>The Act reflects an increasing recognition of the important advantages that the class action offers as a procedural tool</w:t>
      </w:r>
      <w:r>
        <w:rPr>
          <w:rFonts w:ascii="arial" w:eastAsia="arial" w:hAnsi="arial" w:cs="arial"/>
          <w:color w:val="000000"/>
          <w:sz w:val="20"/>
          <w:lang w:val="en-US" w:eastAsia="en-US" w:bidi="ar-SA"/>
        </w:rPr>
        <w:t xml:space="preserve">. As I discussed at some length in </w:t>
      </w:r>
      <w:r>
        <w:rPr>
          <w:rFonts w:ascii="arial" w:eastAsia="arial" w:hAnsi="arial" w:cs="arial"/>
          <w:i/>
          <w:color w:val="000000"/>
          <w:sz w:val="20"/>
          <w:lang w:val="en-US" w:eastAsia="en-US" w:bidi="ar-SA"/>
        </w:rPr>
        <w:t>Western Canadian Shopping Centres</w:t>
      </w:r>
      <w:r>
        <w:rPr>
          <w:rFonts w:ascii="arial" w:eastAsia="arial" w:hAnsi="arial" w:cs="arial"/>
          <w:color w:val="000000"/>
          <w:sz w:val="20"/>
          <w:lang w:val="en-US" w:eastAsia="en-US" w:bidi="ar-SA"/>
        </w:rPr>
        <w:t xml:space="preserve"> (at paras. 27-29), class actions provide three important advantages over a multiplicity of individual suits. </w:t>
      </w:r>
      <w:r>
        <w:rPr>
          <w:rFonts w:ascii="arial" w:eastAsia="arial" w:hAnsi="arial" w:cs="arial"/>
          <w:color w:val="000000"/>
          <w:sz w:val="20"/>
          <w:u w:val="single"/>
          <w:lang w:val="en-US" w:eastAsia="en-US" w:bidi="ar-SA"/>
        </w:rPr>
        <w:t>First, by aggregating similar individual actions, class actions serve judicial economy by avoiding unnecessary duplication in fact-finding and legal analysis. Second, by distributing fixed litigation costs amongst a large number of class members, class actions improve access to justice by making economical the prosecution of claims that any one class member would find too costly to prosecute on his or her own. Third, class actions serve efficiency and justice by ensuring that actual and potential wrongdoers modify their behaviour to take full account of the harm they are causing, or might cause, to the public</w:t>
      </w:r>
      <w:r>
        <w:rPr>
          <w:rFonts w:ascii="arial" w:eastAsia="arial" w:hAnsi="arial" w:cs="arial"/>
          <w:color w:val="000000"/>
          <w:sz w:val="20"/>
          <w:lang w:val="en-US" w:eastAsia="en-US" w:bidi="ar-SA"/>
        </w:rPr>
        <w:t xml:space="preserve">. In proposing that Ontario adopt class action legislation, the Ontario Law Reform Commission identified each of these advantages: see Ontario Law Reform Commission, </w:t>
      </w:r>
      <w:r>
        <w:rPr>
          <w:rFonts w:ascii="arial" w:eastAsia="arial" w:hAnsi="arial" w:cs="arial"/>
          <w:i/>
          <w:color w:val="000000"/>
          <w:sz w:val="20"/>
          <w:lang w:val="en-US" w:eastAsia="en-US" w:bidi="ar-SA"/>
        </w:rPr>
        <w:t>Report on Class Actions</w:t>
      </w:r>
      <w:r>
        <w:rPr>
          <w:rFonts w:ascii="arial" w:eastAsia="arial" w:hAnsi="arial" w:cs="arial"/>
          <w:color w:val="000000"/>
          <w:sz w:val="20"/>
          <w:lang w:val="en-US" w:eastAsia="en-US" w:bidi="ar-SA"/>
        </w:rPr>
        <w:t xml:space="preserve"> (1982), vol. I, at pp. 117-45; see also Ministry of the Attorney General, </w:t>
      </w:r>
      <w:r>
        <w:rPr>
          <w:rFonts w:ascii="arial" w:eastAsia="arial" w:hAnsi="arial" w:cs="arial"/>
          <w:i/>
          <w:color w:val="000000"/>
          <w:sz w:val="20"/>
          <w:lang w:val="en-US" w:eastAsia="en-US" w:bidi="ar-SA"/>
        </w:rPr>
        <w:t>Report of the Attorney General's Advisory Committee on Class Action Reform</w:t>
      </w:r>
      <w:r>
        <w:rPr>
          <w:rFonts w:ascii="arial" w:eastAsia="arial" w:hAnsi="arial" w:cs="arial"/>
          <w:color w:val="000000"/>
          <w:sz w:val="20"/>
          <w:lang w:val="en-US" w:eastAsia="en-US" w:bidi="ar-SA"/>
        </w:rPr>
        <w:t xml:space="preserve"> (February 1990), at pp. 16-18. </w:t>
      </w:r>
      <w:r>
        <w:rPr>
          <w:rFonts w:ascii="arial" w:eastAsia="arial" w:hAnsi="arial" w:cs="arial"/>
          <w:color w:val="000000"/>
          <w:sz w:val="20"/>
          <w:u w:val="single"/>
          <w:lang w:val="en-US" w:eastAsia="en-US" w:bidi="ar-SA"/>
        </w:rPr>
        <w:t>In my view, it is essential therefore that courts not take an overly restrictive approach to the legislation, but rather interpret the Act in a way that gives full effect to the benefits foreseen by the drafters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w:t>
      </w:r>
      <w:r>
        <w:rPr>
          <w:rFonts w:ascii="arial" w:eastAsia="arial" w:hAnsi="arial" w:cs="arial"/>
          <w:color w:val="000000"/>
          <w:sz w:val="20"/>
          <w:u w:val="single"/>
          <w:lang w:val="en-US" w:eastAsia="en-US" w:bidi="ar-SA"/>
        </w:rPr>
        <w:t>It is particularly important to keep this principle in mind at the certification stage</w:t>
      </w:r>
      <w:r>
        <w:rPr>
          <w:rFonts w:ascii="arial" w:eastAsia="arial" w:hAnsi="arial" w:cs="arial"/>
          <w:color w:val="000000"/>
          <w:sz w:val="20"/>
          <w:lang w:val="en-US" w:eastAsia="en-US" w:bidi="ar-SA"/>
        </w:rPr>
        <w:t xml:space="preserve">. In its 1982 report, the Ontario Law Reform Commission proposed that new class action legislation include a "preliminary merits test" as part of the certification requirements. The proposed test would have required the putative class representative to show that "there is a reasonable possibility that material questions of fact and law common to the class will be resolved at trial in favour of the class": </w:t>
      </w:r>
      <w:r>
        <w:rPr>
          <w:rFonts w:ascii="arial" w:eastAsia="arial" w:hAnsi="arial" w:cs="arial"/>
          <w:i/>
          <w:color w:val="000000"/>
          <w:sz w:val="20"/>
          <w:lang w:val="en-US" w:eastAsia="en-US" w:bidi="ar-SA"/>
        </w:rPr>
        <w:t>Report on Class Actions, supra</w:t>
      </w:r>
      <w:r>
        <w:rPr>
          <w:rFonts w:ascii="arial" w:eastAsia="arial" w:hAnsi="arial" w:cs="arial"/>
          <w:color w:val="000000"/>
          <w:sz w:val="20"/>
          <w:lang w:val="en-US" w:eastAsia="en-US" w:bidi="ar-SA"/>
        </w:rPr>
        <w:t xml:space="preserve">, vol. III, at p. 862. </w:t>
      </w:r>
      <w:r>
        <w:rPr>
          <w:rFonts w:ascii="arial" w:eastAsia="arial" w:hAnsi="arial" w:cs="arial"/>
          <w:color w:val="000000"/>
          <w:sz w:val="20"/>
          <w:u w:val="single"/>
          <w:lang w:val="en-US" w:eastAsia="en-US" w:bidi="ar-SA"/>
        </w:rPr>
        <w:t>Notwithstanding the recommendation of the Ontario Law Reform Commission, Ontario decided not to adopt a preliminary merits test. Instead it adopted a test that merely requires that the statement of claim "disclos[e]</w:t>
      </w:r>
      <w:r>
        <w:rPr>
          <w:rFonts w:ascii="arial" w:eastAsia="arial" w:hAnsi="arial" w:cs="arial"/>
          <w:color w:val="000000"/>
          <w:sz w:val="20"/>
          <w:lang w:val="en-US" w:eastAsia="en-US" w:bidi="ar-SA"/>
        </w:rPr>
        <w:t xml:space="preserve"> a cause of action": see </w:t>
      </w:r>
      <w:r>
        <w:rPr>
          <w:rFonts w:ascii="arial" w:eastAsia="arial" w:hAnsi="arial" w:cs="arial"/>
          <w:i/>
          <w:color w:val="000000"/>
          <w:sz w:val="20"/>
          <w:lang w:val="en-US" w:eastAsia="en-US" w:bidi="ar-SA"/>
        </w:rPr>
        <w:t>Class Proceedings Act, 1992</w:t>
      </w:r>
      <w:r>
        <w:rPr>
          <w:rFonts w:ascii="arial" w:eastAsia="arial" w:hAnsi="arial" w:cs="arial"/>
          <w:color w:val="000000"/>
          <w:sz w:val="20"/>
          <w:lang w:val="en-US" w:eastAsia="en-US" w:bidi="ar-SA"/>
        </w:rPr>
        <w:t xml:space="preserve">, s. 5(1)(a). </w:t>
      </w:r>
      <w:r>
        <w:rPr>
          <w:rFonts w:ascii="arial" w:eastAsia="arial" w:hAnsi="arial" w:cs="arial"/>
          <w:color w:val="000000"/>
          <w:sz w:val="20"/>
          <w:u w:val="single"/>
          <w:lang w:val="en-US" w:eastAsia="en-US" w:bidi="ar-SA"/>
        </w:rPr>
        <w:t>Thus the certification stage is decidedly not meant to be a test of the merits of the action:</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Class Proceedings Act, 1992</w:t>
      </w:r>
      <w:r>
        <w:rPr>
          <w:rFonts w:ascii="arial" w:eastAsia="arial" w:hAnsi="arial" w:cs="arial"/>
          <w:color w:val="000000"/>
          <w:sz w:val="20"/>
          <w:lang w:val="en-US" w:eastAsia="en-US" w:bidi="ar-SA"/>
        </w:rPr>
        <w:t xml:space="preserve">, s. 5(5) ("An order certifying a class proceeding is not a determination of the merits of the proceeding"); see also </w:t>
      </w:r>
      <w:r>
        <w:rPr>
          <w:rFonts w:ascii="arial" w:eastAsia="arial" w:hAnsi="arial" w:cs="arial"/>
          <w:i/>
          <w:color w:val="000000"/>
          <w:sz w:val="20"/>
          <w:lang w:val="en-US" w:eastAsia="en-US" w:bidi="ar-SA"/>
        </w:rPr>
        <w:t>Caputo v. Imperial Tobacco Ltd</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(1997), 34 O.R. (3d) 314</w:t>
        </w:r>
      </w:hyperlink>
      <w:r>
        <w:rPr>
          <w:rFonts w:ascii="arial" w:eastAsia="arial" w:hAnsi="arial" w:cs="arial"/>
          <w:color w:val="000000"/>
          <w:sz w:val="20"/>
          <w:lang w:val="en-US" w:eastAsia="en-US" w:bidi="ar-SA"/>
        </w:rPr>
        <w:t xml:space="preserve"> (Gen. Div.), at p. 320 ("any inquiry into the merits of the action will not be relevant on a motion for certification"). Rather the certification stage focuses on the </w:t>
      </w:r>
      <w:r>
        <w:rPr>
          <w:rFonts w:ascii="arial" w:eastAsia="arial" w:hAnsi="arial" w:cs="arial"/>
          <w:color w:val="000000"/>
          <w:sz w:val="20"/>
          <w:u w:val="single"/>
          <w:lang w:val="en-US" w:eastAsia="en-US" w:bidi="ar-SA"/>
        </w:rPr>
        <w:t>form</w:t>
      </w:r>
      <w:r>
        <w:rPr>
          <w:rFonts w:ascii="arial" w:eastAsia="arial" w:hAnsi="arial" w:cs="arial"/>
          <w:color w:val="000000"/>
          <w:sz w:val="20"/>
          <w:lang w:val="en-US" w:eastAsia="en-US" w:bidi="ar-SA"/>
        </w:rPr>
        <w:t xml:space="preserve"> [emphasis in original] of the action. </w:t>
      </w:r>
      <w:r>
        <w:rPr>
          <w:rFonts w:ascii="arial" w:eastAsia="arial" w:hAnsi="arial" w:cs="arial"/>
          <w:color w:val="000000"/>
          <w:sz w:val="20"/>
          <w:u w:val="single"/>
          <w:lang w:val="en-US" w:eastAsia="en-US" w:bidi="ar-SA"/>
        </w:rPr>
        <w:t>The question at the certification stage is not whether the claim is likely to succeed, but whether the suit is appropriately prosecuted as a class action:</w:t>
      </w:r>
      <w:r>
        <w:rPr>
          <w:rFonts w:ascii="arial" w:eastAsia="arial" w:hAnsi="arial" w:cs="arial"/>
          <w:color w:val="000000"/>
          <w:sz w:val="20"/>
          <w:lang w:val="en-US" w:eastAsia="en-US" w:bidi="ar-SA"/>
        </w:rPr>
        <w:t xml:space="preserve"> see generally </w:t>
      </w:r>
      <w:r>
        <w:rPr>
          <w:rFonts w:ascii="arial" w:eastAsia="arial" w:hAnsi="arial" w:cs="arial"/>
          <w:i/>
          <w:color w:val="000000"/>
          <w:sz w:val="20"/>
          <w:lang w:val="en-US" w:eastAsia="en-US" w:bidi="ar-SA"/>
        </w:rPr>
        <w:t>Report of the Attorney General's Advisory Committee on Class Action Reform</w:t>
      </w:r>
      <w:r>
        <w:rPr>
          <w:rFonts w:ascii="arial" w:eastAsia="arial" w:hAnsi="arial" w:cs="arial"/>
          <w:color w:val="000000"/>
          <w:sz w:val="20"/>
          <w:lang w:val="en-US" w:eastAsia="en-US" w:bidi="ar-SA"/>
        </w:rPr>
        <w:t>, at pp. 30-33.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is also relied on for the proposition that a representative plaintiff must show some basis in fact for each of the certification requirements. However, the Court also made it clear (see para. 24 of the reasons) that the obligation is only to provide a "minimum evidentiary basis for a certification order" (a phrase taken from </w:t>
      </w:r>
      <w:r>
        <w:rPr>
          <w:rFonts w:ascii="arial" w:eastAsia="arial" w:hAnsi="arial" w:cs="arial"/>
          <w:i/>
          <w:color w:val="000000"/>
          <w:sz w:val="20"/>
          <w:lang w:val="en-US" w:eastAsia="en-US" w:bidi="ar-SA"/>
        </w:rPr>
        <w:t>Taub v. Manufacturers Life Insurance Co</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(1998), 40 O.R. (3d) 379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plaintiffs then referred to authorities which have addressed the common issues analysis. They emphasize that a common issues analysis ought not to be focused on whether the issues in question are determinative of liability. In </w:t>
      </w:r>
      <w:r>
        <w:rPr>
          <w:rFonts w:ascii="arial" w:eastAsia="arial" w:hAnsi="arial" w:cs="arial"/>
          <w:i/>
          <w:color w:val="000000"/>
          <w:sz w:val="20"/>
          <w:lang w:val="en-US" w:eastAsia="en-US" w:bidi="ar-SA"/>
        </w:rPr>
        <w:t>Campbell v. Flexwatt Corp</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Cumming J.A. for the Court of Appeal observed the following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examining the existence of common issues it is important to understand that the common issues do not have to be issues which are determinative of liability; </w:t>
      </w:r>
      <w:r>
        <w:rPr>
          <w:rFonts w:ascii="arial" w:eastAsia="arial" w:hAnsi="arial" w:cs="arial"/>
          <w:color w:val="000000"/>
          <w:sz w:val="20"/>
          <w:u w:val="single"/>
          <w:lang w:val="en-US" w:eastAsia="en-US" w:bidi="ar-SA"/>
        </w:rPr>
        <w:t>they need only be issues of fact or law that move the litigation forward</w:t>
      </w:r>
      <w:r>
        <w:rPr>
          <w:rFonts w:ascii="arial" w:eastAsia="arial" w:hAnsi="arial" w:cs="arial"/>
          <w:color w:val="000000"/>
          <w:sz w:val="20"/>
          <w:lang w:val="en-US" w:eastAsia="en-US" w:bidi="ar-SA"/>
        </w:rPr>
        <w:t>. The resolution of a common issue does not have to be, in and of itself, sufficient to support relief. To require every common issue to be determinative of liability for every plaintiff and every defendant would make class proceedings with more than one defendant virtually impossible.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That reasoning was adopted by MacPherson J.A. in </w:t>
      </w:r>
      <w:r>
        <w:rPr>
          <w:rFonts w:ascii="arial" w:eastAsia="arial" w:hAnsi="arial" w:cs="arial"/>
          <w:i/>
          <w:color w:val="000000"/>
          <w:sz w:val="20"/>
          <w:lang w:val="en-US" w:eastAsia="en-US" w:bidi="ar-SA"/>
        </w:rPr>
        <w:t>Carom v. Bre-X Minerals Ltd.</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[2000] O.J. No. 4014</w:t>
        </w:r>
      </w:hyperlink>
      <w:r>
        <w:rPr>
          <w:rFonts w:ascii="arial" w:eastAsia="arial" w:hAnsi="arial" w:cs="arial"/>
          <w:color w:val="000000"/>
          <w:sz w:val="20"/>
          <w:lang w:val="en-US" w:eastAsia="en-US" w:bidi="ar-SA"/>
        </w:rPr>
        <w:t xml:space="preserve"> (C.A.)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have been wary of setting the bar too high on the common issues factor. In many cases the Ontario courts have stated explicitly that certification should be ordered if the resolution of the common issues would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McLachlin C.J. for the Court wrote the following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 there must be issues of fact or law common to all class members. </w:t>
      </w:r>
      <w:r>
        <w:rPr>
          <w:rFonts w:ascii="arial" w:eastAsia="arial" w:hAnsi="arial" w:cs="arial"/>
          <w:color w:val="000000"/>
          <w:sz w:val="20"/>
          <w:u w:val="single"/>
          <w:lang w:val="en-US" w:eastAsia="en-US" w:bidi="ar-SA"/>
        </w:rPr>
        <w:t>Commonality tests have been a source of confusion in the courts. The commonality question should be approached purposively. The underlying question is whether allowing the suit to proceed as a representative one will avoid duplication of fact-finding or legal analysis</w:t>
      </w:r>
      <w:r>
        <w:rPr>
          <w:rFonts w:ascii="arial" w:eastAsia="arial" w:hAnsi="arial" w:cs="arial"/>
          <w:color w:val="000000"/>
          <w:sz w:val="20"/>
          <w:lang w:val="en-US" w:eastAsia="en-US" w:bidi="ar-SA"/>
        </w:rPr>
        <w:t xml:space="preserve">. Thus an issue will be "common" only where its resolution is necessary to the resolution of each class member's claim. </w:t>
      </w:r>
      <w:r>
        <w:rPr>
          <w:rFonts w:ascii="arial" w:eastAsia="arial" w:hAnsi="arial" w:cs="arial"/>
          <w:color w:val="000000"/>
          <w:sz w:val="20"/>
          <w:u w:val="single"/>
          <w:lang w:val="en-US" w:eastAsia="en-US" w:bidi="ar-SA"/>
        </w:rPr>
        <w:t>It is not essential that the class members be identically situated vis-à-vis the opposing party. Nor is it necessary that common issues predominate over non-common issues or that the resolution of the common issues would be determinative of each class member's claim</w:t>
      </w:r>
      <w:r>
        <w:rPr>
          <w:rFonts w:ascii="arial" w:eastAsia="arial" w:hAnsi="arial" w:cs="arial"/>
          <w:color w:val="000000"/>
          <w:sz w:val="20"/>
          <w:lang w:val="en-US" w:eastAsia="en-US" w:bidi="ar-SA"/>
        </w:rPr>
        <w:t>. However, the class members' claims must share a substantial common ingredient to justify a class action. Determining whether the common issues justify a class action may require the court to examine the significance of the common issues in relation to individual issues. In doing so, the court should remember that it may not always be possible for a representative party to plead the claims of each class member with the same particularity as would be required in an individual suit.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Ford v. F. Hoffman-La Roche Ltd.</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[2005] O.J. No. 1118</w:t>
        </w:r>
      </w:hyperlink>
      <w:r>
        <w:rPr>
          <w:rFonts w:ascii="arial" w:eastAsia="arial" w:hAnsi="arial" w:cs="arial"/>
          <w:color w:val="000000"/>
          <w:sz w:val="20"/>
          <w:lang w:val="en-US" w:eastAsia="en-US" w:bidi="ar-SA"/>
        </w:rPr>
        <w:t xml:space="preserve"> (S.C.J.), Cumming J. referred to </w:t>
      </w:r>
      <w:r>
        <w:rPr>
          <w:rFonts w:ascii="arial" w:eastAsia="arial" w:hAnsi="arial" w:cs="arial"/>
          <w:i/>
          <w:color w:val="000000"/>
          <w:sz w:val="20"/>
          <w:lang w:val="en-US" w:eastAsia="en-US" w:bidi="ar-SA"/>
        </w:rPr>
        <w:t>Carom v. Bre-X Minerals Ltd</w:t>
      </w:r>
      <w:r>
        <w:rPr>
          <w:rFonts w:ascii="arial" w:eastAsia="arial" w:hAnsi="arial" w:cs="arial"/>
          <w:color w:val="000000"/>
          <w:sz w:val="20"/>
          <w:lang w:val="en-US" w:eastAsia="en-US" w:bidi="ar-SA"/>
        </w:rPr>
        <w:t>. and described the "guiding question" regarding common issues to be whether allowing the action to be certified would avoid duplication of fact-finding or legal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plaintiffs submit that, when considering the common issues question, it is important to recognize that the plaintiffs allege that the contractual terms and misrepresentations of HSBC are found only in standard form documents which HSBC was statutorily obliged to provide to the plaintiffs. Further, the plaintiffs submit that the approach taken by the defendants to the common issues question, namely, that it will be necessary for a trial court to consider evidence other than the documents to determine whether misrepresentations were made, miscomprehends the plaintiffs' case. In this context, the plaintiffs emphasize that their case is premised on the fact that, </w:t>
      </w:r>
      <w:r>
        <w:rPr>
          <w:rFonts w:ascii="arial" w:eastAsia="arial" w:hAnsi="arial" w:cs="arial"/>
          <w:color w:val="000000"/>
          <w:sz w:val="20"/>
          <w:u w:val="single"/>
          <w:lang w:val="en-US" w:eastAsia="en-US" w:bidi="ar-SA"/>
        </w:rPr>
        <w:t>on their face</w:t>
      </w:r>
      <w:r>
        <w:rPr>
          <w:rFonts w:ascii="arial" w:eastAsia="arial" w:hAnsi="arial" w:cs="arial"/>
          <w:color w:val="000000"/>
          <w:sz w:val="20"/>
          <w:lang w:val="en-US" w:eastAsia="en-US" w:bidi="ar-SA"/>
        </w:rPr>
        <w:t xml:space="preserve">, the documents provided to the plaintiffs by HSBC offend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's provisions, making any other evidence otiose.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Wright v. United Parcel Service Canada Ltd.</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2011 ONSC 5044</w:t>
        </w:r>
      </w:hyperlink>
      <w:r>
        <w:rPr>
          <w:rFonts w:ascii="arial" w:eastAsia="arial" w:hAnsi="arial" w:cs="arial"/>
          <w:color w:val="000000"/>
          <w:sz w:val="20"/>
          <w:lang w:val="en-US" w:eastAsia="en-US" w:bidi="ar-SA"/>
        </w:rPr>
        <w:t>, the Court certified a class proceeding involving two standard shipping documents. At paras. 219-225, Horkins J. wrote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[219] </w:t>
      </w:r>
      <w:r>
        <w:rPr>
          <w:rFonts w:ascii="arial" w:eastAsia="arial" w:hAnsi="arial" w:cs="arial"/>
          <w:color w:val="000000"/>
          <w:sz w:val="20"/>
          <w:u w:val="single"/>
          <w:lang w:val="en-US" w:eastAsia="en-US" w:bidi="ar-SA"/>
        </w:rPr>
        <w:t>UPS also argues that the waybill and IPSO are not standard contracts because the plaintiffs did not present any evidence to establish that they are the "only two forms of documents" that UPS used to initiate a shipping transaction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[220] In essence, UPS is relying on assertions that are inconsistent with admissions in its statement of defence and not supported by evidence. </w:t>
      </w:r>
      <w:r>
        <w:rPr>
          <w:rFonts w:ascii="arial" w:eastAsia="arial" w:hAnsi="arial" w:cs="arial"/>
          <w:color w:val="000000"/>
          <w:sz w:val="20"/>
          <w:u w:val="single"/>
          <w:lang w:val="en-US" w:eastAsia="en-US" w:bidi="ar-SA"/>
        </w:rPr>
        <w:t>If UPS used documents other than the waybill and the IPSO to contract with customers and ship goods into Canada, then this is a fact that would be within their knowledge and they should have presented evidence to support this assertion. It is UPS, not the plaintiffs, who would have access to such evidence, assuming it exists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[221] </w:t>
      </w:r>
      <w:r>
        <w:rPr>
          <w:rFonts w:ascii="arial" w:eastAsia="arial" w:hAnsi="arial" w:cs="arial"/>
          <w:color w:val="000000"/>
          <w:sz w:val="20"/>
          <w:u w:val="single"/>
          <w:lang w:val="en-US" w:eastAsia="en-US" w:bidi="ar-SA"/>
        </w:rPr>
        <w:t xml:space="preserve">As Justice Cullity explained in Lambert v. Guidant Corp, </w:t>
      </w:r>
      <w:hyperlink r:id="rId654" w:history="1">
        <w:r>
          <w:rPr>
            <w:rFonts w:ascii="arial" w:eastAsia="arial" w:hAnsi="arial" w:cs="arial"/>
            <w:i/>
            <w:color w:val="0077CC"/>
            <w:sz w:val="20"/>
            <w:u w:val="single"/>
            <w:shd w:val="clear" w:color="auto" w:fill="FFFFFF"/>
            <w:lang w:val="en-US" w:eastAsia="en-US" w:bidi="ar-SA"/>
          </w:rPr>
          <w:t>[2009] O.J. No. 1910</w:t>
        </w:r>
      </w:hyperlink>
      <w:r>
        <w:rPr>
          <w:rFonts w:ascii="arial" w:eastAsia="arial" w:hAnsi="arial" w:cs="arial"/>
          <w:color w:val="000000"/>
          <w:sz w:val="20"/>
          <w:u w:val="single"/>
          <w:lang w:val="en-US" w:eastAsia="en-US" w:bidi="ar-SA"/>
        </w:rPr>
        <w:t xml:space="preserve"> at para. 68, leave to appeal dismissed </w:t>
      </w:r>
      <w:hyperlink r:id="rId655" w:history="1">
        <w:r>
          <w:rPr>
            <w:rFonts w:ascii="arial" w:eastAsia="arial" w:hAnsi="arial" w:cs="arial"/>
            <w:i/>
            <w:color w:val="0077CC"/>
            <w:sz w:val="20"/>
            <w:u w:val="single"/>
            <w:shd w:val="clear" w:color="auto" w:fill="FFFFFF"/>
            <w:lang w:val="en-US" w:eastAsia="en-US" w:bidi="ar-SA"/>
          </w:rPr>
          <w:t>[2009] O.J. No. 4464</w:t>
        </w:r>
      </w:hyperlink>
      <w:r>
        <w:rPr>
          <w:rFonts w:ascii="arial" w:eastAsia="arial" w:hAnsi="arial" w:cs="arial"/>
          <w:color w:val="000000"/>
          <w:sz w:val="20"/>
          <w:u w:val="single"/>
          <w:lang w:val="en-US" w:eastAsia="en-US" w:bidi="ar-SA"/>
        </w:rPr>
        <w:t xml:space="preserve"> (Div. Ct.), while the evidentiary burden on the plaintiff is low, the burden on the defendant is "inversely heavy":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legislative history was relied on in Hollick as justifying the very weak evidential burden of "some basis in fact" that was held to apply to each of the statutory requirements for certification, other than that relating to the disclosure of a cause of action. It must, I believe, follow logically that, </w:t>
      </w:r>
      <w:r>
        <w:rPr>
          <w:rFonts w:ascii="arial" w:eastAsia="arial" w:hAnsi="arial" w:cs="arial"/>
          <w:color w:val="000000"/>
          <w:sz w:val="20"/>
          <w:u w:val="single"/>
          <w:lang w:val="en-US" w:eastAsia="en-US" w:bidi="ar-SA"/>
        </w:rPr>
        <w:t>although a defendant would be entitled to deliver affidavit evidence in rebuttal, the standard of proof is inversely heavy</w:t>
      </w:r>
      <w:r>
        <w:rPr>
          <w:rFonts w:ascii="arial" w:eastAsia="arial" w:hAnsi="arial" w:cs="arial"/>
          <w:color w:val="000000"/>
          <w:sz w:val="20"/>
          <w:lang w:val="en-US" w:eastAsia="en-US" w:bidi="ar-SA"/>
        </w:rPr>
        <w:t>. It is not enough for the defendant to establish on a balance of probabilities that facts that bear on the existence of "colourable" claims differ from those asserted by the plaintiff - the onus must be to demonstrate that there is no basis in the evidence for the latter. For this reason, the court has generally declined to choose between conflicting opinions of qualified experts on the requirement of commonality of issues, or on the existence of the claims of class members that are said to raise such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[222] Further, at para. 81, </w:t>
      </w:r>
      <w:r>
        <w:rPr>
          <w:rFonts w:ascii="arial" w:eastAsia="arial" w:hAnsi="arial" w:cs="arial"/>
          <w:color w:val="000000"/>
          <w:sz w:val="20"/>
          <w:u w:val="single"/>
          <w:lang w:val="en-US" w:eastAsia="en-US" w:bidi="ar-SA"/>
        </w:rPr>
        <w:t>Justice Cullity highlighted the risk that a defendant runs in relying on assertions, when facts, as in this case, are peculiarly within their knowledge: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has been insisted on many prior occasions, the certification motion is essentially procedural in nature. </w:t>
      </w:r>
      <w:r>
        <w:rPr>
          <w:rFonts w:ascii="arial" w:eastAsia="arial" w:hAnsi="arial" w:cs="arial"/>
          <w:color w:val="000000"/>
          <w:sz w:val="20"/>
          <w:u w:val="single"/>
          <w:lang w:val="en-US" w:eastAsia="en-US" w:bidi="ar-SA"/>
        </w:rPr>
        <w:t>There is, of course, nothing to prevent the defendants from making full disclosure of facts that will assist in narrowing the class, or formulating the issues. Just as obviously, the proceedings are adversarial and they cannot be compelled to do this. If, however, they choose to rely on assertions of facts peculiarly within their own knowledge, and which cannot properly and adequately be tested on the motion, they cannot, in my opinion, insist that their evidence must be accepted as conclusive</w:t>
      </w:r>
      <w:r>
        <w:rPr>
          <w:rFonts w:ascii="arial" w:eastAsia="arial" w:hAnsi="arial" w:cs="arial"/>
          <w:color w:val="000000"/>
          <w:sz w:val="20"/>
          <w:lang w:val="en-US" w:eastAsia="en-US" w:bidi="ar-SA"/>
        </w:rPr>
        <w:t>. The court must decide the weight that is to be given to it in the light of all the evidence and with strict attention to, and its focus on, the claims actually advanced by the plaintiffs on behalf of the class, and the standard of proof applicable to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[223] I add that in this case, UPS surely appreciated the importance of offering such evidence (assuming it exists), since they faced the plaintiffs' summary judgment motion immediately following certification.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[224] In any event, even if contracts other than the standard form IPSO and waybill were used (and there is no such evidence), this action does not include such contracts.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[225] Lastly, UPS argues that because the content of the waybill and IPSO are different, this is evidence that they are not standard form documents. I disagree. The premise of the plaintiffs' case is that UPS either used a waybill or the IPSO to confirm an agreement to ship using standard service. There is some evidence to support this. The fact that the two documents are not the same does not mean that they are not "standard" documents. One does not depend on the other to be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plaintiffs refer to </w:t>
      </w:r>
      <w:r>
        <w:rPr>
          <w:rFonts w:ascii="arial" w:eastAsia="arial" w:hAnsi="arial" w:cs="arial"/>
          <w:i/>
          <w:color w:val="000000"/>
          <w:sz w:val="20"/>
          <w:lang w:val="en-US" w:eastAsia="en-US" w:bidi="ar-SA"/>
        </w:rPr>
        <w:t>Cooper v. Merrill Lynch</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2006 BCSC 1905</w:t>
        </w:r>
      </w:hyperlink>
      <w:r>
        <w:rPr>
          <w:rFonts w:ascii="arial" w:eastAsia="arial" w:hAnsi="arial" w:cs="arial"/>
          <w:color w:val="000000"/>
          <w:sz w:val="20"/>
          <w:lang w:val="en-US" w:eastAsia="en-US" w:bidi="ar-SA"/>
        </w:rPr>
        <w:t>. In that case, the defendant was alleged to have wrongfully taken fees in connection with currency transactions. The defendant had provided evidence to the certification judge of dealings between customers and the defendants' investment advisors that demonstrated individuality in the representations that were made. Nevertheless the proceeding was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At paras. 32 and 33 of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Allan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Merrill emphasizes the distinction between discount investment dealers (such as TD Waterhouse Investor Services (Canada) ("TD") in the case of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[2001] B.C.J. No. 1874</w:t>
        </w:r>
      </w:hyperlink>
      <w:r>
        <w:rPr>
          <w:rFonts w:ascii="arial" w:eastAsia="arial" w:hAnsi="arial" w:cs="arial"/>
          <w:color w:val="000000"/>
          <w:sz w:val="20"/>
          <w:lang w:val="en-US" w:eastAsia="en-US" w:bidi="ar-SA"/>
        </w:rPr>
        <w:t>) and full service investment dealers such as Merrill. The former are generally "order takers" who have no obligation to know their clients' circumstances or offer suitable advice. In contrast, full service investment dealers often develop very intimate relationships with their clients. Those advisors employ industry prescribed forms which set out the relevant circumstances that can be relevant to an investment, such as client income level, security of employment, net worth, extent of family obligations, retirement plans, health concerns, investing sophistication, and personal tolerance for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w:t>
      </w:r>
      <w:r>
        <w:rPr>
          <w:rFonts w:ascii="arial" w:eastAsia="arial" w:hAnsi="arial" w:cs="arial"/>
          <w:color w:val="000000"/>
          <w:sz w:val="20"/>
          <w:u w:val="single"/>
          <w:lang w:val="en-US" w:eastAsia="en-US" w:bidi="ar-SA"/>
        </w:rPr>
        <w:t>Merrill points out that each relationship between a client and an investment dealer is unique and depends on factors such as the personalities of the client and advisor, how they communicate and the duration of the relationship</w:t>
      </w:r>
      <w:r>
        <w:rPr>
          <w:rFonts w:ascii="arial" w:eastAsia="arial" w:hAnsi="arial" w:cs="arial"/>
          <w:color w:val="000000"/>
          <w:sz w:val="20"/>
          <w:lang w:val="en-US" w:eastAsia="en-US" w:bidi="ar-SA"/>
        </w:rPr>
        <w:t>. In some cases, there may be a minimal relationship between a client and his or her advisor. While the relationship is not necessarily a fiduciary one, it may become one in some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Merrill Lynch Canada Inc. submitted that it was "a full service advisory characterized by 'individualized, advice driven communications and considerations.'" At para. 132, Allan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of the defendant's submissions stem from its position that individual inquires [sic] are necessary to, and determinative of, all of the issues relating to the plaintiff's claims. </w:t>
      </w:r>
      <w:r>
        <w:rPr>
          <w:rFonts w:ascii="arial" w:eastAsia="arial" w:hAnsi="arial" w:cs="arial"/>
          <w:color w:val="000000"/>
          <w:sz w:val="20"/>
          <w:u w:val="single"/>
          <w:lang w:val="en-US" w:eastAsia="en-US" w:bidi="ar-SA"/>
        </w:rPr>
        <w:t>On the other hand, if, as the plaintiff asserts, there is a common duty from the broker to the client arising out of the agency relationship, regardless of the particulars of that relationship, then the determination of many of the legal and factual issues will move the litigation forward substantially</w:t>
      </w:r>
      <w:r>
        <w:rPr>
          <w:rFonts w:ascii="arial" w:eastAsia="arial" w:hAnsi="arial" w:cs="arial"/>
          <w:color w:val="000000"/>
          <w:sz w:val="20"/>
          <w:lang w:val="en-US" w:eastAsia="en-US" w:bidi="ar-SA"/>
        </w:rPr>
        <w:t>. If the resolution of some or all of the common issues is decided in the defendant's favour, then the litigation may be ended, or it may be appropriate to decertify these claims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in the case at bar, having reviewed the legal principles that they claim govern the common issue analysis, subsequently applied those principles to the three factual issues the Court of Appeal held may be capable of certification. For ease of convenience, I will repeat them:</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Defendants' practices with respect to disclosure to Class Members of charges for title insurance premiums ("Title Insurance") and legal fees.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are the title insurance premiums related to the Class Members' mortgages calculated.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have been the Defendants' legal fees and related expenses for the drafting, execution and registration of Class Members' mortgages and related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submit that it is obvious that the disclosure practices of HSBC regarding title insurance costs and attendant legal fees are likely to be common across all members of the proposed class. The plaintiffs point out that, at this stage of this proceeding, there has yet to be a discovery. As a result, they argue that the full extent of commonality will be revealed by the documents eventually disclosed by HSBC and through its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Likewise, the plaintiffs claim that the means of calculating title insurance premiums for class members' mortgages will likely be consistent across the class, and that there will be little or no room for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argue that the calculation of the defendants' legal fees for the drafting, execution and registration of mortgages made by class members is likely to be conducted in a consistent manner for all class members with little, if any, room for individual issues to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then turned to the common issue analysis, the breach of contract issue, which the Court of Appeal held may be capable of certification.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the contracts entered into between Class Members and the Defendants have been breached by the charging of the Class Members for Undisclosed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plaintiffs submit that the contractual documents are to be interpreted objectively without regard to the plaintiffs' subjective understanding of their meaning. They rely on </w:t>
      </w:r>
      <w:r>
        <w:rPr>
          <w:rFonts w:ascii="arial" w:eastAsia="arial" w:hAnsi="arial" w:cs="arial"/>
          <w:i/>
          <w:color w:val="000000"/>
          <w:sz w:val="20"/>
          <w:lang w:val="en-US" w:eastAsia="en-US" w:bidi="ar-SA"/>
        </w:rPr>
        <w:t>Lam v. University of British Columbia</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2010 BCCA 325</w:t>
        </w:r>
      </w:hyperlink>
      <w:r>
        <w:rPr>
          <w:rFonts w:ascii="arial" w:eastAsia="arial" w:hAnsi="arial" w:cs="arial"/>
          <w:color w:val="000000"/>
          <w:sz w:val="20"/>
          <w:lang w:val="en-US" w:eastAsia="en-US" w:bidi="ar-SA"/>
        </w:rPr>
        <w:t xml:space="preserve"> at para. 58, where Finch C.J.B.C.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case involves a standard form contract. The issue is simply whether on the contract's true interpretation UBC is entitled to its protection. That interpretation will require an examination of the words of the contract. As UBC concedes, the "liability exclusion clause is written in clear, concise, plain language which anyone with basic knowledge of English should be able to understand". Further, the interpretation will require consideration of the contract's context, which includes the commercial circumstances underlying the contract. That context will be, in the words of Perell J. in </w:t>
      </w:r>
      <w:r>
        <w:rPr>
          <w:rFonts w:ascii="arial" w:eastAsia="arial" w:hAnsi="arial" w:cs="arial"/>
          <w:i/>
          <w:color w:val="000000"/>
          <w:sz w:val="20"/>
          <w:lang w:val="en-US" w:eastAsia="en-US" w:bidi="ar-SA"/>
        </w:rPr>
        <w:t>De Wolf</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[2008] O.J. No. 592</w:t>
        </w:r>
      </w:hyperlink>
      <w:r>
        <w:rPr>
          <w:rFonts w:ascii="arial" w:eastAsia="arial" w:hAnsi="arial" w:cs="arial"/>
          <w:color w:val="000000"/>
          <w:sz w:val="20"/>
          <w:lang w:val="en-US" w:eastAsia="en-US" w:bidi="ar-SA"/>
        </w:rPr>
        <w:t xml:space="preserve"> either "common or typical across the members of the class". </w:t>
      </w:r>
      <w:r>
        <w:rPr>
          <w:rFonts w:ascii="arial" w:eastAsia="arial" w:hAnsi="arial" w:cs="arial"/>
          <w:color w:val="000000"/>
          <w:sz w:val="20"/>
          <w:u w:val="single"/>
          <w:lang w:val="en-US" w:eastAsia="en-US" w:bidi="ar-SA"/>
        </w:rPr>
        <w:t>This is not a case in which individual assessments will be necessary in order to determine whether UBC is protected by the standard form contract</w:t>
      </w:r>
      <w:r>
        <w:rPr>
          <w:rFonts w:ascii="arial" w:eastAsia="arial" w:hAnsi="arial" w:cs="arial"/>
          <w:color w:val="000000"/>
          <w:sz w:val="20"/>
          <w:lang w:val="en-US" w:eastAsia="en-US" w:bidi="ar-SA"/>
        </w:rPr>
        <w:t xml:space="preserve">. Contrary to what the respondent says at para. 80 of its factum, </w:t>
      </w:r>
      <w:r>
        <w:rPr>
          <w:rFonts w:ascii="arial" w:eastAsia="arial" w:hAnsi="arial" w:cs="arial"/>
          <w:color w:val="000000"/>
          <w:sz w:val="20"/>
          <w:u w:val="single"/>
          <w:lang w:val="en-US" w:eastAsia="en-US" w:bidi="ar-SA"/>
        </w:rPr>
        <w:t>that interpretation does not depend on "the understandings of the individual clients"</w:t>
      </w:r>
      <w:r>
        <w:rPr>
          <w:rFonts w:ascii="arial" w:eastAsia="arial" w:hAnsi="arial" w:cs="arial"/>
          <w:color w:val="000000"/>
          <w:sz w:val="20"/>
          <w:lang w:val="en-US" w:eastAsia="en-US" w:bidi="ar-SA"/>
        </w:rPr>
        <w:t>. The subjective understanding of a client is irrelevant and inadmissible. What is relevant is what an objective bystander would say the parties intended the contract to mean. That can be determined by looking at the "clear, concise, plain language" of the contract and the common or typical contextual factors surrounding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"Damages Issues" that the Court of Appeal held may be capable of certification are:</w:t>
      </w:r>
      <w:r>
        <w:rPr>
          <w:rFonts w:ascii="arial" w:eastAsia="arial" w:hAnsi="arial" w:cs="arial"/>
          <w:sz w:val="20"/>
          <w:lang w:val="en-US" w:eastAsia="en-US" w:bidi="ar-SA"/>
        </w:rPr>
        <w:cr/>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Class Members are entitled to damages or other orders in respect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breaches of statutes, and breach of contract of the Defendants;</w:t>
      </w:r>
    </w:p>
    <w:p>
      <w:pPr>
        <w:numPr>
          <w:numId w:val="2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should such damages be determined on an individual or aggregate basis and what is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submit that the damages to be awarded will reflect that sum of money which is sufficient to place the class members in the same position as if the contract had been performed. In other words, given that the original contract exempted legal fees, they seek to be refunded the sums they paid for these fees. Moreover, given HSBC's usual approach to calculating legal fees, the plaintiffs argue that there will be a large element of commonality.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Further, it is submitted that it is immaterial that class members might have obtained the same services from another lender without paying legal fees, as their damages are the measure of their lost bargain with HSBC.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SUBMISSIONS ON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plaintiffs referred to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2012 BCCA 260</w:t>
        </w:r>
      </w:hyperlink>
      <w:r>
        <w:rPr>
          <w:rFonts w:ascii="arial" w:eastAsia="arial" w:hAnsi="arial" w:cs="arial"/>
          <w:color w:val="000000"/>
          <w:sz w:val="20"/>
          <w:lang w:val="en-US" w:eastAsia="en-US" w:bidi="ar-SA"/>
        </w:rPr>
        <w:t>,. In that case, Kirkpatrick J.A., with whom the other judges agreed, wrote the following at para. 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McLachlin C.J.C. explained the requirement that a class action be the preferable procedure for the resolution of the common issues at paras. 29-30: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t>
      </w:r>
      <w:r>
        <w:rPr>
          <w:rFonts w:ascii="arial" w:eastAsia="arial" w:hAnsi="arial" w:cs="arial"/>
          <w:color w:val="000000"/>
          <w:sz w:val="20"/>
          <w:u w:val="single"/>
          <w:lang w:val="en-US" w:eastAsia="en-US" w:bidi="ar-SA"/>
        </w:rPr>
        <w:t>The Act itself, of course, requires only that a class action be the preferable procedure for "the resolution of the common issues" (emphasis added), and not that a class action be the preferable procedure for the resolution of the class members' claims</w:t>
      </w:r>
      <w:r>
        <w:rPr>
          <w:rFonts w:ascii="arial" w:eastAsia="arial" w:hAnsi="arial" w:cs="arial"/>
          <w:color w:val="000000"/>
          <w:sz w:val="20"/>
          <w:lang w:val="en-US" w:eastAsia="en-US" w:bidi="ar-SA"/>
        </w:rPr>
        <w:t>. I would not place undue weight, however, on the fact that the Act uses the phrase "resolution of the common issues" rather than "resolution of class members' claims". As one commentator writes: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[American] class action [rule] requires that the class action be the superior method to resolve the "controversy." The B.C. and Ontario Acts require that the class proceeding be the preferable procedure for the resolution of the "common issues" (as opposed to the entire controversy). [This] distinctio[n] can be seen as creating a lower threshold for certification in Ontario and B.C. than in the U.S. However, it is still important in B.C. and Ontario to assess the litigation as a whole, including the individual hearing stage, in order to determine whether the class action is the preferable means of resolving the common issues. </w:t>
      </w:r>
      <w:r>
        <w:rPr>
          <w:rFonts w:ascii="arial" w:eastAsia="arial" w:hAnsi="arial" w:cs="arial"/>
          <w:i/>
          <w:color w:val="000000"/>
          <w:sz w:val="20"/>
          <w:lang w:val="en-US" w:eastAsia="en-US" w:bidi="ar-SA"/>
        </w:rPr>
        <w:t>In the abstract, common issues are always best resolved in a common proceeding. However, it is important to adopt a practical cost-benefit approach to this procedural issue, and to consider the impact of a class proceeding on class members, the defendants, and the court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Branch,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4.690. </w:t>
      </w:r>
      <w:r>
        <w:rPr>
          <w:rFonts w:ascii="arial" w:eastAsia="arial" w:hAnsi="arial" w:cs="arial"/>
          <w:i/>
          <w:color w:val="000000"/>
          <w:sz w:val="20"/>
          <w:lang w:val="en-US" w:eastAsia="en-US" w:bidi="ar-SA"/>
        </w:rPr>
        <w:t>I would endorse that approach</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w:t>
      </w:r>
      <w:r>
        <w:rPr>
          <w:rFonts w:ascii="arial" w:eastAsia="arial" w:hAnsi="arial" w:cs="arial"/>
          <w:color w:val="000000"/>
          <w:sz w:val="20"/>
          <w:u w:val="single"/>
          <w:lang w:val="en-US" w:eastAsia="en-US" w:bidi="ar-SA"/>
        </w:rPr>
        <w:t>The question of preferability, then, must take into account the importance of the common issues in relation to the claims as a whole. It is true, of course, that the Act contemplates that class actions will be allowable even where there are substantial individual issues: see s. 5. It is also true that the drafters rejected a requirement, such as is contained in the American federal class action rule, that the common issues "predominate" over the individual issues</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Federal Rules of Civil Procedure</w:t>
      </w:r>
      <w:r>
        <w:rPr>
          <w:rFonts w:ascii="arial" w:eastAsia="arial" w:hAnsi="arial" w:cs="arial"/>
          <w:color w:val="000000"/>
          <w:sz w:val="20"/>
          <w:lang w:val="en-US" w:eastAsia="en-US" w:bidi="ar-SA"/>
        </w:rPr>
        <w:t xml:space="preserve">, Rule 23(b)(3) (stating that class action maintainable only if "questions of law or fact common to the members of the class predominate over any questions affecting only individual members"); see also British Columbia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s. 4(2)(a) (stating that, in determining whether a class action is the preferable procedures, the court must consider "whether questions of fact or law common to the members of the class predominate over any questions affecting only individual members"). I cannot conclude, however, that </w:t>
      </w:r>
      <w:r>
        <w:rPr>
          <w:rFonts w:ascii="arial" w:eastAsia="arial" w:hAnsi="arial" w:cs="arial"/>
          <w:color w:val="000000"/>
          <w:sz w:val="20"/>
          <w:u w:val="single"/>
          <w:lang w:val="en-US" w:eastAsia="en-US" w:bidi="ar-SA"/>
        </w:rPr>
        <w:t>the drafters intended the preferability analysis to take place in a vacuum. There must be a consideration of the common issues in context</w:t>
      </w:r>
      <w:r>
        <w:rPr>
          <w:rFonts w:ascii="arial" w:eastAsia="arial" w:hAnsi="arial" w:cs="arial"/>
          <w:color w:val="000000"/>
          <w:sz w:val="20"/>
          <w:lang w:val="en-US" w:eastAsia="en-US" w:bidi="ar-SA"/>
        </w:rPr>
        <w:t xml:space="preserve">. As the Chair of the Attorney General's Advisory Committee put it, the preferability requirement asks that the class representative "demonstrate that, </w:t>
      </w:r>
      <w:r>
        <w:rPr>
          <w:rFonts w:ascii="arial" w:eastAsia="arial" w:hAnsi="arial" w:cs="arial"/>
          <w:color w:val="000000"/>
          <w:sz w:val="20"/>
          <w:u w:val="single"/>
          <w:lang w:val="en-US" w:eastAsia="en-US" w:bidi="ar-SA"/>
        </w:rPr>
        <w:t>given all of the circumstances of the particular claim</w:t>
      </w:r>
      <w:r>
        <w:rPr>
          <w:rFonts w:ascii="arial" w:eastAsia="arial" w:hAnsi="arial" w:cs="arial"/>
          <w:color w:val="000000"/>
          <w:sz w:val="20"/>
          <w:lang w:val="en-US" w:eastAsia="en-US" w:bidi="ar-SA"/>
        </w:rPr>
        <w:t xml:space="preserve">, [a class action] would be preferable to other methods of resolving these claims and, in particular, that it would be preferable to the use of individual proceedings" (emphasis added): M.G. Cochrane, </w:t>
      </w:r>
      <w:r>
        <w:rPr>
          <w:rFonts w:ascii="arial" w:eastAsia="arial" w:hAnsi="arial" w:cs="arial"/>
          <w:i/>
          <w:color w:val="000000"/>
          <w:sz w:val="20"/>
          <w:lang w:val="en-US" w:eastAsia="en-US" w:bidi="ar-SA"/>
        </w:rPr>
        <w:t>Class Actions: A Guide to the Class Proceedings Act, 1992</w:t>
      </w:r>
      <w:r>
        <w:rPr>
          <w:rFonts w:ascii="arial" w:eastAsia="arial" w:hAnsi="arial" w:cs="arial"/>
          <w:color w:val="000000"/>
          <w:sz w:val="20"/>
          <w:lang w:val="en-US" w:eastAsia="en-US" w:bidi="ar-SA"/>
        </w:rPr>
        <w:t xml:space="preserve"> (1993), at p. 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 [Italics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plaintiffs submit that the common issues in their case are predominant and so a class proceeding is not only preferable, but it is the only way in which the members of the proposed class can effectively enforce their rights. For this point, the plaintiffs refer to </w:t>
      </w:r>
      <w:r>
        <w:rPr>
          <w:rFonts w:ascii="arial" w:eastAsia="arial" w:hAnsi="arial" w:cs="arial"/>
          <w:i/>
          <w:color w:val="000000"/>
          <w:sz w:val="20"/>
          <w:lang w:val="en-US" w:eastAsia="en-US" w:bidi="ar-SA"/>
        </w:rPr>
        <w:t>Nanaimo Immigrant Settlement Society v. British Columbia</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2001 BCCA 75</w:t>
        </w:r>
      </w:hyperlink>
      <w:r>
        <w:rPr>
          <w:rFonts w:ascii="arial" w:eastAsia="arial" w:hAnsi="arial" w:cs="arial"/>
          <w:color w:val="000000"/>
          <w:sz w:val="20"/>
          <w:lang w:val="en-US" w:eastAsia="en-US" w:bidi="ar-SA"/>
        </w:rPr>
        <w:t>. At para. 25 of that decision, Newbury J.A. wrote the following for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I believe a class action provides the preferable way of proceeding in this case, and that the Chambers judge did not err in so ruling. </w:t>
      </w:r>
      <w:r>
        <w:rPr>
          <w:rFonts w:ascii="arial" w:eastAsia="arial" w:hAnsi="arial" w:cs="arial"/>
          <w:color w:val="000000"/>
          <w:sz w:val="20"/>
          <w:u w:val="single"/>
          <w:lang w:val="en-US" w:eastAsia="en-US" w:bidi="ar-SA"/>
        </w:rPr>
        <w:t>If a class action were not employed, the practical difficulties that would accompany a declaratory action, followed (if the plaintiffs were successful) by many individual actions centering on the restitution claims, would make the actions so unwieldy and expensive as to threaten the plaintiffs' access to the courts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point out that the damage award sought by each class member is at best modest. Consequently, a lawsuit would be uneconomic for an individual plaintiff, especially in light of the further prospect of exposure to adverse costs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At para. 20 of </w:t>
      </w:r>
      <w:r>
        <w:rPr>
          <w:rFonts w:ascii="arial" w:eastAsia="arial" w:hAnsi="arial" w:cs="arial"/>
          <w:i/>
          <w:color w:val="000000"/>
          <w:sz w:val="20"/>
          <w:lang w:val="en-US" w:eastAsia="en-US" w:bidi="ar-SA"/>
        </w:rPr>
        <w:t>Nanaimo Immigrant Settlement</w:t>
      </w:r>
      <w:r>
        <w:rPr>
          <w:rFonts w:ascii="arial" w:eastAsia="arial" w:hAnsi="arial" w:cs="arial"/>
          <w:color w:val="000000"/>
          <w:sz w:val="20"/>
          <w:lang w:val="en-US" w:eastAsia="en-US" w:bidi="ar-SA"/>
        </w:rPr>
        <w:t>, Society Newbury J.A.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as Mr. Branch responded, the question is not whether the class action is </w:t>
      </w:r>
      <w:r>
        <w:rPr>
          <w:rFonts w:ascii="arial" w:eastAsia="arial" w:hAnsi="arial" w:cs="arial"/>
          <w:color w:val="000000"/>
          <w:sz w:val="20"/>
          <w:u w:val="single"/>
          <w:lang w:val="en-US" w:eastAsia="en-US" w:bidi="ar-SA"/>
        </w:rPr>
        <w:t>necessary</w:t>
      </w:r>
      <w:r>
        <w:rPr>
          <w:rFonts w:ascii="arial" w:eastAsia="arial" w:hAnsi="arial" w:cs="arial"/>
          <w:color w:val="000000"/>
          <w:sz w:val="20"/>
          <w:lang w:val="en-US" w:eastAsia="en-US" w:bidi="ar-SA"/>
        </w:rPr>
        <w:t xml:space="preserve"> - i.e., whether there are other alternatives - but whether it is the "</w:t>
      </w:r>
      <w:r>
        <w:rPr>
          <w:rFonts w:ascii="arial" w:eastAsia="arial" w:hAnsi="arial" w:cs="arial"/>
          <w:color w:val="000000"/>
          <w:sz w:val="20"/>
          <w:u w:val="single"/>
          <w:lang w:val="en-US" w:eastAsia="en-US" w:bidi="ar-SA"/>
        </w:rPr>
        <w:t>preferable</w:t>
      </w:r>
      <w:r>
        <w:rPr>
          <w:rFonts w:ascii="arial" w:eastAsia="arial" w:hAnsi="arial" w:cs="arial"/>
          <w:color w:val="000000"/>
          <w:sz w:val="20"/>
          <w:lang w:val="en-US" w:eastAsia="en-US" w:bidi="ar-SA"/>
        </w:rPr>
        <w:t xml:space="preserve"> procedure" for resolving the plaintiffs' claims. Section 4(2)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states that that question involves a consideration of "all relevant matters" - a phrase that includes the practical realities of this method of resolving the claims in comparison to other methods. In the plaintiffs' submission, what makes a class action preferable in this case are the practical advantages provided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for the actual litigation process. Some of these advantages accrue only to the plaintiffs: as Mr. Branch noted, </w:t>
      </w:r>
      <w:r>
        <w:rPr>
          <w:rFonts w:ascii="arial" w:eastAsia="arial" w:hAnsi="arial" w:cs="arial"/>
          <w:i/>
          <w:color w:val="000000"/>
          <w:sz w:val="20"/>
          <w:lang w:val="en-US" w:eastAsia="en-US" w:bidi="ar-SA"/>
        </w:rPr>
        <w:t>if the claims are aggregated, contingency fee arrangements are likely to be available for the plaintiffs. The claims can be pursued by one counsel or a few counsel rather than by many</w:t>
      </w:r>
      <w:r>
        <w:rPr>
          <w:rFonts w:ascii="arial" w:eastAsia="arial" w:hAnsi="arial" w:cs="arial"/>
          <w:color w:val="000000"/>
          <w:sz w:val="20"/>
          <w:lang w:val="en-US" w:eastAsia="en-US" w:bidi="ar-SA"/>
        </w:rPr>
        <w:t xml:space="preserve">. A formal notification procedure is available. Generally, it is more likely that those charities that have paid provincial licence fees in connection with bingo and casino games can pursue the matter to completion - something very few individual charities could do on their own. Other advantages arising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are beneficial to both parties - </w:t>
      </w:r>
      <w:r>
        <w:rPr>
          <w:rFonts w:ascii="arial" w:eastAsia="arial" w:hAnsi="arial" w:cs="arial"/>
          <w:i/>
          <w:color w:val="000000"/>
          <w:sz w:val="20"/>
          <w:lang w:val="en-US" w:eastAsia="en-US" w:bidi="ar-SA"/>
        </w:rPr>
        <w:t>the assignment to the action of one case-management judge, and the attendant elimination of lengthy Chambers proceedings before different judges</w:t>
      </w:r>
      <w:r>
        <w:rPr>
          <w:rFonts w:ascii="arial" w:eastAsia="arial" w:hAnsi="arial" w:cs="arial"/>
          <w:color w:val="000000"/>
          <w:sz w:val="20"/>
          <w:lang w:val="en-US" w:eastAsia="en-US" w:bidi="ar-SA"/>
        </w:rPr>
        <w:t>. From the Province's point of view, none of these considerations prejudices its ability to defend the action fully, except to the extent that financial constraints on the plaintiffs are eased. Those constraints are not an "advantage" the Province should wish to preserve. [Underlining in original] [Italics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plaintiffs submit that the problems of case management presented by this proposed class proceeding are far less daunting than those that have faced the courts in numerous cases such as </w:t>
      </w:r>
      <w:r>
        <w:rPr>
          <w:rFonts w:ascii="arial" w:eastAsia="arial" w:hAnsi="arial" w:cs="arial"/>
          <w:i/>
          <w:color w:val="000000"/>
          <w:sz w:val="20"/>
          <w:lang w:val="en-US" w:eastAsia="en-US" w:bidi="ar-SA"/>
        </w:rPr>
        <w:t>Cooper v. Merrill Lynch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SUBMISSIONS OF HSBC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Before describing the submissions of HSBC on common issue, I will address what HSBC submits is a fatal flaw in this action, a flaw which alone ought to lead to a refusal of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HSBC submits that this action is not about a lost bargain. It is about the way in which the actual cost of obtaining title insurance was disclosed to the plaintiffs on the forms which were required by the legislation. It is the position of HSBC that, while the plaintiffs do not deny that they agreed to pay the costs shown on the forms, they nevertheless complain that the total cost, shown as a single number in a box on the form, included legal costs of which they were not informed and did not agree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those facts, HSBC submits that the claim that the plaintiffs suffered a loss is spurious. This is because, if the form had broken out the legal cost portion of obtaining title insurance, and if the plaintiffs, as they insist they would have done, had refused to pay that portion, but nevertheless wished to borrow from HSBC on the security of a mortgage, they would have had to have given HSBC assurance of good title by the alternative method of a solicitor's letter, which would have had its own cost that the plaintiffs would have been obliged to pay. Either way HSBC says the payment by the plaintiffs of the legal costs associated with giving HSBC assurance of good title was inescapable.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HSBC provides evidence to support its argument in the affidavits of Ward Slobodesky and Richard Bell. Mr. Slobodesky was the National Manager of Compliance and Operations for HSBC Finance Mortgages Inc. Mr. Bell is an experienced real estate solicitor in British Columbia with expertise in relation to residential mortgages and title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Bell deposes that:</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mortgage lenders will accept either title insurance or a lawyer's report, including a survey, as to the sufficiency of the homeowner's title to the property before advancing funds secured by a mortgage on that property. Some mortgage lenders will accept either title insurance or a lawyer's report without a survey. Some mortgage lenders now require title insurance as a condition of securing a mortgage. Each mortgage lender may set the terms and conditions of the mortgage loans that it offers to borrowers, within the limits of the regulatory framework regarding residential real estate mortgages. The requirements of title insurance or lawyer's report, with or without a survey, are intended to ensure that the mortgage lender has proper security for its loan to the customer.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Mortgage Transaction Costs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Based on my extensive experience of approximately thirty years specializing in residential real estate, it has been my experience that it is very unusual for a mortgage lender to pay the fees or expenses incurred as part of a mortgage loan, including the fees for preparing and registering the mortgage on title. The fees and disbursements for a lawyer to prepare and register a mortgage is almost always paid by the customer</w:t>
      </w:r>
      <w:r>
        <w:rPr>
          <w:rFonts w:ascii="arial" w:eastAsia="arial" w:hAnsi="arial" w:cs="arial"/>
          <w:color w:val="000000"/>
          <w:sz w:val="20"/>
          <w:lang w:val="en-US" w:eastAsia="en-US" w:bidi="ar-SA"/>
        </w:rPr>
        <w: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not the general practice of any financial institutions or lenders in British Columbia that offer residential mortgages to pay the fees to have a mortgage registered. It is not considered part of their "overhead" or general expenses. It is the responsibility of the customer if they wish to borrow funds</w:t>
      </w:r>
      <w:r>
        <w:rPr>
          <w:rFonts w:ascii="arial" w:eastAsia="arial" w:hAnsi="arial" w:cs="arial"/>
          <w:color w:val="000000"/>
          <w:sz w:val="20"/>
          <w:lang w:val="en-US" w:eastAsia="en-US" w:bidi="ar-SA"/>
        </w:rPr>
        <w:t>.</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my experience in residential real estate, the fees and disbursements charged to a customer to register a mortgage on title for a refinance transaction would be approximately $600- 800 for most residential real estate lawyers in the lower mainland. This cost has not changed substantially in the past 10-15 years.</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fees and disbursements paid to a lawyer to prepare and register a mortgage on title for a refinance transaction would generally be greater than the title insurance fee where the title insurer registers the mortgage on title.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Slobodesky deposes that:</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title insurance was available in Canada for consumer mortgages, borrowers had another option, other than providing a lawyer's opinion, for providing Household [now HSBC] (and other lenders who accepted title insurance in lieu of a lawyer's opinion) with assurance that the mortgage would be enforceable. Title insurance offered borrowers several advantages over a traditional lawyer's opinion. Title insurance was faster, less expensive and more convenient than obtaining a lawyer's opinion. For example, in order to provide a title insurance certificate for a particular property, the insurer did not usually require a survey or a location certificate. If there was a judgment registered against the property or another encumbrance that had not been discharged, the title insurance company could decide to "title over" it and issue a title insurance certificate despite that encumbrance. It took less time to obtain a title insurance certificate than to obtain a lawyer's opinion, so the mortgage funds could be released more quickly. As a result of these advantages, the vast majority of borrowers chose to use title insurance after it was available.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all material times, one of the terms and conditions of consumer mortgages provided by Household was that a borrower was required to obtain either title insurance or a lawyer's opinion regarding title, at the borrower's option</w:t>
      </w:r>
      <w:r>
        <w:rPr>
          <w:rFonts w:ascii="arial" w:eastAsia="arial" w:hAnsi="arial" w:cs="arial"/>
          <w:color w:val="000000"/>
          <w:sz w:val="20"/>
          <w:lang w:val="en-US" w:eastAsia="en-US" w:bidi="ar-SA"/>
        </w:rPr>
        <w:t xml:space="preserve">. A borrower could choose whether to use title insurance or to have a lawyer provide an opinion on title rather than obtain title insurance. Title insurance was not a requirement or condition of any of Household's consumer mortgage loan agreements at any time. </w:t>
      </w:r>
      <w:r>
        <w:rPr>
          <w:rFonts w:ascii="arial" w:eastAsia="arial" w:hAnsi="arial" w:cs="arial"/>
          <w:color w:val="000000"/>
          <w:sz w:val="20"/>
          <w:u w:val="single"/>
          <w:lang w:val="en-US" w:eastAsia="en-US" w:bidi="ar-SA"/>
        </w:rPr>
        <w:t>Title insurance was always optional for borrowers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If a borrower opted to obtain title insurance for a residential mortgage, there was a fee for obtaining such insurance, which was paid to the title insurer. In most cases, the fee for title insurance was advanced from the proceeds of the mortgage on the borrower's behalf. In some cases, the fee for title insurance was paid by the borrower directly to the title insurer</w:t>
      </w:r>
      <w:r>
        <w:rPr>
          <w:rFonts w:ascii="arial" w:eastAsia="arial" w:hAnsi="arial" w:cs="arial"/>
          <w:color w:val="000000"/>
          <w:sz w:val="20"/>
          <w:lang w:val="en-US" w:eastAsia="en-US" w:bidi="ar-SA"/>
        </w:rPr>
        <w:t xml:space="preserve">. Similarly, </w:t>
      </w:r>
      <w:r>
        <w:rPr>
          <w:rFonts w:ascii="arial" w:eastAsia="arial" w:hAnsi="arial" w:cs="arial"/>
          <w:color w:val="000000"/>
          <w:sz w:val="20"/>
          <w:u w:val="single"/>
          <w:lang w:val="en-US" w:eastAsia="en-US" w:bidi="ar-SA"/>
        </w:rPr>
        <w:t>if a borrower opted to obtain a lawyer's opinion that the mortgage would be enforceable, the borrower could pay the lawyer any applicable fee for that opinion directly</w:t>
      </w:r>
      <w:r>
        <w:rPr>
          <w:rFonts w:ascii="arial" w:eastAsia="arial" w:hAnsi="arial" w:cs="arial"/>
          <w:color w:val="000000"/>
          <w:sz w:val="20"/>
          <w:lang w:val="en-US" w:eastAsia="en-US" w:bidi="ar-SA"/>
        </w:rPr>
        <w:t>, or the fee could be advanced to the lawyer from the proceeds of the mortgage. The fees associated with a mortgage transaction were usually paid from the mortgage proceeds, however, the borrower could elect to pay any of the mortgage fees directly.</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If a borrower opted to obtain title insurance for a mortgage, the borrower paid a single fee to the title insurer, whether the borrower paid the title insurer directly or the funds were advanced from the mortgage proceeds on the borrower's behalf</w:t>
      </w:r>
      <w:r>
        <w:rPr>
          <w:rFonts w:ascii="arial" w:eastAsia="arial" w:hAnsi="arial" w:cs="arial"/>
          <w:color w:val="000000"/>
          <w:sz w:val="20"/>
          <w:lang w:val="en-US" w:eastAsia="en-US" w:bidi="ar-SA"/>
        </w:rPr>
        <w:t xml:space="preserve">. The amount of this fee was determined solely by the title insurer and disclosed on the Disclosure Statement. </w:t>
      </w:r>
      <w:r>
        <w:rPr>
          <w:rFonts w:ascii="arial" w:eastAsia="arial" w:hAnsi="arial" w:cs="arial"/>
          <w:color w:val="000000"/>
          <w:sz w:val="20"/>
          <w:u w:val="single"/>
          <w:lang w:val="en-US" w:eastAsia="en-US" w:bidi="ar-SA"/>
        </w:rPr>
        <w:t>Household did not add any fees or service charges to the amount charged by the title insurer. Household did not receive any portion of the fee paid to the title insurer</w:t>
      </w:r>
      <w:r>
        <w:rPr>
          <w:rFonts w:ascii="arial" w:eastAsia="arial" w:hAnsi="arial" w:cs="arial"/>
          <w:color w:val="000000"/>
          <w:sz w:val="20"/>
          <w:lang w:val="en-US" w:eastAsia="en-US" w:bidi="ar-SA"/>
        </w:rPr>
        <w:t>. Household did not receive a referral fee, rebate or any other fee from the title insurer for title insurance policies issued.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Household Realty (now HSBC Finance) and Household Trust required the borrower to pay any fees associated with having the mortgage registered on title. This meant that either the borrower paid a lawyer to provide an opinion on title, to register the mortgage and to confirm to Household that the mortgage had been properly registered on title, or, the borrower paid a fee for title insurance that included the registration of the mortgage on title. Either way, the borrower paid for the preparation and registration of the mortgage on title</w:t>
      </w:r>
      <w:r>
        <w:rPr>
          <w:rFonts w:ascii="arial" w:eastAsia="arial" w:hAnsi="arial" w:cs="arial"/>
          <w:color w:val="000000"/>
          <w:sz w:val="20"/>
          <w:lang w:val="en-US" w:eastAsia="en-US" w:bidi="ar-SA"/>
        </w:rPr>
        <w:t>. In my experience, title insurance was invariably the less expensive and faster option for borrowers and I believe this is why it was used by significantly more people than any other option.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HSBC takes the position that the plaintiffs cannot reasonably argue that the bargain they agreed with HSBC was for free legal services, as such a bargain does not exist in the real world of residential loans. The result must be, HSBC submits, that if the allegations in the second further amended notice of civil claim go to trial, the plaintiffs will be incapable of proving damages, and their claim will inevitably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will return to this argument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HSBC'S SUBMISSIONS ON S. 4(1)(C) COMMONALITY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HSBC refers to paras. 106 and 108 of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as the basis for defining what is meant by "the claims of the class members must raise common issues" in s. 4(1)(c)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Those paragraphs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[106] The commonality requirement has been described as "[t]he central notion of a class proceeding" (M.A. Eizenga et al., </w:t>
      </w:r>
      <w:r>
        <w:rPr>
          <w:rFonts w:ascii="arial" w:eastAsia="arial" w:hAnsi="arial" w:cs="arial"/>
          <w:i/>
          <w:color w:val="000000"/>
          <w:sz w:val="20"/>
          <w:lang w:val="en-US" w:eastAsia="en-US" w:bidi="ar-SA"/>
        </w:rPr>
        <w:t>Class Actions Law and Practice</w:t>
      </w:r>
      <w:r>
        <w:rPr>
          <w:rFonts w:ascii="arial" w:eastAsia="arial" w:hAnsi="arial" w:cs="arial"/>
          <w:color w:val="000000"/>
          <w:sz w:val="20"/>
          <w:lang w:val="en-US" w:eastAsia="en-US" w:bidi="ar-SA"/>
        </w:rPr>
        <w:t xml:space="preserve"> (loose-leaf), at p. 3-34.6). It is based on the notion that "individuals who have litigation concerns 'in common' ought to be able to resolve those common concerns in one central proceeding rather than through an inefficient multitude of repetitive proceedings"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In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this Court addressed the commonality question, stating that "[t]he underlying question is whether allowing the suit to proceed as a [class action] will avoid duplication of fact-finding or legal analysis" (para. 39). I list the balance of McLachlin C.J.'s instructions, found at paras. 39-40 of that decision:</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commonality question should be approached purposively.</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issue will be "common" only where its resolution is necessary to the resolution of each class member's claim.</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essential that the class members be identically situated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opposing party.</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not [sic] necessary that common issues predominate over non-common issues. However, the class members' claims must share a substantial common ingredient to justify a class action. The court will examine the significance of the common issues in relation to individual issues.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Success for one class member must mean success for all. All members of the class must benefit from the successful prosecution of the action, although not necessarily to the same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HSBC submits that a common issue must be capable of class-wide resolution on the basis of common evidence and have a class-wide effect. The resolution of a common issue cannot depend on individual findings of fact with respect to the particular details of transactions undertaken by individual claim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To respond to the plaintiffs' arguments on the common issues related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HSBC refers to Part One of the second further amended notice of civil claim to demonstrate the individuality of the representations allegedly made to class members. In this context, at para. 9, the plaintiffs plead that the defendants "represented </w:t>
      </w:r>
      <w:r>
        <w:rPr>
          <w:rFonts w:ascii="arial" w:eastAsia="arial" w:hAnsi="arial" w:cs="arial"/>
          <w:color w:val="000000"/>
          <w:sz w:val="20"/>
          <w:u w:val="single"/>
          <w:lang w:val="en-US" w:eastAsia="en-US" w:bidi="ar-SA"/>
        </w:rPr>
        <w:t>to some</w:t>
      </w:r>
      <w:r>
        <w:rPr>
          <w:rFonts w:ascii="arial" w:eastAsia="arial" w:hAnsi="arial" w:cs="arial"/>
          <w:color w:val="000000"/>
          <w:sz w:val="20"/>
          <w:lang w:val="en-US" w:eastAsia="en-US" w:bidi="ar-SA"/>
        </w:rPr>
        <w:t xml:space="preserve"> of the class members that they were not charging the class members for legal services [emphasis added]." In para. 10, it is alleged that the defendants "represented </w:t>
      </w:r>
      <w:r>
        <w:rPr>
          <w:rFonts w:ascii="arial" w:eastAsia="arial" w:hAnsi="arial" w:cs="arial"/>
          <w:color w:val="000000"/>
          <w:sz w:val="20"/>
          <w:u w:val="single"/>
          <w:lang w:val="en-US" w:eastAsia="en-US" w:bidi="ar-SA"/>
        </w:rPr>
        <w:t>to other class members</w:t>
      </w:r>
      <w:r>
        <w:rPr>
          <w:rFonts w:ascii="arial" w:eastAsia="arial" w:hAnsi="arial" w:cs="arial"/>
          <w:color w:val="000000"/>
          <w:sz w:val="20"/>
          <w:lang w:val="en-US" w:eastAsia="en-US" w:bidi="ar-SA"/>
        </w:rPr>
        <w:t xml:space="preserve"> that they were paying for the defendants' legal fees and these class members were charged a particular amount for them, which was disclosed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Apart from the plaintiffs' pleading, HSBC submits that the evidence of both the Sandhus and the Simmons demonstrates that the representations made to class members varied over time, as did the documents. For example, Sandip Sandhu deposed that a "representative [of HSBC] specifically stated that we were not being charged for [HSBC's] legal fees. As a result my brother and I agreed to the loan." Kirsten Simmons deposed that she did not question the cost of title insurance. She did not rely on any representation of HSBC but instead "assumed" the disclosed charges were for "insurance policies only" and not for legal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HSBC submits that there is no basis on the evidence to conclude that borrowers in general were misled by the forms HSBC presented to them. Instead, they argue that the fact that some borrowers may have been under the mistaken impression that they were not paying for the legal cost of preparing and registering their mortgage belies the proposition that the facts surrounding these events can be compressed into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HSBC submits that this certification application is "on all fours" with </w:t>
      </w:r>
      <w:r>
        <w:rPr>
          <w:rFonts w:ascii="arial" w:eastAsia="arial" w:hAnsi="arial" w:cs="arial"/>
          <w:i/>
          <w:color w:val="000000"/>
          <w:sz w:val="20"/>
          <w:lang w:val="en-US" w:eastAsia="en-US" w:bidi="ar-SA"/>
        </w:rPr>
        <w:t>Marshall v. United Furniture Warehouse Limited Partnership</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2013 BCSC 2050</w:t>
        </w:r>
      </w:hyperlink>
      <w:r>
        <w:rPr>
          <w:rFonts w:ascii="arial" w:eastAsia="arial" w:hAnsi="arial" w:cs="arial"/>
          <w:color w:val="000000"/>
          <w:sz w:val="20"/>
          <w:lang w:val="en-US" w:eastAsia="en-US" w:bidi="ar-SA"/>
        </w:rPr>
        <w:t xml:space="preserve">, a case where the Court refused certification. HSBC describes the facts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as involving "cashable vouchers" to obtain consumer goods. HSBC compares these vouchers to the standard form documents used in connection with its residential loan transactions. In this context, Fisher J. wrote the following at paras. 161-170: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[161] Generally, the plaintiffs rely on the vouchers, the newspaper advertisements, the in-store signs and tags, and oral representations by sales people, as the sources of the alleged deceptive acts or practices. </w:t>
      </w:r>
      <w:r>
        <w:rPr>
          <w:rFonts w:ascii="arial" w:eastAsia="arial" w:hAnsi="arial" w:cs="arial"/>
          <w:color w:val="000000"/>
          <w:sz w:val="20"/>
          <w:u w:val="single"/>
          <w:lang w:val="en-US" w:eastAsia="en-US" w:bidi="ar-SA"/>
        </w:rPr>
        <w:t>Mr. Lemer acknowledged that different plaintiffs would have been exposed to different sources. He stressed, however, that this can be addressed by grouping the plaintiffs into the following groups with "commercial contexts" depending on what each group was exposed to:</w:t>
      </w:r>
      <w:r>
        <w:rPr>
          <w:rFonts w:ascii="arial" w:eastAsia="arial" w:hAnsi="arial" w:cs="arial"/>
          <w:color w:val="000000"/>
          <w:sz w:val="20"/>
          <w:lang w:val="en-US" w:eastAsia="en-US" w:bidi="ar-SA"/>
        </w:rPr>
        <w:t xml:space="preserve"> (i) received/did not receive the voucher before purchase; (ii) saw/did not see newspaper advertisements; (iii) saw/did not see in-store signs; and (iv) received/did not receive an explanation from a sales person that modified the voucher or advertisements. In respect of (i), Mr. Lemer raised the issue of whether the terms of the vouchers were binding on class members who did not receive them until after the sale was completed.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[162] </w:t>
      </w:r>
      <w:r>
        <w:rPr>
          <w:rFonts w:ascii="arial" w:eastAsia="arial" w:hAnsi="arial" w:cs="arial"/>
          <w:color w:val="000000"/>
          <w:sz w:val="20"/>
          <w:u w:val="single"/>
          <w:lang w:val="en-US" w:eastAsia="en-US" w:bidi="ar-SA"/>
        </w:rPr>
        <w:t>My view is that the differences between plaintiffs cannot be properly addressed in this way. I do not see how it is possible to create only four groups of plaintiffs. There are groups within groups, and potential differences in explanations from sales staff</w:t>
      </w:r>
      <w:r>
        <w:rPr>
          <w:rFonts w:ascii="arial" w:eastAsia="arial" w:hAnsi="arial" w:cs="arial"/>
          <w:color w:val="000000"/>
          <w:sz w:val="20"/>
          <w:lang w:val="en-US" w:eastAsia="en-US" w:bidi="ar-SA"/>
        </w:rPr>
        <w:t xml:space="preserve">. This case differs substantially from </w:t>
      </w:r>
      <w:r>
        <w:rPr>
          <w:rFonts w:ascii="arial" w:eastAsia="arial" w:hAnsi="arial" w:cs="arial"/>
          <w:i/>
          <w:color w:val="000000"/>
          <w:sz w:val="20"/>
          <w:lang w:val="en-US" w:eastAsia="en-US" w:bidi="ar-SA"/>
        </w:rPr>
        <w:t>Payne</w:t>
      </w:r>
      <w:r>
        <w:rPr>
          <w:rFonts w:ascii="arial" w:eastAsia="arial" w:hAnsi="arial" w:cs="arial"/>
          <w:color w:val="000000"/>
          <w:sz w:val="20"/>
          <w:lang w:val="en-US" w:eastAsia="en-US" w:bidi="ar-SA"/>
        </w:rPr>
        <w:t xml:space="preserve"> ( </w:t>
      </w:r>
      <w:hyperlink r:id="rId602" w:history="1">
        <w:r>
          <w:rPr>
            <w:rFonts w:ascii="arial" w:eastAsia="arial" w:hAnsi="arial" w:cs="arial"/>
            <w:i/>
            <w:color w:val="0077CC"/>
            <w:sz w:val="20"/>
            <w:u w:val="single"/>
            <w:shd w:val="clear" w:color="auto" w:fill="FFFFFF"/>
            <w:lang w:val="en-US" w:eastAsia="en-US" w:bidi="ar-SA"/>
          </w:rPr>
          <w:t>2009 BCSC 530</w:t>
        </w:r>
      </w:hyperlink>
      <w:r>
        <w:rPr>
          <w:rFonts w:ascii="arial" w:eastAsia="arial" w:hAnsi="arial" w:cs="arial"/>
          <w:color w:val="000000"/>
          <w:sz w:val="20"/>
          <w:lang w:val="en-US" w:eastAsia="en-US" w:bidi="ar-SA"/>
        </w:rPr>
        <w:t xml:space="preserve">), which involved the same cash back voucher program. While that case involved a claim in negligent misrepresentation rather than an alleged deceptive act or practice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common issue certified was based on a representation made in </w:t>
      </w:r>
      <w:r>
        <w:rPr>
          <w:rFonts w:ascii="arial" w:eastAsia="arial" w:hAnsi="arial" w:cs="arial"/>
          <w:i/>
          <w:color w:val="000000"/>
          <w:sz w:val="20"/>
          <w:lang w:val="en-US" w:eastAsia="en-US" w:bidi="ar-SA"/>
        </w:rPr>
        <w:t>one</w:t>
      </w:r>
      <w:r>
        <w:rPr>
          <w:rFonts w:ascii="arial" w:eastAsia="arial" w:hAnsi="arial" w:cs="arial"/>
          <w:color w:val="000000"/>
          <w:sz w:val="20"/>
          <w:lang w:val="en-US" w:eastAsia="en-US" w:bidi="ar-SA"/>
        </w:rPr>
        <w:t xml:space="preserve"> advertisement that was found to suggest that the car dealership rather than Consumers Trust was the entity providing the opportunity to claim and receive cash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[163] </w:t>
      </w:r>
      <w:r>
        <w:rPr>
          <w:rFonts w:ascii="arial" w:eastAsia="arial" w:hAnsi="arial" w:cs="arial"/>
          <w:color w:val="000000"/>
          <w:sz w:val="20"/>
          <w:u w:val="single"/>
          <w:lang w:val="en-US" w:eastAsia="en-US" w:bidi="ar-SA"/>
        </w:rPr>
        <w:t>The plaintiffs' own evidence demonstrates some of the differences between plaintiffs. Mr. Marshall saw only the "Gesture of Thanks" brochure and the voucher, and was told by a sales employee about a television news crew investigation on the voucher program. Mr. Wong saw a newspaper advertisement, the "Gesture of Thanks" brochure and the voucher, and was told by a sales employee "words to the effect" that United Furniture Warehouse put funds in trust with a company to pay those claiming under the program</w:t>
      </w:r>
      <w:r>
        <w:rPr>
          <w:rFonts w:ascii="arial" w:eastAsia="arial" w:hAnsi="arial" w:cs="arial"/>
          <w:color w:val="000000"/>
          <w:sz w:val="20"/>
          <w:lang w:val="en-US" w:eastAsia="en-US" w:bidi="ar-SA"/>
        </w:rPr>
        <w:t xml:space="preserve">, most people would forget to make a claim, and if there was a problem "getting the money owed" to him under the program United Furniture Warehouse would ensure he would get paid. </w:t>
      </w:r>
      <w:r>
        <w:rPr>
          <w:rFonts w:ascii="arial" w:eastAsia="arial" w:hAnsi="arial" w:cs="arial"/>
          <w:color w:val="000000"/>
          <w:sz w:val="20"/>
          <w:u w:val="single"/>
          <w:lang w:val="en-US" w:eastAsia="en-US" w:bidi="ar-SA"/>
        </w:rPr>
        <w:t>This evidence in itself requires an individual inquiry as to whether the oral representations made to each plaintiff "modified" the written materials each reviewed</w:t>
      </w:r>
      <w:r>
        <w:rPr>
          <w:rFonts w:ascii="arial" w:eastAsia="arial" w:hAnsi="arial" w:cs="arial"/>
          <w:color w:val="000000"/>
          <w:sz w:val="20"/>
          <w:lang w:val="en-US" w:eastAsia="en-US" w:bidi="ar-SA"/>
        </w:rPr>
        <w:t xml:space="preserve"> such that the defendants' acts can be assessed as being deceptive or misleading.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[164] The defendants stressed the lack of uniformity in the explanations that the sales staff would have given to customers. The plaintiffs suggested that a narrow range of information was provided by sales staff to customers, the thrust of which was more or less the same.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[165] My view of the defendants' evidence about this is that the explanations were generally quite standard as to the steps required to redeem and the need to follow the instructions on the voucher carefully, but other information, such as the fact that Consumers Trust ran the program, was conveyed to customers who sought more detail. It appears that generally, customers had an opportunity to read a sample voucher before they made a purchase and if they did, they received their voucher either at the time of the purchase or after full payment had been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[166] That said, </w:t>
      </w:r>
      <w:r>
        <w:rPr>
          <w:rFonts w:ascii="arial" w:eastAsia="arial" w:hAnsi="arial" w:cs="arial"/>
          <w:color w:val="000000"/>
          <w:sz w:val="20"/>
          <w:u w:val="single"/>
          <w:lang w:val="en-US" w:eastAsia="en-US" w:bidi="ar-SA"/>
        </w:rPr>
        <w:t>there is no question that the plaintiffs have alleged multiple representations arising from different sources that relate to a variety of different aspects of the voucher program</w:t>
      </w:r>
      <w:r>
        <w:rPr>
          <w:rFonts w:ascii="arial" w:eastAsia="arial" w:hAnsi="arial" w:cs="arial"/>
          <w:color w:val="000000"/>
          <w:sz w:val="20"/>
          <w:lang w:val="en-US" w:eastAsia="en-US" w:bidi="ar-SA"/>
        </w:rPr>
        <w:t xml:space="preserve">. Every customer had to deal with a sales person in making his or her purchase. </w:t>
      </w:r>
      <w:r>
        <w:rPr>
          <w:rFonts w:ascii="arial" w:eastAsia="arial" w:hAnsi="arial" w:cs="arial"/>
          <w:color w:val="000000"/>
          <w:sz w:val="20"/>
          <w:u w:val="single"/>
          <w:lang w:val="en-US" w:eastAsia="en-US" w:bidi="ar-SA"/>
        </w:rPr>
        <w:t>While there is some commonality in the written sources, the evidence demonstrates that different customers received a varying amount of information from sales staff, both written and oral. The fact that the plaintiffs rely on varying combinations of written material and oral representations to prove a deceptive act or practice renders a determination of this issue one for individual inquiry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[167] </w:t>
      </w:r>
      <w:r>
        <w:rPr>
          <w:rFonts w:ascii="arial" w:eastAsia="arial" w:hAnsi="arial" w:cs="arial"/>
          <w:color w:val="000000"/>
          <w:sz w:val="20"/>
          <w:u w:val="single"/>
          <w:lang w:val="en-US" w:eastAsia="en-US" w:bidi="ar-SA"/>
        </w:rPr>
        <w:t>This case differs substantially from several cases cited by the plaintiffs to support the proposition that common issues can be certified even where there is scope for differences in information provided to each class member</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Hickey-Button v Loyalist College of Applied Arts &amp; Technology</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[2006] OJ No 2393</w:t>
        </w:r>
      </w:hyperlink>
      <w:r>
        <w:rPr>
          <w:rFonts w:ascii="arial" w:eastAsia="arial" w:hAnsi="arial" w:cs="arial"/>
          <w:color w:val="000000"/>
          <w:sz w:val="20"/>
          <w:lang w:val="en-US" w:eastAsia="en-US" w:bidi="ar-SA"/>
        </w:rPr>
        <w:t xml:space="preserve"> (CA), a claim for breach of contract and alternatively negligent misrepresentation, the plaintiffs relied only on written material that had been provided to all students in response to their applications for enrollment in a nursing program and not on individual representations. </w:t>
      </w:r>
      <w:r>
        <w:rPr>
          <w:rFonts w:ascii="arial" w:eastAsia="arial" w:hAnsi="arial" w:cs="arial"/>
          <w:color w:val="000000"/>
          <w:sz w:val="20"/>
          <w:u w:val="single"/>
          <w:lang w:val="en-US" w:eastAsia="en-US" w:bidi="ar-SA"/>
        </w:rPr>
        <w:t xml:space="preserve">In Lam v University of British Columbia, </w:t>
      </w:r>
      <w:hyperlink r:id="rId658" w:history="1">
        <w:r>
          <w:rPr>
            <w:rFonts w:ascii="arial" w:eastAsia="arial" w:hAnsi="arial" w:cs="arial"/>
            <w:i/>
            <w:color w:val="0077CC"/>
            <w:sz w:val="20"/>
            <w:u w:val="single"/>
            <w:shd w:val="clear" w:color="auto" w:fill="FFFFFF"/>
            <w:lang w:val="en-US" w:eastAsia="en-US" w:bidi="ar-SA"/>
          </w:rPr>
          <w:t>2010 BCCA 325</w:t>
        </w:r>
      </w:hyperlink>
      <w:r>
        <w:rPr>
          <w:rFonts w:ascii="arial" w:eastAsia="arial" w:hAnsi="arial" w:cs="arial"/>
          <w:color w:val="000000"/>
          <w:sz w:val="20"/>
          <w:u w:val="single"/>
          <w:lang w:val="en-US" w:eastAsia="en-US" w:bidi="ar-SA"/>
        </w:rPr>
        <w:t xml:space="preserve">, leave to appeal ref'd </w:t>
      </w:r>
      <w:hyperlink r:id="rId665" w:history="1">
        <w:r>
          <w:rPr>
            <w:rFonts w:ascii="arial" w:eastAsia="arial" w:hAnsi="arial" w:cs="arial"/>
            <w:i/>
            <w:color w:val="0077CC"/>
            <w:sz w:val="20"/>
            <w:u w:val="single"/>
            <w:shd w:val="clear" w:color="auto" w:fill="FFFFFF"/>
            <w:lang w:val="en-US" w:eastAsia="en-US" w:bidi="ar-SA"/>
          </w:rPr>
          <w:t>[2010] SCCA No 345</w:t>
        </w:r>
      </w:hyperlink>
      <w:r>
        <w:rPr>
          <w:rFonts w:ascii="arial" w:eastAsia="arial" w:hAnsi="arial" w:cs="arial"/>
          <w:color w:val="000000"/>
          <w:sz w:val="20"/>
          <w:u w:val="single"/>
          <w:lang w:val="en-US" w:eastAsia="en-US" w:bidi="ar-SA"/>
        </w:rPr>
        <w:t>, the issue of whether the defendant was protected by an exclusion clause in a standard form agreement required no individual assessment of a plaintiff's understanding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Miller v Merck Frosst Canada Ltd</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2013 BCSC 544</w:t>
        </w:r>
      </w:hyperlink>
      <w:r>
        <w:rPr>
          <w:rFonts w:ascii="arial" w:eastAsia="arial" w:hAnsi="arial" w:cs="arial"/>
          <w:color w:val="000000"/>
          <w:sz w:val="20"/>
          <w:lang w:val="en-US" w:eastAsia="en-US" w:bidi="ar-SA"/>
        </w:rPr>
        <w:t xml:space="preserve"> involved standardized information about a drug, and any issues related to the role of physicians as intermediaries or the knowledge of an individual plaintiff was found to be separate from the common issue of determining the defendants' duty to warn and the standard against which the duty should be measured. Similarly,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involved an alleged systemic pattern of failing to disclose the risks of hormone therapy in standardized product monographs and labels over a 27 year period. </w:t>
      </w:r>
      <w:r>
        <w:rPr>
          <w:rFonts w:ascii="arial" w:eastAsia="arial" w:hAnsi="arial" w:cs="arial"/>
          <w:color w:val="000000"/>
          <w:sz w:val="20"/>
          <w:u w:val="single"/>
          <w:lang w:val="en-US" w:eastAsia="en-US" w:bidi="ar-SA"/>
        </w:rPr>
        <w:t xml:space="preserve">In Cooper v Merill Lynch Canada Inc, </w:t>
      </w:r>
      <w:hyperlink r:id="rId656" w:history="1">
        <w:r>
          <w:rPr>
            <w:rFonts w:ascii="arial" w:eastAsia="arial" w:hAnsi="arial" w:cs="arial"/>
            <w:i/>
            <w:color w:val="0077CC"/>
            <w:sz w:val="20"/>
            <w:u w:val="single"/>
            <w:shd w:val="clear" w:color="auto" w:fill="FFFFFF"/>
            <w:lang w:val="en-US" w:eastAsia="en-US" w:bidi="ar-SA"/>
          </w:rPr>
          <w:t>2006 BCSC 1905</w:t>
        </w:r>
      </w:hyperlink>
      <w:r>
        <w:rPr>
          <w:rFonts w:ascii="arial" w:eastAsia="arial" w:hAnsi="arial" w:cs="arial"/>
          <w:color w:val="000000"/>
          <w:sz w:val="20"/>
          <w:u w:val="single"/>
          <w:lang w:val="en-US" w:eastAsia="en-US" w:bidi="ar-SA"/>
        </w:rPr>
        <w:t>, the basic written agreements between Merill Lynch and its clients were held to establish an agency relationship, which was common to all class members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[168] I also note that in </w:t>
      </w:r>
      <w:r>
        <w:rPr>
          <w:rFonts w:ascii="arial" w:eastAsia="arial" w:hAnsi="arial" w:cs="arial"/>
          <w:i/>
          <w:color w:val="000000"/>
          <w:sz w:val="20"/>
          <w:lang w:val="en-US" w:eastAsia="en-US" w:bidi="ar-SA"/>
        </w:rPr>
        <w:t>Payne</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2009 BCSC 530</w:t>
        </w:r>
      </w:hyperlink>
      <w:r>
        <w:rPr>
          <w:rFonts w:ascii="arial" w:eastAsia="arial" w:hAnsi="arial" w:cs="arial"/>
          <w:color w:val="000000"/>
          <w:sz w:val="20"/>
          <w:lang w:val="en-US" w:eastAsia="en-US" w:bidi="ar-SA"/>
        </w:rPr>
        <w:t>), which was a decision on common issues, the court determined only whether one advertisement was inaccurate or misleading and made no findings with respect to what was said by sales representatives to individual members of the class.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[169] In this case, the issues of what written material was received by and what oral representations were made to individual plaintiffs are inextricably intertwined with the determination of the defendants' liability for a deceptive act or practice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The creation of subclasses is not a potential solution in these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[170] </w:t>
      </w:r>
      <w:r>
        <w:rPr>
          <w:rFonts w:ascii="arial" w:eastAsia="arial" w:hAnsi="arial" w:cs="arial"/>
          <w:color w:val="000000"/>
          <w:sz w:val="20"/>
          <w:u w:val="single"/>
          <w:lang w:val="en-US" w:eastAsia="en-US" w:bidi="ar-SA"/>
        </w:rPr>
        <w:t>Mr. Lemer submitted that an interpretation of only the written material - the vouchers, the advertisements, and the in-store signs and tags - will move the litigation forward. I am unable to accept this submission</w:t>
      </w:r>
      <w:r>
        <w:rPr>
          <w:rFonts w:ascii="arial" w:eastAsia="arial" w:hAnsi="arial" w:cs="arial"/>
          <w:color w:val="000000"/>
          <w:sz w:val="20"/>
          <w:lang w:val="en-US" w:eastAsia="en-US" w:bidi="ar-SA"/>
        </w:rPr>
        <w:t xml:space="preserve">. I agree that individual differences in exposure to written materials are not relevant to a determination of whether the written materials, either individually or together, constitute a deceptive act or practice, and that this could be a common issue. However, I do not agree that a resolution of this issue would move the litigation forward in a material way. First, </w:t>
      </w:r>
      <w:r>
        <w:rPr>
          <w:rFonts w:ascii="arial" w:eastAsia="arial" w:hAnsi="arial" w:cs="arial"/>
          <w:color w:val="000000"/>
          <w:sz w:val="20"/>
          <w:u w:val="single"/>
          <w:lang w:val="en-US" w:eastAsia="en-US" w:bidi="ar-SA"/>
        </w:rPr>
        <w:t>the plaintiffs challenge whether the terms of the voucher itself - the only document common to all members of the class - are binding on consumers who did not receive it until after the sale was completed. Second, and more importantly, they rely on the voucher in various combinations with the other written materials and oral representations, and the oral representations are part of the mix for every customer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An appeal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was dismissed in </w:t>
      </w:r>
      <w:hyperlink r:id="rId667" w:history="1">
        <w:r>
          <w:rPr>
            <w:rFonts w:ascii="arial" w:eastAsia="arial" w:hAnsi="arial" w:cs="arial"/>
            <w:i/>
            <w:color w:val="0077CC"/>
            <w:sz w:val="20"/>
            <w:u w:val="single"/>
            <w:shd w:val="clear" w:color="auto" w:fill="FFFFFF"/>
            <w:lang w:val="en-US" w:eastAsia="en-US" w:bidi="ar-SA"/>
          </w:rPr>
          <w:t>2015 BCCA 252</w:t>
        </w:r>
      </w:hyperlink>
      <w:r>
        <w:rPr>
          <w:rFonts w:ascii="arial" w:eastAsia="arial" w:hAnsi="arial" w:cs="arial"/>
          <w:color w:val="000000"/>
          <w:sz w:val="20"/>
          <w:lang w:val="en-US" w:eastAsia="en-US" w:bidi="ar-SA"/>
        </w:rPr>
        <w:t>, with Bennett J.A. writing the following at paras. 20-22: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It is clear from the reasons for judgment that there were oral representations, and even if the plaintiffs claim that they do not rely on them, the evidence supports that the oral representations made to individuals may well affect the common issue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Her conclusion that oral representations are in the "mix for every customer" is supported by the evidence, and is owed deference. I would not give effect to this argument.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It is clear that on this basis alone, the case cannot be heard as a class action. Each customer had a different experience in the store(s).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each class member would have to demonstrate that he or she fell within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appeal can be disposed on this basis. There is no error in the chambers judge's findings on this aspect of the case, and that alone is enough to uphold her decision that certification is not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Regarding the proposed common issue of breaches of contract, HSBC submits that there is no basis on the evidence to conclude that contractual consensus was reached between HSBC and the borrowers within the proposed class in a manner that can be assessed on a common basis. The varying evidence of how contracts were formed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is again called by HSBC in aid of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HSBC submits that there is a more fundamental problem with the plaintiffs' proposed common issue of breach of contract. This submission is allied to the submission that the action is bound to fail because there is no viable damage claim. HSBC referred to what it characterized as a "nonsensical" submission made by the plaintiffs which reads:</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contract are the value of the claimant's lost bargain. In other words, the claimant is to be placed in the same position as he would have been in if the contract was performed: i.e., without paying any of HSBC's legal fees. Whether class members could have obtained a deal with free legal services from other lenders is irrelevant because the damage is the lost bargain.</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Cassano v. The Toronto Dominion Bank</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(2007) 87 OR (3d) 401</w:t>
        </w:r>
      </w:hyperlink>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2007 ONCA 781</w:t>
        </w:r>
      </w:hyperlink>
      <w:r>
        <w:rPr>
          <w:rFonts w:ascii="arial" w:eastAsia="arial" w:hAnsi="arial" w:cs="arial"/>
          <w:color w:val="000000"/>
          <w:sz w:val="20"/>
          <w:lang w:val="en-US" w:eastAsia="en-US" w:bidi="ar-SA"/>
        </w:rPr>
        <w:t xml:space="preserve"> at paras. 26 - 38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Waddams, </w:t>
      </w:r>
      <w:r>
        <w:rPr>
          <w:rFonts w:ascii="arial" w:eastAsia="arial" w:hAnsi="arial" w:cs="arial"/>
          <w:i/>
          <w:color w:val="000000"/>
          <w:sz w:val="20"/>
          <w:lang w:val="en-US" w:eastAsia="en-US" w:bidi="ar-SA"/>
        </w:rPr>
        <w:t>The Law of Contracts</w:t>
      </w:r>
      <w:r>
        <w:rPr>
          <w:rFonts w:ascii="arial" w:eastAsia="arial" w:hAnsi="arial" w:cs="arial"/>
          <w:color w:val="000000"/>
          <w:sz w:val="20"/>
          <w:lang w:val="en-US" w:eastAsia="en-US" w:bidi="ar-SA"/>
        </w:rPr>
        <w:t xml:space="preserve"> (5th ed), pp. 505 - 507, 516 - 518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HSBC submits that, on the face of the documents received by the plaintiffs from HSBC, there was no agreement that the plaintiffs would pay less than the total fees set out in the documents. The plaintiffs' real position it is said is that they actually had a better agreement, which was to pay less than the amount shown on the documents. HSBC submits that this argument is "incoherent," that there is no evidence to support this understanding of the agreement, and that there is certainly no basis on which it could be adjudicated on a common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HSBC also submits that there needed to be expert evidence offered by the plaintiffs on this application proposing a methodology to assess aggregate damages for the class. HSBC refers to </w:t>
      </w:r>
      <w:r>
        <w:rPr>
          <w:rFonts w:ascii="arial" w:eastAsia="arial" w:hAnsi="arial" w:cs="arial"/>
          <w:i/>
          <w:color w:val="000000"/>
          <w:sz w:val="20"/>
          <w:lang w:val="en-US" w:eastAsia="en-US" w:bidi="ar-SA"/>
        </w:rPr>
        <w:t>Pro-Sys Consultants Ltd</w:t>
      </w:r>
      <w:r>
        <w:rPr>
          <w:rFonts w:ascii="arial" w:eastAsia="arial" w:hAnsi="arial" w:cs="arial"/>
          <w:color w:val="000000"/>
          <w:sz w:val="20"/>
          <w:lang w:val="en-US" w:eastAsia="en-US" w:bidi="ar-SA"/>
        </w:rPr>
        <w:t>. at para. 118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expert methodology must be sufficiently credible or plausible to establish some basis in fact for the commonality requirement. This means that the methodology must offer a realistic prospect of establishing loss on a class-wide basis so that, if the overcharge is eventually established at the trial of the common issues, there is a means by which to demonstrate that it is common to the class (i.e. that passing on has occurred). The methodology cannot be purely theoretical or hypothetical, but must be grounded in the facts of the particular case in question. There must be some evidence of the availability of the data to which the methodology is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have not put forward such expert evidence even though they were invited to do so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When it addresses the claim for the "restoration" remedy provided by s.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HSBC again relies on its submission that the plaintiffs have suffered no loss. HSBC submits that, not only is there nothing to restore, there is also no evidence of a methodology to allow the court even to approach that issue viably. In </w:t>
      </w:r>
      <w:r>
        <w:rPr>
          <w:rFonts w:ascii="arial" w:eastAsia="arial" w:hAnsi="arial" w:cs="arial"/>
          <w:i/>
          <w:color w:val="000000"/>
          <w:sz w:val="20"/>
          <w:lang w:val="en-US" w:eastAsia="en-US" w:bidi="ar-SA"/>
        </w:rPr>
        <w:t>Ileman v. Rogers Communications Inc.</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2015 BCCA 260</w:t>
        </w:r>
      </w:hyperlink>
      <w:r>
        <w:rPr>
          <w:rFonts w:ascii="arial" w:eastAsia="arial" w:hAnsi="arial" w:cs="arial"/>
          <w:color w:val="000000"/>
          <w:sz w:val="20"/>
          <w:lang w:val="en-US" w:eastAsia="en-US" w:bidi="ar-SA"/>
        </w:rPr>
        <w:t xml:space="preserve"> at paras. 53, 54, 59, 60 and 61, Bennett J.A., with whom the other judges agreed,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As I read s. 172(3)(a), there are four prerequisites to the granting of a restoration order:</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make a declaratory or injunctive order under s. 172(1) before it can make an order under s. 172(3) - this requirement is set out in the opening words of s. 172(3);</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supplier must have acquired something ("money or other property or thing") because of a contravention of the legislation - this requirement is explicit in s. 172(3)(a);</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of an order under s. 172(3) must have been the source of money or some other thing acquired by the supplier - this requirement is a necessary implication of the use of the word "restore";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must have "an interest" in the thing to be restored - this requirement is explicit in s. 172(3)(a).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The question on this appeal concerns the fourth requirement. What is meant by "an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In my view, the proper interpretation of s. 172(3) (a) begins with the understanding that a restoration order is merely ancillary to a declaration or injunction. The purpose of s. 172(3)(a) is not to create a new legal right, but rather to allow existing private rights to be recognized within the context of public interest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w:t>
      </w:r>
      <w:r>
        <w:rPr>
          <w:rFonts w:ascii="arial" w:eastAsia="arial" w:hAnsi="arial" w:cs="arial"/>
          <w:color w:val="000000"/>
          <w:sz w:val="20"/>
          <w:u w:val="single"/>
          <w:lang w:val="en-US" w:eastAsia="en-US" w:bidi="ar-SA"/>
        </w:rPr>
        <w:t>While "an interest" need not be a proprietary interest in specific property, then, it must be an interest recognized by law outside of s. 172(3)(a). A right to recover damages under s. 171, for instance, would be a sufficient interest to allow recovery under s. 172(3) (a)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The difficulty in the case before us is the same as the difficulty that the plaintiffs faced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plaintiffs cannot establish a constructive trust, nor can they demonstrate that they have personally suffered any loss or damage cognizable in law</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the question of whether factual issues which the Court of Appeal remitted to this Court can be determined as common issues, HSBC submits simply that there are too many differences among class members to say with any confidence that those issues can be resolved on a common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HSBC'S SUBMISSIONS ON PREFERABILITY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addressing the question of whether a class proceeding is preferable to individual proceedings to try the common issues in the pleadings, HSBC relies on paras. 235-237 of Fisher J.'s reasons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Those paragraphs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[235] </w:t>
      </w:r>
      <w:r>
        <w:rPr>
          <w:rFonts w:ascii="arial" w:eastAsia="arial" w:hAnsi="arial" w:cs="arial"/>
          <w:color w:val="000000"/>
          <w:sz w:val="20"/>
          <w:u w:val="single"/>
          <w:lang w:val="en-US" w:eastAsia="en-US" w:bidi="ar-SA"/>
        </w:rPr>
        <w:t>It cannot be forgotten that a class proceeding must be the preferable procedure for resolving the common issues, as reflected in s. 4(2) of the Class Proceedings Act</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at para. 65. </w:t>
      </w:r>
      <w:r>
        <w:rPr>
          <w:rFonts w:ascii="arial" w:eastAsia="arial" w:hAnsi="arial" w:cs="arial"/>
          <w:color w:val="000000"/>
          <w:sz w:val="20"/>
          <w:u w:val="single"/>
          <w:lang w:val="en-US" w:eastAsia="en-US" w:bidi="ar-SA"/>
        </w:rPr>
        <w:t>Here, there are no common issues that can move the litigation forward in other than a minimal way. In such circumstances, the fact that a class proceeding may be the only practical procedure available to the plaintiffs cannot justify certification of an unworkable class proceeding that involves individual evidence and fact-finding</w:t>
      </w:r>
      <w:r>
        <w:rPr>
          <w:rFonts w:ascii="arial" w:eastAsia="arial" w:hAnsi="arial" w:cs="arial"/>
          <w:color w:val="000000"/>
          <w:sz w:val="20"/>
          <w:lang w:val="en-US" w:eastAsia="en-US" w:bidi="ar-SA"/>
        </w:rPr>
        <w:t xml:space="preserve">. As Winkler J. (as he then was) held in </w:t>
      </w:r>
      <w:r>
        <w:rPr>
          <w:rFonts w:ascii="arial" w:eastAsia="arial" w:hAnsi="arial" w:cs="arial"/>
          <w:i/>
          <w:color w:val="000000"/>
          <w:sz w:val="20"/>
          <w:lang w:val="en-US" w:eastAsia="en-US" w:bidi="ar-SA"/>
        </w:rPr>
        <w:t>Caputo v Imperial Tobacco Ltd</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[2004] OJ No 299</w:t>
        </w:r>
      </w:hyperlink>
      <w:r>
        <w:rPr>
          <w:rFonts w:ascii="arial" w:eastAsia="arial" w:hAnsi="arial" w:cs="arial"/>
          <w:color w:val="000000"/>
          <w:sz w:val="20"/>
          <w:lang w:val="en-US" w:eastAsia="en-US" w:bidi="ar-SA"/>
        </w:rPr>
        <w:t xml:space="preserve"> (SC) at para. 62, it is not enough for the plaintiffs to establish that there is no other preferable procedure, as the court "must also be satisfied that a class proceeding would be fair, efficient and manageable". See also: </w:t>
      </w:r>
      <w:r>
        <w:rPr>
          <w:rFonts w:ascii="arial" w:eastAsia="arial" w:hAnsi="arial" w:cs="arial"/>
          <w:i/>
          <w:color w:val="000000"/>
          <w:sz w:val="20"/>
          <w:lang w:val="en-US" w:eastAsia="en-US" w:bidi="ar-SA"/>
        </w:rPr>
        <w:t>Ragoonanan v Imperial Tobacco Canada Ltd</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[2005] OJ No 4697</w:t>
        </w:r>
      </w:hyperlink>
      <w:r>
        <w:rPr>
          <w:rFonts w:ascii="arial" w:eastAsia="arial" w:hAnsi="arial" w:cs="arial"/>
          <w:color w:val="000000"/>
          <w:sz w:val="20"/>
          <w:lang w:val="en-US" w:eastAsia="en-US" w:bidi="ar-SA"/>
        </w:rPr>
        <w:t xml:space="preserve"> (SC) at para. 77, aff'd </w:t>
      </w:r>
      <w:hyperlink r:id="rId671" w:history="1">
        <w:r>
          <w:rPr>
            <w:rFonts w:ascii="arial" w:eastAsia="arial" w:hAnsi="arial" w:cs="arial"/>
            <w:i/>
            <w:color w:val="0077CC"/>
            <w:sz w:val="20"/>
            <w:u w:val="single"/>
            <w:shd w:val="clear" w:color="auto" w:fill="FFFFFF"/>
            <w:lang w:val="en-US" w:eastAsia="en-US" w:bidi="ar-SA"/>
          </w:rPr>
          <w:t>[2008] OJ No 1644</w:t>
        </w:r>
      </w:hyperlink>
      <w:r>
        <w:rPr>
          <w:rFonts w:ascii="arial" w:eastAsia="arial" w:hAnsi="arial" w:cs="arial"/>
          <w:color w:val="000000"/>
          <w:sz w:val="20"/>
          <w:lang w:val="en-US" w:eastAsia="en-US" w:bidi="ar-SA"/>
        </w:rPr>
        <w:t xml:space="preserve"> (Div Ct). Similar concerns arose in </w:t>
      </w:r>
      <w:r>
        <w:rPr>
          <w:rFonts w:ascii="arial" w:eastAsia="arial" w:hAnsi="arial" w:cs="arial"/>
          <w:i/>
          <w:color w:val="000000"/>
          <w:sz w:val="20"/>
          <w:lang w:val="en-US" w:eastAsia="en-US" w:bidi="ar-SA"/>
        </w:rPr>
        <w:t>Williams v Mutual Life Assurance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OJ No 1160</w:t>
      </w:r>
      <w:r>
        <w:rPr>
          <w:rFonts w:ascii="arial" w:eastAsia="arial" w:hAnsi="arial" w:cs="arial"/>
          <w:color w:val="000000"/>
          <w:sz w:val="20"/>
          <w:lang w:val="en-US" w:eastAsia="en-US" w:bidi="ar-SA"/>
        </w:rPr>
        <w:t xml:space="preserve"> (CA), where Rosenberg J.A. was not persuaded that permitting a class action would serve the interests of access to justice where resolution of the common issue played a minimal role in the resolution of individual claims, as the potential class members "would be faced with the same costs to litigate their claim as if they were bringing the claims as individuals and not members of the class" (at para. 54).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[236] This is so in relation to liability in negligent misrepresentation and damages generally. </w:t>
      </w:r>
      <w:r>
        <w:rPr>
          <w:rFonts w:ascii="arial" w:eastAsia="arial" w:hAnsi="arial" w:cs="arial"/>
          <w:color w:val="000000"/>
          <w:sz w:val="20"/>
          <w:u w:val="single"/>
          <w:lang w:val="en-US" w:eastAsia="en-US" w:bidi="ar-SA"/>
        </w:rPr>
        <w:t>In relation to liability under the BPCPA, it should be noted that there is another procedure available under s. 172, where any person can act as a claimant to seek a declaration that an act or practice engaged in by a supplier in respect of a consumer transaction contravenes the Act or the regulations. This would be a far simpler procedure for seeking a determination of whether the written materials at least constituted a deceptive act or practice</w:t>
      </w:r>
      <w:r>
        <w:rPr>
          <w:rFonts w:ascii="arial" w:eastAsia="arial" w:hAnsi="arial" w:cs="arial"/>
          <w:color w:val="000000"/>
          <w:sz w:val="20"/>
          <w:lang w:val="en-US" w:eastAsia="en-US" w:bidi="ar-SA"/>
        </w:rPr>
        <w:t xml:space="preserve">. On this point, see the dissenting judgment of LeBel and Deschamps JJ. in </w:t>
      </w:r>
      <w:r>
        <w:rPr>
          <w:rFonts w:ascii="arial" w:eastAsia="arial" w:hAnsi="arial" w:cs="arial"/>
          <w:i/>
          <w:color w:val="000000"/>
          <w:sz w:val="20"/>
          <w:lang w:val="en-US" w:eastAsia="en-US" w:bidi="ar-SA"/>
        </w:rPr>
        <w:t>Seidel v TELUS Communications Inc</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2011 SCC 15</w:t>
        </w:r>
      </w:hyperlink>
      <w:r>
        <w:rPr>
          <w:rFonts w:ascii="arial" w:eastAsia="arial" w:hAnsi="arial" w:cs="arial"/>
          <w:color w:val="000000"/>
          <w:sz w:val="20"/>
          <w:lang w:val="en-US" w:eastAsia="en-US" w:bidi="ar-SA"/>
        </w:rPr>
        <w:t xml:space="preserve"> at para. 163, where it is stated that any declaratory relief granted under s. 172 would have "the same effect as an action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in respect of all consumers in the province who might have the same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[237] I fully appreciate that the predominance of individual issues is not necessarily fatal to an application for certification. It was recognized by K. Smith J. (as he then was) in </w:t>
      </w:r>
      <w:r>
        <w:rPr>
          <w:rFonts w:ascii="arial" w:eastAsia="arial" w:hAnsi="arial" w:cs="arial"/>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(1997) 36 B.C.L.R. (3d) 350</w:t>
        </w:r>
      </w:hyperlink>
      <w:r>
        <w:rPr>
          <w:rFonts w:ascii="arial" w:eastAsia="arial" w:hAnsi="arial" w:cs="arial"/>
          <w:color w:val="000000"/>
          <w:sz w:val="20"/>
          <w:lang w:val="en-US" w:eastAsia="en-US" w:bidi="ar-SA"/>
        </w:rPr>
        <w:t xml:space="preserve"> (SC), rev'd on other grounds </w:t>
      </w:r>
      <w:hyperlink r:id="rId463"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(CA), leave to appeal granted (but notice of discontinuance filed), </w:t>
      </w:r>
      <w:hyperlink r:id="rId674" w:history="1">
        <w:r>
          <w:rPr>
            <w:rFonts w:ascii="arial" w:eastAsia="arial" w:hAnsi="arial" w:cs="arial"/>
            <w:i/>
            <w:color w:val="0077CC"/>
            <w:sz w:val="20"/>
            <w:u w:val="single"/>
            <w:shd w:val="clear" w:color="auto" w:fill="FFFFFF"/>
            <w:lang w:val="en-US" w:eastAsia="en-US" w:bidi="ar-SA"/>
          </w:rPr>
          <w:t>[1998] SCCA No 260</w:t>
        </w:r>
      </w:hyperlink>
      <w:r>
        <w:rPr>
          <w:rFonts w:ascii="arial" w:eastAsia="arial" w:hAnsi="arial" w:cs="arial"/>
          <w:color w:val="000000"/>
          <w:sz w:val="20"/>
          <w:lang w:val="en-US" w:eastAsia="en-US" w:bidi="ar-SA"/>
        </w:rPr>
        <w:t xml:space="preserve">, that the intention behind the provisions in s. 4(2)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put more emphasis on the goal of access to justice than on that of judicial economy" (at para. 54). However, </w:t>
      </w:r>
      <w:r>
        <w:rPr>
          <w:rFonts w:ascii="arial" w:eastAsia="arial" w:hAnsi="arial" w:cs="arial"/>
          <w:color w:val="000000"/>
          <w:sz w:val="20"/>
          <w:u w:val="single"/>
          <w:lang w:val="en-US" w:eastAsia="en-US" w:bidi="ar-SA"/>
        </w:rPr>
        <w:t>there are two insurmountable problems here in relation to common issues. The first is that the issue of liability on the part of any of the defendants for negligent misrepresentation, breach of warranty, and to a lesser extent violations of the BPCPA, are not common, as their determination will require individual fact-finding concerning the circumstances of the class members in relation to what written and oral information they received from the defendants about the voucher program</w:t>
      </w:r>
      <w:r>
        <w:rPr>
          <w:rFonts w:ascii="arial" w:eastAsia="arial" w:hAnsi="arial" w:cs="arial"/>
          <w:color w:val="000000"/>
          <w:sz w:val="20"/>
          <w:lang w:val="en-US" w:eastAsia="en-US" w:bidi="ar-SA"/>
        </w:rPr>
        <w:t>. The second is the lack of any basis in fact in respect of the personal liability of Mr. Volken and Mr. Gerstner generally, and in respect of many of the allegations contained in the Notice of Civil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HSBC also submits that the presentation of a litigation plan by the plaintiffs is closely related to the question of preferability but the plaintiffs have not presented a plan tailored to the application contemplated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OF WHETHER THE CLAIMS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agree with the plaintiffs that the factual issues that the Court of Appeal held were potentially open for certification will largely be common across most, if not all, members of the class. The plaintiffs submit that they intend to advance the case on HSBC's disclosure practices regarding the cost of title insurance by relying on standard form documents used by HSBC which, by themselves, demonstrate the alleged misrepresentations. That factor alone introduces a sufficient level of commonality on factual issues to meet the s. 4(1)(c)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 do not agree with HSBC that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governs this application.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involved some standard form documents, but those documents appear to have been of many types. As well, there were numerous oral representations of various kinds. The plaintiff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acknowledged that "different plaintiffs would have been exposed to different sources": para. 161.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also conclude that the premiums charged by HSBC for title insurance were probably calculated using criteria that were consistent across the members of the proposed class. The evidence of Mr. Bell and Slobodesky persuades me that the calculation of legal fees charged by HSBC to customers for residential mortgages was also probably reasonably consistent across the members of the class. In a large institution such as HSBC, the expenses associated with the business of lending against residential mortgages were likely standardized in part to avoid individual calculations which would have caused HSBC to accumulate needless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also agree with the plaintiffs that the breach of contract allegations largely rest on documents which in most, if not all, instances will be open to objective interpretation. Parole evidence from class members, or from representatives of HSBC, about the interpretation of agreements reached in relation to particular transactions is unlikely to play a significant role,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commonality of damages issues I find troublesome. The first of those issues is described as: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Class Members are entitled to damages or other orders in respect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breaches of statutes, and breach of contract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am uncertain what is meant by the phrase "or other orders." The second further amended notice of civil claim in Part Two, apart from certification, seeks:</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defendants engaged in in deceptive acts or practices pursuant to the BPCPA";</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contract;</w:t>
      </w:r>
    </w:p>
    <w:p>
      <w:pPr>
        <w:numPr>
          <w:numId w:val="7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injunctive relief; and</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refund of all amounts that defendants were not entitled to receive pursuant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understand that the claim for a "refund" is founded on the plaintiffs' "waiver of tort" claim, which the Court of Appeal found was unavailable.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my view, the core remedy sought by the plaintiffs is an award of damages. The plaintiffs say that a common issue is whether the class members are entitled to damages. This issue takes me back to the submission made by HSBC </w:t>
      </w:r>
      <w:r>
        <w:rPr>
          <w:rFonts w:ascii="arial" w:eastAsia="arial" w:hAnsi="arial" w:cs="arial"/>
          <w:color w:val="000000"/>
          <w:sz w:val="20"/>
          <w:u w:val="single"/>
          <w:lang w:val="en-US" w:eastAsia="en-US" w:bidi="ar-SA"/>
        </w:rPr>
        <w:t>on the facts</w:t>
      </w:r>
      <w:r>
        <w:rPr>
          <w:rFonts w:ascii="arial" w:eastAsia="arial" w:hAnsi="arial" w:cs="arial"/>
          <w:color w:val="000000"/>
          <w:sz w:val="20"/>
          <w:lang w:val="en-US" w:eastAsia="en-US" w:bidi="ar-SA"/>
        </w:rPr>
        <w:t xml:space="preserve"> that there cannot be a damage claim because the plaintiffs have suffered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para. 23 of her reasons, Saunders J.A.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their factum the appellants contend that the alleged non-disclosure is trivial and not-actionable. They note the modest sum claimed by the plaintiffs, the fact the forms setting out the impugned payment were statutorily prescribed, their inability to alter or depart from the description of fees or other items on the form, and the basis of the claim as listing on one line a fee that allegedly should have been broken into two amounts recorded on two lines. There is some force to the complaint that the claim lacks real substance but that is a question for the trial court on an appropriate application, and not one we may deal with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above paragraph is suggestive of the submission made to me by HSBC to the effect that the plaintiffs suffered no loss and thus certification should be denied. Consequently, it seems that that submission may have been made to the Court of Appeal. I was not informed whether it was or not. I do not read the observation of Saunders J.A. that "the claim lacks real substance but that is a question for the trial court on an appropriate application" as a direction that this certification application is the "appropriate application" on which to address the merits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Notwithstanding the submission of HSBC that there is no viable damage claim, I conclude I should not give effect to that submission on this application. Jurisprudence of high authority, including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teaches that "the certification stage is decidedly not meant to be a test of the merits of the action":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 have considered </w:t>
      </w:r>
      <w:r>
        <w:rPr>
          <w:rFonts w:ascii="arial" w:eastAsia="arial" w:hAnsi="arial" w:cs="arial"/>
          <w:i/>
          <w:color w:val="000000"/>
          <w:sz w:val="20"/>
          <w:lang w:val="en-US" w:eastAsia="en-US" w:bidi="ar-SA"/>
        </w:rPr>
        <w:t>Windsor v. Canadian Pacific Railway Ltd.</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2007 ABCA 294</w:t>
        </w:r>
      </w:hyperlink>
      <w:r>
        <w:rPr>
          <w:rFonts w:ascii="arial" w:eastAsia="arial" w:hAnsi="arial" w:cs="arial"/>
          <w:color w:val="000000"/>
          <w:sz w:val="20"/>
          <w:lang w:val="en-US" w:eastAsia="en-US" w:bidi="ar-SA"/>
        </w:rPr>
        <w:t>. In that case, the Court found the following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 attacks the certification because there is insufficient evidence of merit, and specifically that there is no evidence that any class member has suffered a loss. The Act specifically states in s. 6(2) that certification is not a determination on the merits, and only requires that the pleadings disclose a cause of action, which is a very low standard. It does not require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or anything else. Nevertheless, the courts have required some threshold level of evidence before certification will be granted. </w:t>
      </w:r>
      <w:r>
        <w:rPr>
          <w:rFonts w:ascii="arial" w:eastAsia="arial" w:hAnsi="arial" w:cs="arial"/>
          <w:color w:val="000000"/>
          <w:sz w:val="20"/>
          <w:u w:val="single"/>
          <w:lang w:val="en-US" w:eastAsia="en-US" w:bidi="ar-SA"/>
        </w:rPr>
        <w:t>There are some actions that are purely speculative, have no air of reality, or are doomed to fail, and they will not be certified even if the pleadings disclose a cause of action</w:t>
      </w:r>
      <w:r>
        <w:rPr>
          <w:rFonts w:ascii="arial" w:eastAsia="arial" w:hAnsi="arial" w:cs="arial"/>
          <w:color w:val="000000"/>
          <w:sz w:val="20"/>
          <w:lang w:val="en-US" w:eastAsia="en-US" w:bidi="ar-SA"/>
        </w:rPr>
        <w:t xml:space="preserve">. On the other hand, if the plaintiff can show an arguable case, then there is sufficient merit for certification. Damages will be an individual issue in the action. There was some evidence that the Appellant had voluntarily installed fans in some of the homes to reduce the concentrations of TCE, and other evidence from which an inference of damage might be drawn. There is "some basis in fact" for the claim (as the matter was put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at para. 25) to justify the certification order.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Windsor</w:t>
      </w:r>
      <w:r>
        <w:rPr>
          <w:rFonts w:ascii="arial" w:eastAsia="arial" w:hAnsi="arial" w:cs="arial"/>
          <w:color w:val="000000"/>
          <w:sz w:val="20"/>
          <w:lang w:val="en-US" w:eastAsia="en-US" w:bidi="ar-SA"/>
        </w:rPr>
        <w:t xml:space="preserve"> was decided before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and, in my opinion, is not persuasive authority. As a result, I am not entitled on this application to find the present action is doomed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HSBC submits expert evidence is required if damages are to be assessed in the aggregate. As mentioned earlier in these reasons, HSBC refers to </w:t>
      </w:r>
      <w:r>
        <w:rPr>
          <w:rFonts w:ascii="arial" w:eastAsia="arial" w:hAnsi="arial" w:cs="arial"/>
          <w:i/>
          <w:color w:val="000000"/>
          <w:sz w:val="20"/>
          <w:lang w:val="en-US" w:eastAsia="en-US" w:bidi="ar-SA"/>
        </w:rPr>
        <w:t>Pro-Sys Consultants Ltd</w:t>
      </w:r>
      <w:r>
        <w:rPr>
          <w:rFonts w:ascii="arial" w:eastAsia="arial" w:hAnsi="arial" w:cs="arial"/>
          <w:color w:val="000000"/>
          <w:sz w:val="20"/>
          <w:lang w:val="en-US" w:eastAsia="en-US" w:bidi="ar-SA"/>
        </w:rPr>
        <w:t>. In that case, Rothstein J., speaking for the Supreme Court of Canada, expressed the view that expert evidence on the methodology of assessing damages in the aggregate "must be sufficiently credible or plausible to establish some basis in fact for the commonality requirement": para. 118.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At para. 124 of her reasons, Madam Justice Saunders wrote the following on this matter: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appellants have taken particular exception to the conclusion that damages may be proved using an aggregate approach. Given recent authorities there is considerable force to this submission. Accordingly, I would remit that issue to the trial court as well, with liberty to the respondents to adduce evidence to meet the criteria as they now may understand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have not availed themselves of that invitation.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will repeat the potential "Damages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Class Members are entitled to damages or other orders in respect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breaches of statutes, and breach of contract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so, should such damages be determined on an individual or aggregate basis and what is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absence of expert evidence on the aggregate damages assessment methodology leads me to conclude that the plaintiffs do not intend to advance their case on that basis. Instead, it seems that the plaintiffs intend damages be determined on an individual basis. That makes damage assessment time consuming, but individual damage assessment is not a bar to certification: s. 7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accept assessing damages on an individual basis has common elements. Each damage claim of each class member would arise out of a transaction with similarities to other class member transactions with HSBC. At the same time, each damage claim would be calculated based on the cost of legal fees attributable to a particular transaction. However, the basis of that calculation would be similar across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Following the oral hearing of this application, HSBC brought to my attention </w:t>
      </w:r>
      <w:r>
        <w:rPr>
          <w:rFonts w:ascii="arial" w:eastAsia="arial" w:hAnsi="arial" w:cs="arial"/>
          <w:i/>
          <w:color w:val="000000"/>
          <w:sz w:val="20"/>
          <w:lang w:val="en-US" w:eastAsia="en-US" w:bidi="ar-SA"/>
        </w:rPr>
        <w:t>Sekhon v. Royal Bank of Canada</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2017 BCSC 497</w:t>
        </w:r>
      </w:hyperlink>
      <w:r>
        <w:rPr>
          <w:rFonts w:ascii="arial" w:eastAsia="arial" w:hAnsi="arial" w:cs="arial"/>
          <w:color w:val="000000"/>
          <w:sz w:val="20"/>
          <w:lang w:val="en-US" w:eastAsia="en-US" w:bidi="ar-SA"/>
        </w:rPr>
        <w:t xml:space="preserve">. HSBC submits that the facts in </w:t>
      </w:r>
      <w:r>
        <w:rPr>
          <w:rFonts w:ascii="arial" w:eastAsia="arial" w:hAnsi="arial" w:cs="arial"/>
          <w:i/>
          <w:color w:val="000000"/>
          <w:sz w:val="20"/>
          <w:lang w:val="en-US" w:eastAsia="en-US" w:bidi="ar-SA"/>
        </w:rPr>
        <w:t>Sekhon</w:t>
      </w:r>
      <w:r>
        <w:rPr>
          <w:rFonts w:ascii="arial" w:eastAsia="arial" w:hAnsi="arial" w:cs="arial"/>
          <w:color w:val="000000"/>
          <w:sz w:val="20"/>
          <w:lang w:val="en-US" w:eastAsia="en-US" w:bidi="ar-SA"/>
        </w:rPr>
        <w:t xml:space="preserve"> are "substantially similar" to those in the present application. Mr. Justice Macintosh refused certification in </w:t>
      </w:r>
      <w:r>
        <w:rPr>
          <w:rFonts w:ascii="arial" w:eastAsia="arial" w:hAnsi="arial" w:cs="arial"/>
          <w:i/>
          <w:color w:val="000000"/>
          <w:sz w:val="20"/>
          <w:lang w:val="en-US" w:eastAsia="en-US" w:bidi="ar-SA"/>
        </w:rPr>
        <w:t>Sekhon</w:t>
      </w:r>
      <w:r>
        <w:rPr>
          <w:rFonts w:ascii="arial" w:eastAsia="arial" w:hAnsi="arial" w:cs="arial"/>
          <w:color w:val="000000"/>
          <w:sz w:val="20"/>
          <w:lang w:val="en-US" w:eastAsia="en-US" w:bidi="ar-SA"/>
        </w:rPr>
        <w:t xml:space="preserve"> because the facts had to be determined "customer by customer" based on numerous conversations.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However, I do not agree that that difficulty would be faced to a significant extent on a trial of the present action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conclude that all the issues that the Court of Appeal left open to possible certification meet the s. 4(1)(c)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CONCLUSION ON THE ISSUE OF PREFERABILITY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Cloud v. Canada (Attorney General)</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[2004] O.J. No. 4924</w:t>
        </w:r>
      </w:hyperlink>
      <w:r>
        <w:rPr>
          <w:rFonts w:ascii="arial" w:eastAsia="arial" w:hAnsi="arial" w:cs="arial"/>
          <w:color w:val="000000"/>
          <w:sz w:val="20"/>
          <w:lang w:val="en-US" w:eastAsia="en-US" w:bidi="ar-SA"/>
        </w:rPr>
        <w:t>, Goudge J.A., with whom the other judges agreed, wrote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explained by the Supreme Court of Canada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supra, at paras. 27-28, </w:t>
      </w:r>
      <w:r>
        <w:rPr>
          <w:rFonts w:ascii="arial" w:eastAsia="arial" w:hAnsi="arial" w:cs="arial"/>
          <w:color w:val="000000"/>
          <w:sz w:val="20"/>
          <w:u w:val="single"/>
          <w:lang w:val="en-US" w:eastAsia="en-US" w:bidi="ar-SA"/>
        </w:rPr>
        <w:t>the preferability requirement has two concepts at its core. The first is whether or not the class action would be a fair, efficient and manageable method of advancing the claim. The second is whether the class action would be preferable to other reasonably available means of resolving the claims of class members</w:t>
      </w:r>
      <w:r>
        <w:rPr>
          <w:rFonts w:ascii="arial" w:eastAsia="arial" w:hAnsi="arial" w:cs="arial"/>
          <w:color w:val="000000"/>
          <w:sz w:val="20"/>
          <w:lang w:val="en-US" w:eastAsia="en-US" w:bidi="ar-SA"/>
        </w:rPr>
        <w:t>. The analysis must keep in mind the three principal advantages of class actions, namely judicial economy, access to justice and behaviour modification, and must consider the degree to which each would be achieved by certification.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 accept that when, as here, there are multiple modest damage claims, none of which alone could be the basis for an economically viable action but, when taken together, may lend themselves to a contingency fee arrangement, that factor alone weighs heavily in favour of the preferability of a class proceeding. Nevertheless, as mentioned in para. 79 above, HSBC in reliance on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submits that there is a relatively simple procedure available under s.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to determine whether the standard form documents used by HSBC constituted a deceptive act or practice and, if so, to seek financial redress.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 will repeat the observation of Fisher J.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at para. 236 of her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relation to liability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it should be noted that there is another procedure available under s. 172, where any person can act as a claimant to seek a declaration that an act or practice engaged in by a supplier in respect of a consumer transaction contravenes the Act or the regulations. This would be a far simpler procedure for seeking a determination of whether the written materials at least constituted a deceptive act or practice. On this point, see the dissenting judgment of LeBel and Deschamps JJ. in </w:t>
      </w:r>
      <w:r>
        <w:rPr>
          <w:rFonts w:ascii="arial" w:eastAsia="arial" w:hAnsi="arial" w:cs="arial"/>
          <w:i/>
          <w:color w:val="000000"/>
          <w:sz w:val="20"/>
          <w:lang w:val="en-US" w:eastAsia="en-US" w:bidi="ar-SA"/>
        </w:rPr>
        <w:t>Seidel v TELUS Communications Inc</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2011 SCC 15</w:t>
        </w:r>
      </w:hyperlink>
      <w:r>
        <w:rPr>
          <w:rFonts w:ascii="arial" w:eastAsia="arial" w:hAnsi="arial" w:cs="arial"/>
          <w:color w:val="000000"/>
          <w:sz w:val="20"/>
          <w:lang w:val="en-US" w:eastAsia="en-US" w:bidi="ar-SA"/>
        </w:rPr>
        <w:t xml:space="preserve"> at para. 163, where it is stated that any declaratory relief granted under s. 172 would have "the same effect as an action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in respect of all consumers in the province who might have the same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Seidel</w:t>
      </w:r>
      <w:r>
        <w:rPr>
          <w:rFonts w:ascii="arial" w:eastAsia="arial" w:hAnsi="arial" w:cs="arial"/>
          <w:color w:val="000000"/>
          <w:sz w:val="20"/>
          <w:lang w:val="en-US" w:eastAsia="en-US" w:bidi="ar-SA"/>
        </w:rPr>
        <w:t xml:space="preserve"> was largely focused on the implications of a mandatory arbitration clause in a contract entered into by the plaintiff with Telus. The clause also purported to preclude the plaintiff from commencing or participating in a class proceeding involving Telus. Notwithstanding that provision, the plaintiff commenced an action against Telus and sought to have it certified. Justice Binnie held the contract did not prevent the plaintiff from applying for certification, though his decision did not address the questions that arise in s. 4(1)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Vaugeois v. Budget Rent-A-Car of B.C. Ltd.</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2015 BCSC 802</w:t>
        </w:r>
      </w:hyperlink>
      <w:r>
        <w:rPr>
          <w:rFonts w:ascii="arial" w:eastAsia="arial" w:hAnsi="arial" w:cs="arial"/>
          <w:color w:val="000000"/>
          <w:sz w:val="20"/>
          <w:lang w:val="en-US" w:eastAsia="en-US" w:bidi="ar-SA"/>
        </w:rPr>
        <w:t xml:space="preserve"> an application to certify as a class proceeding an action in which the plaintiff's proposed various common issues, including those alleged to arise from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was dismissed. Mr. Justice Funt at paras. 51 and 52 held that, in considering the relevant factors, "including the particular factors set out in s. 4(2)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Court is not satisfied that a class action would be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An appeal in </w:t>
      </w:r>
      <w:r>
        <w:rPr>
          <w:rFonts w:ascii="arial" w:eastAsia="arial" w:hAnsi="arial" w:cs="arial"/>
          <w:i/>
          <w:color w:val="000000"/>
          <w:sz w:val="20"/>
          <w:lang w:val="en-US" w:eastAsia="en-US" w:bidi="ar-SA"/>
        </w:rPr>
        <w:t>Vaugeois</w:t>
      </w:r>
      <w:r>
        <w:rPr>
          <w:rFonts w:ascii="arial" w:eastAsia="arial" w:hAnsi="arial" w:cs="arial"/>
          <w:color w:val="000000"/>
          <w:sz w:val="20"/>
          <w:lang w:val="en-US" w:eastAsia="en-US" w:bidi="ar-SA"/>
        </w:rPr>
        <w:t xml:space="preserve"> was dismissed in reasons indexed at </w:t>
      </w:r>
      <w:hyperlink r:id="rId679" w:history="1">
        <w:r>
          <w:rPr>
            <w:rFonts w:ascii="arial" w:eastAsia="arial" w:hAnsi="arial" w:cs="arial"/>
            <w:i/>
            <w:color w:val="0077CC"/>
            <w:sz w:val="20"/>
            <w:u w:val="single"/>
            <w:shd w:val="clear" w:color="auto" w:fill="FFFFFF"/>
            <w:lang w:val="en-US" w:eastAsia="en-US" w:bidi="ar-SA"/>
          </w:rPr>
          <w:t>2017 BCCA 111</w:t>
        </w:r>
      </w:hyperlink>
      <w:r>
        <w:rPr>
          <w:rFonts w:ascii="arial" w:eastAsia="arial" w:hAnsi="arial" w:cs="arial"/>
          <w:color w:val="000000"/>
          <w:sz w:val="20"/>
          <w:lang w:val="en-US" w:eastAsia="en-US" w:bidi="ar-SA"/>
        </w:rPr>
        <w:t xml:space="preserve">. Mr. Justice Willcock, with whom Bauman C.J.B.C. and Fitch J.A. agreed, held at para. 30 that Funt J. had not erred by placing "weight upon the ability of the Director to bring an action, pursuant to s.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where warranted to seek damages for breach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appellants in </w:t>
      </w:r>
      <w:r>
        <w:rPr>
          <w:rFonts w:ascii="arial" w:eastAsia="arial" w:hAnsi="arial" w:cs="arial"/>
          <w:i/>
          <w:color w:val="000000"/>
          <w:sz w:val="20"/>
          <w:lang w:val="en-US" w:eastAsia="en-US" w:bidi="ar-SA"/>
        </w:rPr>
        <w:t>Vaugeois</w:t>
      </w:r>
      <w:r>
        <w:rPr>
          <w:rFonts w:ascii="arial" w:eastAsia="arial" w:hAnsi="arial" w:cs="arial"/>
          <w:color w:val="000000"/>
          <w:sz w:val="20"/>
          <w:lang w:val="en-US" w:eastAsia="en-US" w:bidi="ar-SA"/>
        </w:rPr>
        <w:t xml:space="preserve"> had also submitted that if certification was refused some individual claims could be time barred. Mr. Justice Willcock was not persuaded by this argument commenting that, to the extent behaviour modification is "a pressing concern because the impugned conduct is continuing, it can be addressed by giving relief to the plaintiffs whose claims are not statute barred". Similarly, in the case at bar, I am informed that the impugned conduct of the defendants is not continuing.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 conclude that a class proceeding in the matter before me cannot meet the test in s. 4(1)(d)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K.N. AFFLECK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Sharbern Holding Inc. v. Vancouver Airport Centre Ltd., [2007] B.C.J. No. 1845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8 - 12, 15 - 19, 22 - 26 and 29 -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31, and February 1 - 2, 5 - 9, 12 - 16, 21 and 27 -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S033260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1845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B.L.R. (4th) 171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1948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1262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756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Sharbern Holding Inc., Plaintiff, and Vancouver Airport Centre Ltd., Larco Hospitality Management Inc. and MM&amp;R Valuation Services, Inc. doing business as HVS International - Canada and HVS International -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5"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5" w:name="Keywords_37"/>
      <w:bookmarkEnd w:id="245"/>
      <w:r>
        <w:rPr>
          <w:rFonts w:ascii="arial" w:eastAsia="arial" w:hAnsi="arial" w:cs="arial"/>
          <w:b/>
          <w:color w:val="000000"/>
          <w:sz w:val="20"/>
          <w:lang w:val="en-US" w:eastAsia="en-US" w:bidi="ar-SA"/>
        </w:rPr>
        <w:t>Civil procedure — Parties — Class or representative actions — In this class action brought on behalf of roughly 200 investors in the strata units of an airport hotel, the developer was found to have negligently misrepresented the absence of conflicts of interests and the nature of the agreements governing it and a rival hotel.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Condominiums — Developers — Purchase and sale of — In this class action brought on behalf of roughly 200 investors in the strata units of an airport hotel, the developer was found to have negligently misrepresented the absence of conflicts of interests and the nature of the agreements governing it and a rival hotel — The parties were deemed to have relied on the misrepresentations under s. 75(2) of the Real Estate Act — Real Estate Act, s. 75(2).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Negligent misrepresentation — In this class action brought on behalf of roughly 200 investors in the strata units of an airport hotel, the developer was found to have negligently misrepresented the absence of conflicts of interests and the nature of the agreements governing it and a rival hotel.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6" w:name="Case Summary_33"/>
            <w:bookmarkEnd w:id="2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class action, roughly 200 investors in the strata units of an airport hotel alleged that the developer misrepresented the projected financial returns of the units and other matters material to the decision to invest -- The owners lost money each year instead of obtaining the projected 17 per cent returns -- The issues included: (1) whether the occupancy and room rate projections made by HVS International - Canada, and/ or the investment returns projected by the developer were negligent misrepresentations; (2) whether the developer misrepresented the absence of conflicts of interest and the agreements governing it and the Mariott Hotel unit owners in the disclosure statement; (3) whether the class members were deemed to have relied on the misrepresentations pursuant to s. 75(2) of the Real Estate Act; (4) what was the effect of the representative plaintiff's claims of the repeal of the Real Estate Act; and (5) did the developer and HMS Hospitality Management Services Ltd., owe fiduciary and/or trust duties to the class under the various agreements with the unit owners, and if so, did they breach them -- HELD: The occupancy and PVR projections of HVS were not negligent misrepresentations -- Although the occupancy rates were high, they were not unreasonable, as all the experts agreed that the conditions in the Richmond hotel market in 1997 were highly unusual and the performance of a hotel yet to be built was exceptionally difficult to predict -- The investment return projections of the developer were thus not negligent misrepresentations -- However, the developer negligently misrepresented the absence of conflicts of interest and the nature of the agreements governing it and the Marriott owners -- The differences between the Hilton and Marriott agreements were significant because they bore directly on the conflict of interest representation -- Nothing in the disclosure statement alerted the reader to the existence of the incentive and ability on the part of the developer to prefer one hotel over the other -- The members of the class were deemed to have relied on the impugned representations under s. 75(2) of the Act -- To the extent that the protection of the Act depended on the number of lots included in a single transaction, the parties addressed the point in the agreement when they stipulated that the parties would have the same rights as if each unit had been the subject of a separate agreement -- The repeal of the Act had no effect on the representative plaintiff's claims -- By preserving s. 78 of the Act, the Legislature did not make clear an intention to set aside the rights accrued under s. 75(2) -- The developer was a trustee of the revenues collected on behalf of the class -- It owed the class fiduciary duties in respect of the operation of the hotel, those duties were in conflict with its interest concerning the Marriott, and it had breached its fiduciary duties to the class -- HMS did not owe fiduciary duties to the class.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7" w:name="Legislation Cited_25"/>
      <w:bookmarkEnd w:id="2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6"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Interpretation Act, </w:t>
      </w:r>
      <w:hyperlink r:id="rId442" w:history="1">
        <w:r>
          <w:rPr>
            <w:rFonts w:ascii="arial" w:eastAsia="arial" w:hAnsi="arial" w:cs="arial"/>
            <w:i/>
            <w:color w:val="0077CC"/>
            <w:sz w:val="20"/>
            <w:u w:val="single"/>
            <w:shd w:val="clear" w:color="auto" w:fill="FFFFFF"/>
            <w:lang w:val="en-US" w:eastAsia="en-US" w:bidi="ar-SA"/>
          </w:rPr>
          <w:t>R.S.B.C. 1996, c. 238, s. 35</w:t>
        </w:r>
      </w:hyperlink>
      <w:r>
        <w:rPr>
          <w:rFonts w:ascii="arial" w:eastAsia="arial" w:hAnsi="arial" w:cs="arial"/>
          <w:color w:val="000000"/>
          <w:sz w:val="20"/>
          <w:lang w:val="en-US" w:eastAsia="en-US" w:bidi="ar-SA"/>
        </w:rPr>
        <w:t>, s.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Estate Act, R.S.B.C. 1996, c. 397, s. 75(2)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Real Estate Development Marketing Act, </w:t>
      </w:r>
      <w:hyperlink r:id="rId687" w:history="1">
        <w:r>
          <w:rPr>
            <w:rFonts w:ascii="arial" w:eastAsia="arial" w:hAnsi="arial" w:cs="arial"/>
            <w:i/>
            <w:color w:val="0077CC"/>
            <w:sz w:val="20"/>
            <w:u w:val="single"/>
            <w:shd w:val="clear" w:color="auto" w:fill="FFFFFF"/>
            <w:lang w:val="en-US" w:eastAsia="en-US" w:bidi="ar-SA"/>
          </w:rPr>
          <w:t>S.B.C. 2004, c. 41, s. 22</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8" w:name="Counsel_37"/>
      <w:bookmarkEnd w:id="2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7"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Stephen R. Schachter, Q.C., Geoffrey B. Gomery.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VAC, HMS and MM&amp;R: R.J. Randall Hordo, Q.C., M. Ali Lakhani and Efrem D.A. Swartz.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9" w:name="Judgment_37"/>
      <w:bookmarkEnd w:id="249"/>
      <w:r>
        <w:pict>
          <v:line id="_x0000_s1208" style="position:absolute;z-index:251850752" from="0,12pt" to="512pt,12pt" strokecolor="#009ddb" strokeweight="1.5pt">
            <v:stroke linestyle="single"/>
          </v:line>
        </w:pict>
      </w:r>
    </w:p>
    <w:p>
      <w:p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Development of the Vancouver Airport Centre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Development of the Airport Marriott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PKF Report concerning the Marriott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Development of the Hilton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PKF Projections concerning the Hilton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HVS Retainer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HVS Report concerning the Hilton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Hilton Disclosure Statement: Financial Projections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Hilton Disclosure Statement: Conflict of Interest Provisions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Representative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VAC Correspondence with FICOM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Operation of the Hotels in the Vancouver Airport Centre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Financial Performance of the Hilton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Communications between HMS and the Hilton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Alleged Misrepresentations by HVS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Duty of Care of HVS</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Standard of Care</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Expert evidence concerning the HVS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Projections</w:t>
      </w:r>
      <w:r>
        <w:rPr>
          <w:rFonts w:ascii="arial" w:eastAsia="arial" w:hAnsi="arial" w:cs="arial"/>
          <w:sz w:val="20"/>
          <w:lang w:val="en-US" w:eastAsia="en-US" w:bidi="ar-SA"/>
        </w:rPr>
        <w:cr/>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Stewart Instance</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Brian Flood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Joel Rosen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Was HVS influenced by Larco?</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The HVS Analysis concerning</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Occupancy</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The HVS Analysis concerning ADR</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Conclusions concerning the HVS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Alleged Misrepresentation by VAC of the Financial Projections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Duty of care of VAC</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The nature of VAC's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representation</w:t>
      </w:r>
      <w:r>
        <w:rPr>
          <w:rFonts w:ascii="arial" w:eastAsia="arial" w:hAnsi="arial" w:cs="arial"/>
          <w:sz w:val="20"/>
          <w:lang w:val="en-US" w:eastAsia="en-US" w:bidi="ar-SA"/>
        </w:rPr>
        <w:cr/>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Conclusion regarding VAC's financial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Alleged Misrepresentations by VAC concerning Conflict of Interest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Position of the parties</w:t>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Duty of care</w:t>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Was there a conflict?</w:t>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Did VAC misrepresent the conflict of</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interest?</w:t>
      </w:r>
    </w:p>
    <w:p>
      <w:pPr>
        <w:spacing w:before="120" w:line="260" w:lineRule="atLeast"/>
        <w:ind w:firstLine="240"/>
        <w:rPr>
          <w:rFonts w:ascii="arial" w:eastAsia="arial" w:hAnsi="arial" w:cs="arial"/>
          <w:sz w:val="20"/>
          <w:lang w:val="en-US" w:eastAsia="en-US" w:bidi="ar-SA"/>
        </w:rPr>
      </w:pPr>
      <w:r>
        <w:rPr>
          <w:rFonts w:ascii="arial" w:eastAsia="arial" w:hAnsi="arial" w:cs="arial"/>
          <w:i/>
          <w:color w:val="000000"/>
          <w:sz w:val="20"/>
          <w:u w:val="single"/>
          <w:lang w:val="en-US" w:eastAsia="en-US" w:bidi="ar-SA"/>
        </w:rPr>
        <w:t>(e) Materiality of the representations</w:t>
      </w:r>
      <w:r>
        <w:rPr>
          <w:rFonts w:ascii="arial" w:eastAsia="arial" w:hAnsi="arial" w:cs="arial"/>
          <w:sz w:val="20"/>
          <w:lang w:val="en-US" w:eastAsia="en-US" w:bidi="ar-SA"/>
        </w:rPr>
        <w:cr/>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Conclusions regarding conflict of</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xml:space="preserve">The Issues arising under the </w:t>
            </w:r>
            <w:r>
              <w:rPr>
                <w:rFonts w:ascii="arial" w:eastAsia="arial" w:hAnsi="arial" w:cs="arial"/>
                <w:b/>
                <w:i/>
                <w:color w:val="000000"/>
                <w:sz w:val="18"/>
                <w:u w:val="single"/>
                <w:lang w:val="en-US" w:eastAsia="en-US" w:bidi="ar-SA"/>
              </w:rPr>
              <w:t>Real Estate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 xml:space="preserve">Section 75(2) of the </w:t>
      </w:r>
      <w:r>
        <w:rPr>
          <w:rFonts w:ascii="arial" w:eastAsia="arial" w:hAnsi="arial" w:cs="arial"/>
          <w:b/>
          <w:i/>
          <w:color w:val="000000"/>
          <w:sz w:val="20"/>
          <w:u w:val="single"/>
          <w:lang w:val="en-US" w:eastAsia="en-US" w:bidi="ar-SA"/>
        </w:rPr>
        <w:t>Real Estate</w:t>
      </w:r>
    </w:p>
    <w:p>
      <w:pPr>
        <w:spacing w:before="120" w:line="260" w:lineRule="atLeast"/>
        <w:ind w:left="180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Act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 xml:space="preserve">Deemed Reliance under the </w:t>
      </w:r>
      <w:r>
        <w:rPr>
          <w:rFonts w:ascii="arial" w:eastAsia="arial" w:hAnsi="arial" w:cs="arial"/>
          <w:b/>
          <w:i/>
          <w:color w:val="000000"/>
          <w:sz w:val="20"/>
          <w:u w:val="single"/>
          <w:lang w:val="en-US" w:eastAsia="en-US" w:bidi="ar-SA"/>
        </w:rPr>
        <w:t>Real Estate</w:t>
      </w:r>
    </w:p>
    <w:p>
      <w:pPr>
        <w:spacing w:before="120" w:line="260" w:lineRule="atLeast"/>
        <w:ind w:left="180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Act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The Tevan Trading issue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 xml:space="preserve">Effect of the Repeal of the </w:t>
      </w:r>
      <w:r>
        <w:rPr>
          <w:rFonts w:ascii="arial" w:eastAsia="arial" w:hAnsi="arial" w:cs="arial"/>
          <w:b/>
          <w:i/>
          <w:color w:val="000000"/>
          <w:sz w:val="20"/>
          <w:u w:val="single"/>
          <w:lang w:val="en-US" w:eastAsia="en-US" w:bidi="ar-SA"/>
        </w:rPr>
        <w:t>Real</w:t>
      </w:r>
    </w:p>
    <w:p>
      <w:pPr>
        <w:spacing w:before="120" w:line="260" w:lineRule="atLeast"/>
        <w:ind w:left="180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Estate Act</w:t>
      </w:r>
      <w:r>
        <w:rPr>
          <w:rFonts w:ascii="arial" w:eastAsia="arial" w:hAnsi="arial" w:cs="arial"/>
          <w:i/>
          <w:color w:val="000000"/>
          <w:sz w:val="20"/>
          <w:u w:val="single"/>
          <w:lang w:val="en-US" w:eastAsia="en-US" w:bidi="ar-SA"/>
        </w:rPr>
        <w:t xml:space="preserve"> on the Claims of the Class</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E.</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 Trust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Was VAC a trustee of the revenues</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collected pursuant to Article 7.1 of the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HAMA? ((a)(i))</w:t>
      </w:r>
      <w:r>
        <w:rPr>
          <w:rFonts w:ascii="arial" w:eastAsia="arial" w:hAnsi="arial" w:cs="arial"/>
          <w:sz w:val="20"/>
          <w:lang w:val="en-US" w:eastAsia="en-US" w:bidi="ar-SA"/>
        </w:rPr>
        <w:cr/>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What is the scope of VAC's obligation to</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account for the trust funds received</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pursuant to Article 7.1 of the HAMA?</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((a)(ii))</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Was HMS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F.</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 Fiduciary Duty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Does VAC owe the Class fiduciary duties</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in respect of the operation of the Hotel?</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((b)(i))</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If the answer to (b)(i) is "yes", do</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those fiduciary duties conflict with</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VAC's interests concerning the Airport</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Marriott Hotel or its duties to the unit</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owners of that hotel? ((b)(ii))</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Has VAC breached its fiduciary duties to</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the Class? ((b)(iii))</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Does HMS, by reason of its appointment</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under Article 3.2 of the HAMA as VAC's</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sub-agent, owe the Class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8"/>
        <w:gridCol w:w="66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u w:val="single"/>
                <w:lang w:val="en-US" w:eastAsia="en-US" w:bidi="ar-SA"/>
              </w:rPr>
              <w:t> </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u w:val="single"/>
                <w:lang w:val="en-US" w:eastAsia="en-US" w:bidi="ar-SA"/>
              </w:rPr>
              <w:t>fiduciary duties as VAC?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u w:val="single"/>
                <w:lang w:val="en-US" w:eastAsia="en-US" w:bidi="ar-SA"/>
              </w:rPr>
              <w:t>((b)(iv))</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If the answer to (b)(iv) is "yes", do</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those fiduciary duties conflict with the</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interests of HMS concerning the Airport</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Marriott Hotel or its duties to the unit</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owners of that hotel?((b)(v))</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Has HMS breached its fiduciary duties to</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u w:val="single"/>
          <w:lang w:val="en-US" w:eastAsia="en-US" w:bidi="ar-SA"/>
        </w:rPr>
        <w:t>the Class? ((b)(vi))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Summary of Conclusions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0" w:name="WEDGE J."/>
            <w:bookmarkEnd w:id="250"/>
            <w:r>
              <w:rPr>
                <w:rFonts w:ascii="arial" w:eastAsia="arial" w:hAnsi="arial" w:cs="arial"/>
                <w:b/>
                <w:color w:val="000000"/>
                <w:sz w:val="30"/>
                <w:lang w:val="en-US" w:eastAsia="en-US" w:bidi="ar-SA"/>
              </w:rPr>
              <w:t>WEDGE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class action arises from the investment by private investors, including Sharbern Holding Inc. ("Sharbern"), in strata units of the Vancouver Airport Hilton Hotel (the "Hilton") in 1998. The developer, Vancouver Airport Centre Ltd. ("VAC"), offered the strata units to Sharbern and many other investors under a prospectus known as the Offering Memorandum and Disclosure Statement (the "Hilton Disclosure Statement"). Sharbern alleges that VAC misrepresented the projected financial returns of the strata units and other matters material to its decision to invest in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Hilton Disclosure Statement contained financial projections concerning the units, including a 5-year average annual cash return to the investors of 16.6% of the purchase price of their units. The financial projections were based on projected occupancy and room rates prepared by HVS International - Canada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VAC marketed the Hilton a year after developing a similar strata hotel, the Vancouver Airport Marriott Hotel (the "Marriott"). The Marriott is located on the same parcel of land, and described in a disclosure statement dated September 16, 1996 (the "Marriott Disclosure Statement"). An affiliate of VAC, the defendant Larco Hospitality Management Inc., formerly known as HMS Hospitality Management Services Ltd. ("HMS"), manages both hotels. VAC owns, and HMS manages, a third hotel on the same property, the Best Western Richmond Inn (the "Richmond Inn").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Under the Marriott Disclosure Statement, investors were offered a guaranteed 5-year financial return of at least 12% of the purchase price of their units. The Hilton investors were offered no such guarantee on their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Hilton Disclosure Statement disclosed that VAC had developed the Marriott as a strata hotel and had entered into agreements with the Marriott unit owners similar to those with the Hilton owners, and some additional agreements. However, it did not expressly disclose the 12% guarantee or other variations between the Hilton and Marriott agreements. The Hilton Disclosure Statement also represented that VAC was not aware of "any existing or potential conflicts of interest that could reasonably be expected to materially affect the purchaser's investment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Financially, the Hilton did not perform as projected by VAC in the Hilton Disclosure Statement, nor did it ever perform as well as the Marriott. The Hilton owners lost money each year instead of obtaining the projected 16.6%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Sharbern brought an action against VAC, HMS and HVS, and obtained certification of the action as a class proceeding on behalf of approximately 200 unit owners: </w:t>
      </w:r>
      <w:r>
        <w:rPr>
          <w:rFonts w:ascii="arial" w:eastAsia="arial" w:hAnsi="arial" w:cs="arial"/>
          <w:b/>
          <w:i/>
          <w:color w:val="000000"/>
          <w:sz w:val="20"/>
          <w:lang w:val="en-US" w:eastAsia="en-US" w:bidi="ar-SA"/>
        </w:rPr>
        <w:t>Sharbern Holdings Inc. v. Vancouver Airport Centre Ltd. et al.</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2005 BCSC 232</w:t>
        </w:r>
      </w:hyperlink>
      <w:r>
        <w:rPr>
          <w:rFonts w:ascii="arial" w:eastAsia="arial" w:hAnsi="arial" w:cs="arial"/>
          <w:color w:val="000000"/>
          <w:sz w:val="20"/>
          <w:lang w:val="en-US" w:eastAsia="en-US" w:bidi="ar-SA"/>
        </w:rPr>
        <w:t xml:space="preserve">, aff'd </w:t>
      </w:r>
      <w:hyperlink r:id="rId689" w:history="1">
        <w:r>
          <w:rPr>
            <w:rFonts w:ascii="arial" w:eastAsia="arial" w:hAnsi="arial" w:cs="arial"/>
            <w:i/>
            <w:color w:val="0077CC"/>
            <w:sz w:val="20"/>
            <w:u w:val="single"/>
            <w:shd w:val="clear" w:color="auto" w:fill="FFFFFF"/>
            <w:lang w:val="en-US" w:eastAsia="en-US" w:bidi="ar-SA"/>
          </w:rPr>
          <w:t>2006 BCCA 96</w:t>
        </w:r>
      </w:hyperlink>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52 B.C.L.R. (4th) 144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Sharbern Appeal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class of persons on whose behalf the action is brought (the "Class") is divided into resident and non-resident subclasses. There is an additional subclass consisting of Tevan Trading Ltd. ("Tevan").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"Hilton Owners" are the owners and former owners of the strata units in the Hilton. The resident subclass comprises owners resident in British Columbia who did not opt out of the proceeding. The non-resident subclass comprises all Hilton Owners not resident in British Columbia who did not opt out of the proceedings. Tevan was identified as the only Hilton Owner that purchased more than five units of the Hilton, having purchased nine units. Sharbern is the representative plaintiff for all three subclasses.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statement of the common issues is appended to these Reasons (Appendix A). While numerous common issues are stated, the following is a broadly cast summary of the central contentious issues: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Representations concerning the Financial Projections</w:t>
      </w:r>
      <w:r>
        <w:rPr>
          <w:rFonts w:ascii="arial" w:eastAsia="arial" w:hAnsi="arial" w:cs="arial"/>
          <w:color w:val="000000"/>
          <w:sz w:val="20"/>
          <w:lang w:val="en-US" w:eastAsia="en-US" w:bidi="ar-SA"/>
        </w:rPr>
        <w:t>:</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HVS: Were the occupancy and room rate projections made by HVS negligent misrepresentations?</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VAC: Were the investment returns projected by VAC in the Hilton Disclosure Statement negligent misrepresentations?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Representations of VAC concerning Conflicts of Interest: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VAC, through the Hilton Disclosure Statement, misrepresent the absence of conflicts of interest and the agreements governing VAC and the Marriott unit owners?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Statutory Claim:</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members of the Class, including Tevan, deemed to have relied on the impugned representations pursuant to s. 75(2)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the effect on Sharbern's claims of the repeal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w:t>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Fiduciary and Trust Issues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 VAC and HMS owe fiduciary and/or trust duties to the Class under the various agreements with the Hilton unit owners, and, if so, did they breach those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Development of the Vancouver Airport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VAC and HMS are both owned by Larco Investments Ltd. ("Larco"), a company involved in various businesses including real estate and hotel development. Larco was founded by Amin Lalji ("Lalji") and his two brothers, and has been owned and operated by them since approximately 1975. Larco holds substantial property interests, including the Park Royal Shopping Centre in West Vancouver, and hotel properties across Canada and the United States. Lalji is the senior officer responsible for the hotel development side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1989, Larco purchased the Richmond Inn, a hotel and conference centre located on Westminster Highway in Richmond, B.C. Lalji renovated the hotel and then entered into a franchise agreement with the Best Western hotel chain to "brand" the hotel as the Best Western Richmond Inn.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site (referred to as the "Parent Property" in the Hilton Disclosure Statement) was capable of supporting two additional hotel towers. The plan was to develop a cluster of hotels on the property, known as the Vancouver Airport Centre, consisting of the Richmond Inn and two new hotel towers. VAC was incorporated by Larco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Richmond Inn was classified as a "three diamond" hotel. VAC's plan was to develop two higher-quality, or "four diamond", luxury branded hotels on the site in two phases. The first phase was to involve the development of a 237-room strata-titled hotel tower. The second phase contemplated the development of a second, identical hotel tower (also strata-titled). The two towers were to be joined by a concourse of shops and other amenities.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the mid-1990's, the Richmond hotel market was experiencing an extraordinary boom. It was, at the time, one of the strongest hotel markets in North America. As North America recovered from the economic recession of 1990-91 and the effects of the Gulf War, travel to and through Vancouver increased. Vancouver was both a popular tourist destination and a gateway to other destinations. The Vancouver International Airport, located in Richmond, underwent significant expansion. The expansion was in part the result of the bilateral Canada/US Open Skies Agreement concluded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Other factors influenced the boom in the hotel market. The technology industry was experiencing exponential growth, much of it in the Richmond area. Other industries and offices were relocating to Richmond. Richmond had a vibrant Asian community which was also experiencing growth as a result of the strong Asian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Despite Richmond's growth, very few new hotels had been built in the area. The higher-end hotels in Richmond were the Delta Vancouver Airport Hotel, the Delta Pacific Resort, and the Richmond Inn. All three were older hotels. The Radisson President Hotel was built in 1994, and quickly gained recognition as the highest quality hotel property in Richmond. By 1995, average occupancy rates in these hotels were running at more than 80% and during the high tourist season they could not accommodate all of the demand. During the peak season an estimated one in five travellers wishing to stay at a hotel in Richmond could not be accommodated.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strength of Richmond's hotel market did not go unnoticed by developers, including VAC. The Richmond Inn was enjoying average occupancy rates in the 80% to 90% range. In 1996, VAC decided to proceed with the development of the first hotel tower. Lalji delegated the day-to-day operations of VAC to a senior member of his staff, Gary Murray, who was the project manager for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Development of the Airport Marriott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first tower was to be a branded hotel. Lalji's evidence was that he considered Hilton as a possible choice, but learned that Hilton U.S. could not operate in Canada as a result of its agreements with Hilton International, and that Hilton International was not interested in entering into any franchise agreements with VAC. In early 1996, Lalji and Murray met with representatives of Marriott to discuss branding the first tower as a Marriott. They were impressed by the statistics provided by Marriott concerning its performance in the competitive market, and decided to proceed with the Marriott brand.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common practice for developers of new hotels to engage a hotel consulting firm to perform a market study and prepare financial projections for the proposed hotel. The study assesses the market demand for the proposed hotel, and often includes a forecast of its operating and financial performance. In essence, the consultant provides the developer with his or her opinion as to the financial viability of the project and its future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performance of a hotel is assessed primarily on the basis of two factors. The first is the proportion of rooms rented, or "occupancy". Occupancy is simply the number of rooms rented during a given period of time, expressed as a percentage of the number of rooms available for rent in the same period. The second factor is the average rate (in dollars) at which rooms are rented, or "average daily rate" ("ADR"). The ADR is calculated as the total room revenue received during a given period divided by the number of rooms rented. Simply put, ADR is the average of the room revenues derived from all occupied guest rooms in the specified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third factor, known as "Revenue per Available Room" ("RevPar"), is derived from occupancy and ADR. It is calculated by multiplying occupancy by ADR. RevPar reflects the average room revenue earned by all rooms, whether rented or not, during a specified period of time. The importance of RevPar is that it permits rational comparison between hotels with differing numbers of rooms and room rates. Not only does RevPar permit comparison between any two hotels, but it also permits comparison of any hotel against the performance of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Occupancy and ADR are fundamental to the projection of hotel revenues for proposed new hotel properties as they are used to estimate RevPar which is the primary indicator of expected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VAC retained Pannell Kerr Forster Consulting Inc. ("PKF"), a leading international firm of hotel consultants, to assess the feasibility of the Marriott and prepare performance projections for the proposed hotel. The PKF consultant was Beth Walters ("Walters"). She prepared a report dated May 3, 1996, which was provided to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PKF Report concerning the Marriott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Walters reported that the average occupancy rates in the competitive airport hotel market were in the upper 70% range between 1991 and 1995. The occupancy rates compared favourably to those for downtown Vancouver and Greater Vancouver, and the average room rate was rising. RevPar had increased substantially in that period. New hotel developments were anticipated, but were not considered to be high end brands. At p. 10 of the May 3, 1996 report (the "PKF Report"), PKF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Marriott full service hotel would compete directly with the Radisson President Hotel and the two existing Delta properties as they are currently the high end product within the community. A core brand Marriott hotel in Richmond will penetrate existing demand and will also attract additional demand, especially from U.S. and international markets because of the wide name recognition of the company. An increasing number of passengers at Vancouver International Airport originate in or are destined to the United States, which should enhance the market share of this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Pannell Kerr Forster has reviewed Marriott Hotel performance relative to several U.S. and Canadian locations and finds that the Marriotts considered have exhibited premium hotel operating occupancies and room rates in those locations considered comparable.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Delta Hotels, Howard Johnson, Best Western, Executive Inn and Travelodge are represented in Richmond now. There are several other new franchises being considered for the proposed hotels described above including Holiday Inn (Express), Days Inn, Embassy Suites, Marriott Courtyard Inn and Hampton Inn. While this might be seen to dilute the market, the Embassy Suites is the only other high end brand proposed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PKF projected that the Marriott would achieve an occupancy rate of 75% in its first year of operation with second year performance at 80%, followed by 76% in the third year; "a drop related to increased supply in the year 2000" (PKF Report at p. 20). For 2001, the projection was 78.5%. Thereafter, from 2002 to 2007, PKF projected occupancy rates of the Marriott in the range of 81% to 84.5%.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Walters predicted that upon opening in 1998, the Marriott would be able to attain an average room rate of $119.00. It was her view that by 1999, the ADR would be $127.44 - a rate premium of 17.5% above the market average - and by 2000, the rate would stabilize at $134.05. Her rationale for the ADR projection was as follows (PKF Report at p.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opening in 1998, the subject hotel should be able to attain the anticipated market average room rate of $119.00. This is primarily due to strong demand within the market as well as the hotel's own favourable locational attributes and high standard of furnishings, fixtures and guest services and the provision of technical services previously unavailable. This rate also reflects that a large number of these units are suites and are therefore larger than standard rooms. In year one this room rate is 15% higher than the competitive market average and higher than the projected Delta Hotel and Radisson President room rates in Richmond. By year two with an average daily room rate of $127.44, the subject hotel is projected to show a rate premium of 17.5% above the market average and finally by year three the hotel is projected to stabilize with a room rate of $134.05; 20% above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VAC proceeded with the development of the first hotel as a Marriott. A licence agreement between VAC and the Marriott was executed on August 27,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Vigers Realty ("Vigers") was retained on September 1, 1996 to market the Marriott. While developers had sold stratified hotels in resort areas such as Whistler, B.C., marketing a strata-unit hotel in an urban area solely for the income stream was a novel concept. Whether the concept would be popular was not known. Vigers suggested that VAC offer a gross operating guarantee in order to provide an incentive to prospective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Marketing the Marriott required a disclosure statement under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The Marriott Disclosure Statement was issued on September 11, 1996. On the strength of the Richmond hotel market and the PKF performance projections, VAC decided to market the Marriott by guaranteeing certain financial returns to the investors. The gist of it was that for the first 5 years of the hotel's operation, VAC would guarantee a gross return of 12%. In other words, each unit owner's annual proportionate share of funds available for distribution (before operating expenses and other specified deductions) was guaranteed at 12% of the purchase price of the owner's unit. The net guaranteed return was 8.29%.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Marriott Disclosure Statement did not refer to the PKF performance projections for the hotel. VAC was confident that the guarantee would be sufficient to market the hotel successfully.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marketing of the Marriott was extensive in Richmond and elsewhere, and was a great success. Hundreds of potential purchasers queued for hours prior to the opening for an opportunity to buy the units. All 237 strata units were sold within a matter of hours of the commencement of a grand opening public exhibition on September 21, 1996. Dozens of individuals left the opening empty-handed and disappointed.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VAC required staged deposits from the Marriott investors. The sale of the units was scheduled to close when construction was complete and the hotel was ready to open. The projected opening date was May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Upon closing, purchasers were required to sign a Hotel Asset Management Agreement (the "Marriott HAMA"), under which VAC had the right to manage the strata units for 20 years, with rights to renew. Under Article 7.1 of the Marriott HAMA, VAC as asset manager was entitled to a monthly management fee equal to 5% of the gross rental revenue for each month during the term of the Marriott HAMA. Under Article 7.2 of the Marriott HAMA, VAC was also entitled to an incentive management fee equal to 25% of the amount by which the Marriott owners' annual return on investment exceeded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VAC intended to subcontract the day-to-day management of the Marriott to a company called DMS Limited ("DMS"), a company operated by Delta Hotels that was at arm's length from VAC and Larco.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Development of the Hilton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the success of the Marriott, Lalji and Murray turned their minds to a second hotel tower on the property. They had discussions with Marriott in the fall of 1996 and early 1997 about branding the second tower as a Marriott. In early December of 1996, Lalji retained PKF to prepare a feasibility report on a second Marriott tower. Walters prepared the report and delivered it to VAC on December 10, 1996. The projections were not as optimistic as those contained in the initial Marriott feasibility study of May 1996. PKF projected the RevPar of a second Marriott at $90.50 in 1999, the opening year, rising to $102.67 by 2002. By comparison, in May of 1996, PKF projected RevPar at $101.95 for 1999 rising to $115.06 by 2002. While remaining optimistic about the potential of the hotel market, PKF was concerned about the impending new supply of hotels in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course of discussions between VAC and Marriott, it became apparent there were problems arising from the proposed physical integration of the second Marriott tower. Lalji and Marriott representatives eventually concluded that the second tower should not be branded as a Marriott. In February of 1997, Marriott agreed to permit VAC to proceed with the development of a second hotel tower under a different brand.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Lalji then considered a number of options for the branding the new hotel tower. They included the Pan Pacific, Sheraton, and Hilton. From his inquiries, he determined that Pan Pacific was not interested and that Sheraton was pursuing the hotel project under consideration at the Vancouver International Airport. Lalji discovered that Hilton U.S., as a result of an agreement with Hilton International, was now permitted to enter into franchise agreements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Lalji began discussions with Hilton in early 1997 which resulted in a tentative agreement in July 1997 to build the new hotel as a Hilton. The agreement was finalized on September 5, 1997. The franchise fee costs for the Hilton were lower than those for the Marriott.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Both Lalji and Murray were optimistic about the performance of a hotel branded as a Hilton. Both understood Hilton to be a well known and respected international hotel chain with a strong reservation system and loyalty program. Lalji testified that he knew the Hilton chain had been established in Canada for a long period of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Hilton had been present in Toronto and Montreal and other markets in Canada for a very long period of time, whereas Marriott was relatively new in Canada. And Marriott really only grew in Canada after Simon Cooper left Delta around the mid-90's with a mandate to develop the flag in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to my knowledge, I was familiar with the Marriott Eaton's Centre that was in Toronto, and I believe that it had the Chateau Champlain in Montreal, but those were the only two Marriotts that I recall. But they had a relatively short history in Canada compared to Hilton.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(Transcript, February 2, 2007, pp. 25-26)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Murray's evidence was that his discussions with Hilton over the course of negotiating the Hilton franchise agreement convinced him that a Hilton branded hotel could do as well as, or better than, the Marriott.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PKF Projections concerning the Hilton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June 1997, VAC retained PKF to prepare a feasibility study on the second tower as a Hilton. On July 16, 1997, Walters wrote a draft report in which she commented on the market conditions and provided occupancy and room rate projections. On the market generally, Walters observed the following at p. 35 of the draft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[D]espite a recessionary economy in both Canada and the United States, and the entrance of approximately 275 new guest rooms between 1992 and 1994, the airport market was able to maintain occupancy levels in the upper 70% range. Rooms supply between 1991 and 1995 increased on a compound annual growth basis of 3.2%; rooms demand increased by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Walters went on to observe that the market had weakened in 1997: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year to date performance in 1997 is less favourable. The percentage occupancy decreased by 4.6% and the average daily room rate decreased by 1.3% in the first five months compared to the same period last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impact of this is that in the first five months of 1997, Revenue Per Available Room (RevPar) has decreased by 7.1%. This takes into account substantial increases in rooms supply in 1997 and decreases in air and cruise travel, as well as poor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Despite the cautionary note, Walters observed that the Richmond market had consistently outperformed the downtown and Greater Vancouver markets in terms of occupancy and had achieved the highest occupancy percentage in Canada. It had also achieved the fourth highest occupancy percentage in North America. She noted at pp. 35-36 that while room rates in the Richmond market were historically lower than those in downtown Vancouver, that trend was rapidly changing for the following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new airline contracts are substantially higher in rate and many hotels are replacing government business at lower rates with higher rate corporate volume. The increases in the airline rates, effective beginning in the late spring of 1996 will also have a major positive impact on room rate in the Richmond hotel market. With the advent of new higher quality product and the new rate structures the rate will rise in Richmond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are numerous other reasons including a more general buoyancy in the economy, the change in the mix of international, transborder and domestic flights (also related to the airport) and the increasing level of commercial and light industrial in east and central Richmond and the overall high level in in-fill that has occurred in the community in the past few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Walters also noted at p. 37 that the Richmond market was prime for new hotel development: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based on recent historical high levels of demand achieved within the market, as well as on anticipated growth specifically related to Richmond's economy, Vancouver International Airport improvement impacts and specific recent major average rate changes in Richmond hotels as well as the continued favourable tourism prospects for B.C. and the entire Greater Vancouver area. It is positive that the average rate percentage increase over the previous year has been increasing each month since the inception of the bilateral air agreement in mid 1995.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projections have also taken into consideration the possible impact that the expansion of the Vancouver International Airport will have on area hotels. This has been a particularly important consideration, as the expansion itself is not anticipated to exclusively account for future airport related rooms growth. Rather, future growth is anticipated to occur as a result of the initial two years of the Canada-US "Open Skies" agreement, and bi-lateral agreements between the Vancouver Airport Authority and several international air carriers. A key objective of the Authority is to position Vancouver as one of North America's most efficient and competitive "gateway" airports. Specifically it is anticipated that Vancouver will penetrate U.S. airport markets to a greater extent and become a more major connector stopover in North America because of the large number of new Asian and American flights into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Walters predicted that the hotels competitive to the proposed Hilton would have occupancy rates below 70% between 1999 and 2004, increasing to greater than 70% thereafter. She concluded, on the basis of actual and projected supply and demand in the competitive market, that there was sufficient market support for a hotel the size of the proposed Hilton.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Walters then performed a "market penetration analysis" using the concept of "fair market share". The assumption is that a hotel will attract room demand in the same proportion as its share of room supply. If a hotel attracts more than its fair share of demand its "penetration" will exceed 100%. As noted by Walters, different hotels achieve different levels of market penetration based on various competitive factors including location, facilities, accessibility, visibility, and chain affiliation.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Based on those competitive factors, it was Walter's view that the Hilton would achieve slightly more than its fair share due to those competitive factors, including its access to the airport, Richmond commercial markets, and other tourist markets. She projected that the Hilton would have a market penetration of 107%, with occupancy rates in the high 60% to low 70% range between 1999 and 2003, increasing to the high 70% range by 2007. On that basis, Walters' opinion was that the Hilton's occupancy would exceed that of competitor hotels by approximately 5%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Walters also predicted that the ADR of the Hilton would be $131.38 in 1999 (the first year of its operation), increasing to $152.42 by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the basis of the July 16, 1997 projections, the 5-year average net operating return generated by the Hilton would be $2,345,127. That return was lower than the projected 5-year average return for the Marriott, which was, according to the May 1996 report, $2,690,401.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Murray was not pleased with the projections. He said he thought Walters was not as enthusiastic about the Hilton brand as she ought to be. In an effort to increase the projected return to investors, he considered certain modifications to the offering. In particular, he decided to increase the revenue available to investors by including food and beverage revenues in the offering (revenues from food and beverage had been retained by VAC under the Marriott offering). On the expense side, he decided to set the management fee charged by VAC under the Hilton Hotel Asset Management Agreement (the "Hilton HAMA") at 3%, a reduction from the 5% base management fee under the Marriott HAMA. He also removed the $175,000 hotel lobby lease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July 31, 1997, Walters provided revised projections reflecting the changes Murray had made. With those changes, the net operating return over five years was $2,819,921. However, further changes were required to correct an overstatement in the food and beverage revenue stream. The final set of rate projections from PKF were dated August 13, 1997. They were approximately 15% higher than the first projections. The 5-year average net operating return was now projected at $2,695,519. The projected RevPar was $92.49 for 1999, increasing to $101.78 by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Lalji testified that on the basis of the final PKF rate projections, a net return to investors of approximately 7% was possible. His evidence was that he would have been prepared to proceed with the project on the basis of the PKF projections, but Murray persuaded him to seek a second opinion. Murray said he felt the Richmond market remained strong despite the impending new supply of hotel rooms. He wanted to obtain a second opinion from a consultant whose views might more closely resemble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HVS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early August 1997, Murray made a telephone call to Elizabeth (Betsy) MacDonald ("MacDonald") at the consulting firm of HVS (doing business in Vancouver as MM&amp;R Valuation Services). HVS is a prominent firm of hotel consultants operating across Canada and internationally. MacDonald is the managing director of the Vancouver office of HVS. Its founder and president, Stephen Rushmore, is the author of several widely-used texts on hotel appraisals and feasibility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MacDonald obtained her Bachelor of Science degree from the School of Hotel Administration, Cornell University, in 1978. From 1981-1992, she worked as a consultant for PKF in Houston, Texas; during the last seven of those years, she was a senior principal in the firm. She became a member of the Appraisal Institute of the United States in 1992, and a member of the Appraisal Institute of Canada ("AIC") in 1993. In 1992, MacDonald moved to Vancouver to join HVS in the managing director position she continues to hold. She has conducted approximately 250 appraisal and feasibility studies with respect to hotels across North America. MacDonald has been the chair of the Vancouver chapter of the AIC since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Since 1998, McDonald has published, through HVS, a report called the </w:t>
      </w:r>
      <w:r>
        <w:rPr>
          <w:rFonts w:ascii="arial" w:eastAsia="arial" w:hAnsi="arial" w:cs="arial"/>
          <w:i/>
          <w:color w:val="000000"/>
          <w:sz w:val="20"/>
          <w:lang w:val="en-US" w:eastAsia="en-US" w:bidi="ar-SA"/>
        </w:rPr>
        <w:t>Canadian Lodging Outlook,</w:t>
      </w:r>
      <w:r>
        <w:rPr>
          <w:rFonts w:ascii="arial" w:eastAsia="arial" w:hAnsi="arial" w:cs="arial"/>
          <w:color w:val="000000"/>
          <w:sz w:val="20"/>
          <w:lang w:val="en-US" w:eastAsia="en-US" w:bidi="ar-SA"/>
        </w:rPr>
        <w:t xml:space="preserve"> a monthly publication that provides occupancy and ADR statistics for all major Canadian cities. The data for the publication is obtained from an organization known as Smith Travel Research ("STR") based in the United States. STR compiles occupancy and ADR information on a daily, weekly, and monthly basis for all hotels in North America. It obtains its data directly from the hotel chains.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the time she was contacted by Murray, MacDonald was familiar with the Richmond hotel market. She had recently prepared valuations and feasibility studies for a number of hotels in the area. She also had some experience with the Hilton brand, having conducted a feasibility study in 1996 for a Hilton hotel in Houston, Texas.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MacDonald knew of Lalji and his companies through conferences and meetings in the industry, but had not been retained by Larco to do any work. She knew that Larco was developing the Marriott in Richmond, and that PKF had done the feasibility study for that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Lalji testified that he wanted to meet with MacDonald to determine her familiarity with the Richmond market and the Hilton brand, and her views on the strength of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MacDonald and an associate, Namit Malhotra ("Malhotra"), attended a meeting at the office of the Larco Group at Park Royal in West Vancouver in the first week of August 1997. Present at the meeting for Larco was Lalji, Murray, and another member of senior management, Wink Andres. Murray told MacDonald about the proposed development of a 237-room Hilton hotel next to the Best Western Richmond Inn on Westminster Highway. He described the various amenities planned for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MacDonald expressed her view that the Richmond hotel market remained strong despite anticipated new supply. She also expressed her enthusiasm for the Hilton brand, having obtained information about the brand during her appraisal of the Houston Hilton the year before. She said the Hilton was a well-recognized hotel chain with a lengthy history in eastern Canada. MacDonald was familiar with the Hilton properties in Toronto, Montreal, and London. She thought a Hilton would do well in western Canada due to its strong reservation system and generous loyalty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was no discussion about the PKF rate projections at the meeting with Larco. MacDonald testified that she assumed Larco had received advice from PKF about the proposed Hilton and was not satisfied with that advice. She assumed Lalji was seeking a second opinion from HVS as a result. However, neither Lalji nor Murray expressed a view as to what projections they hoped to obtain, nor did either provide HVS with PKF's projections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Following the first meeting, all communications about the Hilton project were between Murray and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HVS Report concerning the Hilton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Murray indicated to HVS that Larco wanted the work done as soon as possible. On August 11, 1997, MacDonald sent Murray a proposal concerning the feasibility study, which would be provided to Larco in phases. Phase one involved field work and the gathering of information from a variety of sources. In phase two, based on the data gathered during phase one, a supply and demand market analysis would be prepared with respect to the proposed Hilton, including projected occupancy and ADR. Phase three involved the projection of income and expenses, and conclusions concerning feasibility of the project. The final phase involved the preparation of a full written report. The total cost of the first two phases was $6,000. The cost of phase three was $6,000, and phase four,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MacDonald agreed to provide the results of phases one and two, which essentially entailed a summary of conclusions as to projected occupancy and room rates, by August 26, 1997. Malhotra was assigned to perform the research and summary of projections because MacDonald was scheduled to leave Vancouver for a two-week vacation on the east coast for the last two weeks of August.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HVS had recently performed an appraisal for the Delta Pacific Resort and feasibility studies for a new Holiday Inn and proposed Marriott Courtyard Inn in Richmond. MacDonald directed Malhotra to review those reports and other in-house data, as well as perform field work with respect to proposed new hotels and the "competitive set", that is, existing hotels expected to compete directly with the proposed Hilton. She discussed with Malhotra the hotels that would likely be included in the competitive set. They agreed that the hotels most likely to compete directly with a full-service Hilton were the Delta Airport, the Delta Pacific Resort, the Best Western Richmond Inn, the Radisson, and the newly-opened Holiday Inn. They decided those hotels were competitive based on the quality of their facilities, their location, comparable room rates, the amenities offered, and the type of guest typically seeking accommodation at such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MacDonald did not discuss with Malhotra, before she left on vacation, any possible conclusions that might be reached with respect to projected occupancy rates for the Hilton. MacDonald intended to oversee Malhotra's work while on vacation, which is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Malhotra conducted interviews with the managers of the hotels in the competitive set to determine their current occupancy and room rates. He spoke with municipal officials about planned and proposed new hotel developments to determine the magnitude of the new room supply anticipated to enter the market. He reviewed the other reports recently prepared by HVS and other in-house data and resources. From time to time, Malhotra couriered packages to MacDonald containing the data and his conclusions based on the data. They had telephone conferences to discuss the packages.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By August 25, Malhotra had completed a draft forecast concerning occupancy rates for the market, and those for the proposed Hilton, based on a supply and demand analysis. "Supply" refers to the number and characteristics of the hotels, and "demand" is the number of travellers seeking accommodation in the area. After identifying the existing and proposed supply of hotel rooms, Malhotra analyzed demand by dividing the overall market into segments based on the nature of travellers present in the Richmond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Market segmentation, as it is known, is a method of analysis used by some, but not all, hotel consultants. HVS typically used market segmentation to analyze demand in its feasibility studies. It identified four primary segments in the Richmond area: commercial, tour and leisure, group, and airline crews. Market segmentation was thought to be useful in the prediction of demand because individual segments have their own characteristics in terms of growth potential, seasonal demand, average length of stay, facility or amenity requirements, price sensitivity, and other such factors. After estimating the historical demand generated by each segment, the consultant predicts future demand. The potential for market penetration by the proposed hotel was forecast on the basis of the characteristics of each segment.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HVS also projected room demand based on estimates of "unaccommodated" and "induced" demand. Unaccommodated demand refers to the estimated number of travellers unable to find appropriate hotel accommodations in the location of their choice and who must therefore look elsewhere. Typically, this occurs during the peak tourist seasons. A new hotel may absorb the excess demand in its own market and displace demand from nearby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Induced demand refers to the additional room nights that are expected to be generated following the introduction of a new convention centre or business complex, or the addition of a new hotel with a distinct brand affiliation or unique facilities. For example, major hotel chains may induce demand through their marketing efforts and nation-wide reservation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After reviewing other recent HVS reports and data, Malhotra estimated overall unaccommodated demand in the proposed Hilton's market area at approximately 22%, based in part on the high occupancy rates reported by STR in the Vancouver and Richmond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Malhotra was of the view that six new hotels would likely open in Richmond between 1998 and 2000 that would compete directly with the Hilton. While these hotels would impact significantly on room supply, Malhotra was of the view that they would also serve to induce demand in the area. Overall, Malhotra projected that the 1997 market-wide occupancy of 84% would drop to 65% by 1999 due to the impending increase in room supply, and increase gradually over the following years to an occupancy rate of 75% by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Malhotra assumed that each new hotel would be able to generate, on average, 25% of its own demand when operating with a stabilized occupancy level of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For the Hilton, Malhotra projected an occupancy rate of 67% in 1999 (the first year of operation), increasing to 72% in 2000, 76% in 2001, and 80% in 2002. Thereafter occupancy would continue to increase slightly through 2003 and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Using the same methodology as that used to forecast stabilized occupancy for the Hilton, HVS had previously prepared reports which set stabilized occupancy rates at 80% for two other proposed hotels in the Richmond airport market: the Marriott Courtyard and the Holiday Inn Airport. The first of those reports was prepared in February 1997, the second in May 1997. Malhotra had access to those reports when preparing the rate projections for the Hilton.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 respect to ADR, Malhotra projected an average rate of $125.00 for the Hilton in 1997 dollars. He did so on the basis that the Radisson's average room rate was $119. The Radisson would be several years older than the Hilton by the time of the Hilton's opening. The Hilton rooms would be predominantly suites, whereas the Radisson had a small proportion of suites. Malhotra was of the view that the Hilton could command a $6 premium over the Radisson. Using an inflation rate of 2.5%, the projected ADR for 1999, the year of the hotel's opening, was $131.25, increasing by 2.5% each year as a result of inflation to $144.88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Malhotra reviewed his August 25 projections with MacDonald, who was still on vacation, by telephone. He then faxed them to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Malhotra then began drafting the first two phases of the report. Upon her return, MacDonald reviewed Malhotra's work. She revised Malhotra's 1999 occupancy projection for the Hilton upward from 67% to 72%, but did not revise any other aspect of the draft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September 2, 1997, following MacDonald's return, HVS forwarded to Murray a draft report incorporating the occupancy and ADR projections and their underlying rationale. The draft did not include overall financial projections, which were to be the subject of the next phase of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Although the HVS projections were more optimistic than those of PKF, Murray was not happy with them. On September 4, 1997 Murray faxed a letter to MacDonald and Malhotra expressing his disagreement with several aspects of the draft. With respect to occupancy, Murray was critical of the penetration rate projected by HVS for the Hilton by market segment, particularly with respect to the penetration in commercial and group segments. His most vigorous disagreement concerned the group segment. HVS had projected penetration in the group segment at 90% in 1999, increasing to 100% by 2001. Murray expressed the view that penetration in the group segment should be placed at 140% in 1999, increasing to 180% by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Murray was also critical of the overall penetration projections. On that issue, he wrote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analysis has provided for an overall penetration of 102%, 106%, 109%, and 112% in years 1 to 4 respectively. This is much too low given the fact that the Radisson is currently running at a 115% overall penetration factor.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Hilton will be a superior hotel with a superior location with superior rooms. The Hilton penetration should be in the 110% range in year 1 building to a 120% figure in year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 respect to the projected ADR, Murray's comments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 rate of $125 is too low. In comparison to the Radisson, which is an inferior brand, room layout, quality level of property, and location to the Hilton, the Hilton rate should be higher. Currently the Radisson suites have a premium of $15 over the rooms (Sept. '97 room is $155/night, suite is $170/night). You should contact the Radisson to confirm this, I telephoned them this morning for rates and they confirmed the suite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Murray went on to say that based on the Radisson room rates, the Hilton's ADR ought to be set at $140 for 1999, increasing to $154 by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Murray was also critical of the decision by HVS to give the Hilton only a 5% premium over the market, which he felt was too low in light of the Hilton brand, the size of the suites and the location of the property. He invited MacDonald and Malhotra to review his comments and revise the report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Murray's letter was not well-received by MacDonald. She sent her response by fax within an hour or so of receiving Murray's letter, stating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in receipt of your fax of today's date. We have reviewed your comments, but our research and analysis does not support your opinions. Our report stands.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Upon receiving MacDonald's letter, Murray contacted Malhotra by telephone and discussed the draft report with him. Malhotra agreed to do some further research concerning the issue of a premium for the number of suites the Hilton would contain. He acknowledged that the Radisson had a significantly smaller proportion of suites than the Hilton. The draft report of September 2 had made no mention of large proportion of suites in the Hilton. Malhotra also acknowledged that HVS had not given sufficient weight to the Hilton brand and the fact that the Radisson would be five years older than the Hilton.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Malhotra conducted some further research concerning the issue of a premium for the large proportion of suites at the Hilton, and the strength of the Hilton brand over the Radisson brand. MacDonald agreed that the Hilton was a better quality brand than the Radisson, having appraised hotels of both brands.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Ultimately, HVS concluded that it could adjust the ADR for the Hilton upward by $2. MacDonald's evidence on the matter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Hilton was going to be, as I said before, 73 percent either suites or junior suites. The Radisson only had 39 suites at 25 percent. So we went back and did a STR run in the United States and compared all-suite hotels to full-service hotels in terms of occupancy and average room rate. And what we found in 1996 is the average room rate for all-suite hotels was approximately $20 higher than the average for full-service hotels. And in 1997 the average room rate was approximately $23 higher than for full-service hotels. Plus there was a premium in occupancy of four to five occupancy points. So we looked at the market and our full-service hotels in 1997 had an average room rate of $108.94. A $20 premium would have put it at $128 or $129. But we knew we weren't 100 percent suites. So we adjusted it down slightly and we came up with $127.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(Transcript, January 22, 2007, p.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only other modification MacDonald was prepared to make concerned the Hilton's market penetration in the group segment. She adjusted the penetration upward by 5%, increasing the projection from 90% to 95% in 1999. In her evidence at trial, she explained the basis for the adjustment: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looked at where all the competitive hotels were, that we had put the Hilton at one of the lowest penetrations of all the competitive hotels. And I knew that the Hilton could penetrate this market better than that. So based on my professional judgment, I upped it from 90 to 95, but I did not go up the 50 points that Mr. Murray wanted. I just didn't think it should be one of the lowest of the competitive sets, because it was a Hilton.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(Transcript, January 23, 2007, p.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her examination for discovery, MacDonald said she made the upward adjustment because she knew Hilton would be strong in the group segment. However, she also accepted counsel's suggestion that she was appeasing the client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5% upward adjustment in group penetration had no impact on the projected occupancy rates originally stated in the draft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September 16, 1997 Malhotra forwarded to Murray a copy of the new ADR projections and a month-by-month analysis of both ADR and occupancy. The $2 upward adjustment resulted in a projected ADR of $133.35 for 1999 (using an inflationary rate of 2.5%). Any increases thereafter were based solely on the 2.5% inflationary rate. In the cover memo, Malhotra explained that the increase in ADR to $127 was based on the Hilton brand name and the large proportion of suites in the hotel. The occupancy rates remained as originally projected. Malhotra inquired as to whether HVS should proceed with the financial projections for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Although Murray was not happy with what he regarded as minor adjustments to the forecast, he instructed HVS to draft the financial projections for the Hilton. Over the next month, communications between Murray and HVS concerned projected expense and revenue information. HVS used a different format for fixed expenses than PKF, and Murray preferred the PKF format. On October 24, 1997 Murray faxed HVS one page of the PKF Marriott projections to HVS, which contained the statement of revenue and expenses. This was the first time HVS had seen the PKF projections for the Marriott. HVS preferred its own fixed expense format, which Murray ultimately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forecast of projected revenues and expenses prepared by Malhotra were based on expense ratios and data from two comparable area hotels (the Sheraton Guilford in Surrey and the Delta Pacific Resort in Richmond) and PKF hotel publications.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were further communications about strata and lease fees and other expenses. The Hilton's opening date was moved from January 1 to July 1, 1999, which required further modifications to the projections. HVS finalized its report in late December 1997. By cover letter dated January 5, 1998 HVS forwarded its final report (the "HVS Report") to Murray. The January letter states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conclusions reached in this report are based upon our present knowledge of the lodging market in the competitive area as of the completion of our fieldwork on August 19,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in all studies of this type, the estimated results are based upon competent and efficient management and presume no significant change in the competitive position of the hotel industry in the immediate area from that set forth in the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projected occupancy and average room rate results for the proposed subject hotel are based on estimates and assumptions which are subject to uncertainty and variation, we do not represent them as results that will actually be achieved.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report has been prepared primarily for your use and guidance in determining the potential of the project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order to project market-wide occupancy levels, HVS took into account the five existing hotels in the competitive set, and the six additional hotels that were either known to be entering the market by 2000 or were likely to do so. The new hotels were the Holiday Inn, the Marriott, the Executive Inn, the Sheraton Four Points, the Courtyard Marriott, and the CP Hotel to be located at the airport. These hotels would add an additional 111 rooms in 1997, 876 rooms in 1998, and 518 rooms in 2000. In total, it was estimated that 1505 rooms would enter the market by 2000, almost doubling the 1538 rooms existing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Market-wide occupancy was 87.1% in 1996 and 84% for 1997 up to mid-August. ADR in 1996 was $98.83 (up significantly from $86.96 in 1995) and $108.94 in 1997 up to mid-August. While the overall market occupancy declined 4% between 1996 and 1997, RevPar was higher as a result of the significantly higher average room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a result of the additional rooms entering the market, HVS forecast a decline in market-wide occupancy to 74% in 1999, a further decline to 67% in 2000, increasing gradually to 75% by 2005. The projected 19% decline in occupancy between 1998 and 2000 was significant. Malhotra described it as a "major metamorphosis" in the market. However, he and MacDonald expressed the view that the overall demand for rooms in Richmond would continue to grow, thus gradually absorbing much of the new room supply. In addition, they thought the new hotels, all well-recognized brands, would generate 25% of their own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HVS predicted the Hilton's market share and occupancy levels on the basis of the hotel's anticipated competitive position within the market. The forecast concerning the hotel's penetration was based on its projected penetration in each of the four market segments. HVS predicted that the Hilton, in light of its brand affiliation, would attract substantially more than its market share in the commercial segment (135% by 2003) and leisure/tour segment (125% by 2003). Based on the 6,000 square feet of meeting space in the hotel, HVS estimated that the Hilton would achieve its fair market share in the group segment, but not more. Because the hotel would focus on commercial and leisure travellers, HVS predicted that the hotel would never achieve its fair market share in the airline segment, and forecast significantly less than fair market share in that segment (55% by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the strength of that market penetration, HVS forecast occupancy rates of 72% in 1999/00 and 2000/01, 76% in 2001/02, reaching a stabilized rate of 80% in 2002/03. The 80% stabilized occupancy rate was central to the conclusions reached by HVS concerning the Hilton's performance in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concept of stabilized occupancy is described in the HVS Report at pp. 4 - 5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stabilized occupancy is intended to reflect the anticipated results of the property over its remaining economic life, given any and all changes in the life cycle of the hotel. Thus, the stabilized occupancy excludes from consideration any abnormal relationship between supply and demand, as well as any non-recurring conditions that may result in unusually high or low occupancies. Although the proposed hotel may operate at occupancies above this level, we believe it is equally possible for new competition and temporary economic downturns to force the occupancy below this selected point of 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MacDonald testified that "stabilized occupancy" as the term was used in the HVS Report, despite the language used, did not actually mean occupancy stabilized over the entire economic life of the hotel. Rather, it meant occupancy stabilized over the projection period which in this case was five years. MacDonald defended her stabilized occupancy projection on the basis that although she predicted a significant decline in occupancy rates for 1999 and 2000, an 80% stabilization rate by 2002 was reasonable particularly in light of the current occupancy rates of the existing hotels in the competitive set. The two Delta hotels and the Richmond Inn had run occupancies from 79% to 94% in the previous three years despite having twice the number of rooms and lower room quality. Further, none of those three hotels had the benefit of the Hilton brand.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With respect to ADR, the HVS Report set out the 1997 room rate averages for the existing hotels in the competitive set. The ADR for the Delta Pacific Resort was $114, for the Delta Airport, $115, for the Radisson, $119, for the Holiday Inn, $105, and for the Best Western Richmond Inn, $95. The ADR selected for the Hilton is discussed in the HVS Report at p.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this competitive picture, we have estimated that the proposed hotel should be positioned at approximately $127.00, in 1997 dollars. The $127.00 rate is approximately $8.00 higher than the one currently being achieved by the Radisson Hotel &amp; Suites. Our forecast is based on a Hilton chain affiliation, superior location and product, which includes 117 guest suites. We have forecasted average rate growth with inflation, throughout the projection period. We are assuming inflation at 2.5% per year, throughout our projection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 the basis of their ADR figures, RevPar was projected for 1999/00 at $97.15, increasing to $116.25 by 2002/03. HVS projected the net income generated by the Hilton at $3,110,000 for 2000, decreasing to $2,927,000 in 2001, and increasing thereafter to $3,545,000 in 2003 and $3,595,000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VAC retained the accounting firm of KPMG to examine the financial projections contained in the HVS Report. KPMG wrote to HVS on December 19, 1997 to advise that the financial projections would be included in the Hilton Disclosure Statement for the marketing of the Hilton: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been engaged by Larco Enterprises Inc. to examine the financial projection which is to be included in the "Disclosure Statement" for the proposed Vancouver Airport Hilton. Based on our discussions with management of Larco Enterprises Inc. we understand that they intend to use your appraisal report ... as a basis for their financial projection.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KMPG advised HVS that it would conduct its examination and report to Larco in accordance with auditing guidelines. It also advised HVS that while it would not mention HVS in its final report, Larco may refer to the HVS Report in the notes to the financial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Murray testified that VAC had anticipated marketing the Hilton with a guaranteed rate of return, as it had done with the Marriott, but was advised by Larco's securities solicitor that, due to securities regulations which had come into force since the Marriott Disclosure Statement was issued, the Hilton Disclosure Statement could not contain any reference to a guarantee. Instead, VAC decided to market the Hilton on the basis of the projections in the HVS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Lalji, in his evidence at trial, made no mention of any initial intention to provide a guaranteed rate of return to investors. He did not refer at all to a guarantee. Lalji's view was that VAC had "undersold" the Marriott.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Lalji testified that in his view, the projections of PKF and HVS were both reasonable. However, VAC marketed the Hilton on the basis of the more favourable HVS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VAC issued the Hilton Disclosure Statement for the Hilton on February 3, 1998 in compliance with Part 2 of the </w:t>
      </w:r>
      <w:r>
        <w:rPr>
          <w:rFonts w:ascii="arial" w:eastAsia="arial" w:hAnsi="arial" w:cs="arial"/>
          <w:b/>
          <w:i/>
          <w:color w:val="000000"/>
          <w:sz w:val="20"/>
          <w:lang w:val="en-US" w:eastAsia="en-US" w:bidi="ar-SA"/>
        </w:rPr>
        <w:t>Real Estate Act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The Hilton Disclosure Statement incorporated the financial projections audited by KPMG (entitled Auditor's Report on Financial Projection, Exhibit "K" to the Hilton Disclosure Statement) and appended extracts from the HVS Report (the "Conclusions" section, Exhibit "L" to the Hilton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Hilton Disclosure Statement: Financial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VAC's representations concerning the financial projections of management are set out at Article 4.14 of the Hilton Disclosure Statement. Article 4.14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4.14 Financial Projections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Annexed to this Disclosure Statement as Exhibit K are financial projections of management audited by KPMG, which are incorporated by reference herein. The reader is cautioned that some of the assumptions and hypotheses used in the preparation of the financial projections, although considered reasonable by the Developer, may prove to be incorrect. The actual results achieved will vary and the variations may be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Exhibit K consists of KPMG's statements of projected net income and annual cash return to individual investors for the years 2000 to 2004 inclusive, using certain identified hypotheses. As noted in KPMG's cover letter to their auditor's report, the hypotheses on which financial projections are based need not be supported. That is, evidence need not be provided to substantiate the hypotheses. Therefore, KPMG's role was limited to evaluating whether the hypotheses stated in the financial projections were consistent with the purpose of the projection. Note #2 of exhibit K stated the purpose of the financial projections as being "to provide selected information to prospective investors in strata lots offered for sale by the Developer pursuant to the offering memorandum and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KPMG's cover letter commented on the hypotheses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opinion:</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hypotheses are consistent with the purpose of this projection;</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at the date of this report, the other assumptions developed by management are suitably supported and consistent with the plans of management and provide a reasonable basis for the projection, given the hypotheses;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projection reflects the hypotheses and the other assumptions; and</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financial projection complies with the presentation and disclosure standards for projections established by the Canadian Institute of Chartered Accountants.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this projection is based on assumptions regarding future events, actual results will vary from the information presented even if the hypotheses occur, and the variations may be material. Accordingly, we express no opinion as to whether this projection will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Using the financial projections in the HVS Report, KMPG calculated the projected rate of annual cash return to strata unit owners based on the type of unit, purchase price, down payment, and mortgage rates. Note #7 to Exhibit K stated that the annual cash return was calculated based on each investor making a down payment of 30% on the unit purchase price and obtaining a mortgage for the balance at a rate of 6.1% per annum, compounded annually, with a twenty-year amortization period. The rate of annual cash return was calculated by dividing the annual cash return by the down payment portion of the purchase price. The five-year average gross return for each unit was calculated at 16.6%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Note #1 to Exhibit K provides as follows: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accompanying financial projection (the "Projection") of the Vancouver Airport Hilton Strata Lots (the "Hotel Strata Lots") has been prepared in accordance with National Policy Statement No. 48 and on the basis of the following assumptions and hypotheses provided by the management of Vancouver Airport Centre Ltd. (the "Developer"). These assumptions and hypotheses were derived in consultation with MM&amp;R Valuation Services Inc. (which does business as HVS International - Canada), an independent consulting company with experience in the hotel industry. To the best of the Developer's knowledge and belief, the Projection reflects plausible results of operation and net income and Annual Cash Return to sample individual strata lot owners for the period covered by the Projection.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Projection has been prepared by management as at February 3, 1998 using assumptions that reflect management's intended course of action at that date for the period covered, given management's judgment as to the most probable set of economic conditions. In addition, the Projection has been prepared using hypotheses which are assumptions that are consistent with the purposes of the information presented and with the Developer's planned courses of action and represent plausible circumstances. The assumptions and hypotheses disclosed herein are those that management believes are the most significant to the Projection.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considered reasonable at the time of the Projection's preparation, some assumptions inevitably will not materialize and unanticipated events and circumstances will occur subsequent to the date of the Projection. In addition, the Projection is based on hypotheses and there is a significant risk that actual results will vary, perhaps materially, from the results projected. Accordingly, there is absolutely no representation that the Projection will be realized in whole or in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Developer does not intend to update this Projection subsequent to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assumptions referred to in Note #1 are described in Note #4 of Exhibit K. Paragraph (a) of Note #4 refers to the assumption that VAC would construct and operate a hotel that would begin operation July 1, 1999. Paragraph (b) assumed that VAC would sell the 237 strata lots by June 30, 1998, all to be included in the rental pool. Paragraph (d) states,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Projection assumes the continuation of the present market and general economic conditions in the geographic market in which the Hotel Strata Lots will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hypotheses referred to in Note #1 are set out in Note #5 of Exhibit K. The first hypothesis concerns room revenue: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Hypotheses: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Room revenue: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Room revenue for the year ending June 30, 2000 is based on historical hotel occupancy levels and average daily room rates adjusted for growth expectations as outlined below. The hypotheses were derived by management in consultation with MM&amp;R Valuation Services, Inc. The following table summarizes the hypotheses used in projecting future room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3"/>
        <w:gridCol w:w="1046"/>
        <w:gridCol w:w="1359"/>
        <w:gridCol w:w="1255"/>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2002</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2003 2004</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Hotel occupancy rate</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72%</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72%</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76%</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 80%</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Average daily room rate</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$134.94</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$138.31</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$141.77</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$145.31 $148.94</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Hotel occupancy rates are based on the expected average occupancy rates for similar hotels in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average daily room rates are based on an analysis of the comparable hotels' actual average room rates in 1996, adjusted for monthly seasonality, inflation and projected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remaining hypotheses (5.(b) through (i)) concern other revenues such as food and beverage and telecommunication revenues, and expenses such as management fees, franchise fees, property taxes, strata fees, and replacement reserve for furniture and fixtures.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projected returns were subject to other cautionary statements in the Hilton Disclosure Statement, including the proviso that additional contributions by investors could be necessary. Article 4.4(b) of the Hilton Disclosure Statement states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the Hotel asset Management Agreement, each Hotel Strata Lot owner is entitled to the owner's Proportionate Revenue Share of Monies Available for Distribution and is responsible for the owner's Proportionate Expense Share of Hotel Expenses.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 The net cash return to an owner will depend on the results of operations as well as the amount required to be held back as a reserve against future expenses and the amount required to be deducted and remitted for value-added and withholding taxes. If the revenue generated from the rental Pool is less than the cost of operating the Rental Pool, then each owner of a Hotel Strata Lot will have to make additional contributions over and above the owner's initial investment and financing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Under the heading "Risk Factors" at Article 4.9, the Hilton Disclosure Statement discloses a series of risks, including the general risk associated with a speculative investment in real estate, economic factors, competition within the hotel market, and the possibility of additional contributions required by investors: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w:t>
      </w:r>
      <w:r>
        <w:rPr>
          <w:rFonts w:ascii="arial" w:eastAsia="arial" w:hAnsi="arial" w:cs="arial"/>
          <w:b/>
          <w:color w:val="000000"/>
          <w:sz w:val="20"/>
          <w:lang w:val="en-US" w:eastAsia="en-US" w:bidi="ar-SA"/>
        </w:rPr>
        <w:t>Risk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real estate investment is, by its nature, speculative. If a purchaser is purchasing the real estate as an investment, the purchaser should be aware that this investment has not only the usual risks when purchasing real estate, but also those risks that are inherent to the nature of real estate securities. The following factors make an investment in this offering a risk or speculation:</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Real Estate Generally.</w:t>
      </w:r>
      <w:r>
        <w:rPr>
          <w:rFonts w:ascii="arial" w:eastAsia="arial" w:hAnsi="arial" w:cs="arial"/>
          <w:color w:val="000000"/>
          <w:sz w:val="20"/>
          <w:lang w:val="en-US" w:eastAsia="en-US" w:bidi="ar-SA"/>
        </w:rPr>
        <w:t xml:space="preserve"> An investment in real estate involves certain inherent risks, including economic factors, whether on a global, national, or local level. Some of these factors include the relative performance of the investment, general demand for the investment, the economic performance of Canada, British Columbia and the local market, the value of the Canadian dollar, inflation and interest rates and the relative liquidity of the investment, which in this case is affected by the Rental Pool. There is no assurance that there will be a market for resale.</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Competition.</w:t>
      </w:r>
      <w:r>
        <w:rPr>
          <w:rFonts w:ascii="arial" w:eastAsia="arial" w:hAnsi="arial" w:cs="arial"/>
          <w:color w:val="000000"/>
          <w:sz w:val="20"/>
          <w:lang w:val="en-US" w:eastAsia="en-US" w:bidi="ar-SA"/>
        </w:rPr>
        <w:t xml:space="preserve"> The business of operating a hotel is competitive. To the extent that there are more hotel rooms available in a particular market than there is demand for those rooms, then both occupancy and room rental rates may be adversely effected. There are other hotels which are planned for the Richmond and Vancouver markets.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Additional Contributions. If the revenue generated from the Rental Pool is less than the costs of operating the Rental Pool, then the purchaser will have to make additional contributions over and above the purchaser's initial investment and financing costs.</w:t>
      </w:r>
      <w:r>
        <w:rPr>
          <w:rFonts w:ascii="arial" w:eastAsia="arial" w:hAnsi="arial" w:cs="arial"/>
          <w:color w:val="000000"/>
          <w:sz w:val="20"/>
          <w:lang w:val="en-US" w:eastAsia="en-US" w:bidi="ar-SA"/>
        </w:rPr>
        <w:t xml:space="preserve"> There is no assurance that the hotel will generate sufficient revenues to cover expenses. The net cash return to a purchaser will depend not only on the results of operations but also on the amounts to be deducted for strata fees, repayment of pre-opening costs, reserves, real estate, income and withholding taxes, debt service payments and other like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Each investor was required to, and did, sign a copy of Exhibit "I" to the Hilton Disclosure Statement, Form 20A under the </w:t>
      </w:r>
      <w:r>
        <w:rPr>
          <w:rFonts w:ascii="arial" w:eastAsia="arial" w:hAnsi="arial" w:cs="arial"/>
          <w:b/>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which states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 acknowledge that:</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securities commission or similar regulatory authority has reviewed or passed on the merits of the Securities, AND</w:t>
      </w:r>
    </w:p>
    <w:p>
      <w:pPr>
        <w:numPr>
          <w:numId w:val="5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government or other insurance covering the Securities, AND</w:t>
      </w:r>
    </w:p>
    <w:p>
      <w:pPr>
        <w:numPr>
          <w:numId w:val="5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 may lose all of my investment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Hilton Disclosure Statement: Conflict of Interest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Hilton Disclosure Statement describes VAC's role as developer of the property as follows in Article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Developer [VAC] acquired title to the Parent Property in 1989 and is currently developing the Vancouver Airport Marriott on the Parent Parcel. The Developer is a subsidiary of Larco Investments Ltd. ... Larco Investments Ltd. and its affiliates or companies owned or controlled by the shareholders of Larco Investments Ltd. (collectively, the "Larco Group") have experience in developing, owning and operating a variety of hotels, both in the Greater Vancouver area, Whistler, other provinces in Canada and in the United States for the last 25 years. A selected list of such hotels is set out below: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Richmond Inn.</w:t>
      </w:r>
      <w:r>
        <w:rPr>
          <w:rFonts w:ascii="arial" w:eastAsia="arial" w:hAnsi="arial" w:cs="arial"/>
          <w:color w:val="000000"/>
          <w:sz w:val="20"/>
          <w:lang w:val="en-US" w:eastAsia="en-US" w:bidi="ar-SA"/>
        </w:rPr>
        <w:t xml:space="preserve"> The Larco Group acquired this 400 room hotel, located immediately adjacent to the Development, from BCED Developments Ltd. on February 21, 1990. The hotel is managed and operated in affiliation with the Best Western system.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Vancouver Airport Marriott.</w:t>
      </w:r>
      <w:r>
        <w:rPr>
          <w:rFonts w:ascii="arial" w:eastAsia="arial" w:hAnsi="arial" w:cs="arial"/>
          <w:color w:val="000000"/>
          <w:sz w:val="20"/>
          <w:lang w:val="en-US" w:eastAsia="en-US" w:bidi="ar-SA"/>
        </w:rPr>
        <w:t xml:space="preserve"> The Developer is currently developing the Vancouver Airport Marriott, a 237 room full service hotel, on the Parent Property. The Vancouver Airport Marriott is scheduled for completion in or about June of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HMS is a Canadian company, headquartered in West Vancouver, British Columbia, which provides hotel management services. HMS is 100% owned by an affiliate of the Developer. HMS is not related to Hilton or any of its affiliates.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Article 4.7(b) of Hilton Disclosure Statement disclosed that HMS, the wholly owned affiliate of VAC, would be operating the Hotel:</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Hotel Management Agreement.</w:t>
      </w:r>
      <w:r>
        <w:rPr>
          <w:rFonts w:ascii="arial" w:eastAsia="arial" w:hAnsi="arial" w:cs="arial"/>
          <w:color w:val="000000"/>
          <w:sz w:val="20"/>
          <w:lang w:val="en-US" w:eastAsia="en-US" w:bidi="ar-SA"/>
        </w:rPr>
        <w:t xml:space="preserve"> The Developer, in its capacity as Asset Manager under the Hotel asset Management Agreement, will enter into a management agreement (the "Management Agreement") with HMS. Pursuant to the terms of the Management Agreement, HMS will be responsible for the day to day management and operation of the Hotel.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Hilton Disclosure Statement made further disclosure concerning VAC's role as developer of the Marriott as follows in Article 4.9(i):</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Liabilities and Obligations of the Developer.</w:t>
      </w:r>
      <w:r>
        <w:rPr>
          <w:rFonts w:ascii="arial" w:eastAsia="arial" w:hAnsi="arial" w:cs="arial"/>
          <w:color w:val="000000"/>
          <w:sz w:val="20"/>
          <w:lang w:val="en-US" w:eastAsia="en-US" w:bidi="ar-SA"/>
        </w:rPr>
        <w:t xml:space="preserve"> The developer is currently developing the Vancouver Airport Marriott, a 237 room full service hotel, on the Parent Property. The Vancouver Airport Marriott is scheduled for completion in or about June of 1998. In this regard, the Developer has entered into purchase agreements, ancillary documents similar in form and substance to the Agreements, and certain additional agreements with purchasers of strata lots comprising the Vancouver Airport Marriott, all of which give rise to certain liabilities and obligations of the Developer which could impact upon its ability to perform its obligations under the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"Agreements" referenced in Article 4.9(i) are defined in Article 4.1(a) as follows:</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"Agreements" mean the Bylaws, the Hotel Asset Management Agreement [HAMA], the Hotel Use Covenant, the Joinder in Covenant Agreement and the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Article 4.4 of the Hilton Disclosure Statement, entitled "Description of the Agreements", describes the general elements of each of the documents, but cautions the prospective investor to read the documents in full. Article 4.4(b) describes the basic features of the Hilton HAMA. In essence, the HAMA provides that VAC, as the "Asset Manager" under the HAMA, is exclusively responsible for the management of the hotel for the first 20 years of the hotel's operation. It also provides that all costs and expenses relating to the management and operation of the hotel are to be borne by the owners of the strata units. Each unit owner is entitled to his or her proportionate revenue share of monies available for distribution (that is, the net revenues actually received from the operation of the hotel after deduction of all expenses) and for his or her proportionate share of hotel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One of the expenses identified in Article 4.4(b) of the Hilton Disclosure Statement is a fee payable to VAC as the Asset Manager, an expense in addition to all other hotel expenses. The Asset Manager is entitled to 3% of the "Gross Rental Revenue" (a defined term). Article 4.4(b) explains that part of the fee will be paid by the Asset Manager to a Hotel Manager appointed by the Asset Manager, and part will be paid to the Asset Manager for general management of the "Hotel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Hilton Disclosure Statement does not disclose that under Article 4.3(b) of the Marriott Disclosure Statement, VAC is entitled to 5% of the gross rental revenue as the Asset Manager of the Marriott as well as an incentive management fee payable for successful Marriott results, as compared to the 3% flat management fee under the Hilton Disclosure Statement. Nor does the Hilton Disclosure Statement disclose that under the Marriott Disclosure Statement, VAC provided Marriott unit owners with a guarantee of a 12% annual return on their investment for 5 years. The 5-year average annual return of 16.6% projected for the Hilton unit owners was not a guaranteed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While the Hilton Disclosure Statement disclosed that HMS would be managing the Hilton, it did not disclose the identity of the party managing the Marriott or the Richmond Inn.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Hilton Disclosure Statement contains the following representation concerning conflicts of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4.11 Conflicts of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developer is not aware of any existing or potential conflicts of interest among the Developer, the directors and officers of the Developer, Larco Investments Ltd. as the shareholder of the Developer or those persons providing professional services to the Developer that could reasonably be expected to materially affect the purchaser's investment decision.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Hilton HAMA sets out the rights and responsibilities of VAC as the Asset Manager. Article 4.1 of the HAMA states,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Asset Manager is authorized to operate, maintain, manage and rent the Hotel Strata Lots and, in so doing, the Asset Manager agrees that it will:</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commercially reasonable efforts to rent the Hotel Strata Lots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to the extent that such actions are commercially reasonable, maximize each Owner's Proportionate Share of Monies Available for Distribution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operate, supervise, manage, maintain, control and rent the Hotel Premises, in such manner as would a prudent manager of a rental condominium hotel similar to the [Hilton];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faithfully perform its duties and responsibilities hereunder and to otherwise use reasonable commercial efforts to supervise and direct the operation of the Hotel Premises in an efficient and profitable manner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 and implement sales, advertising, personnel, employment, training, purchasing and maintenance programs consistent with the provisions of this Agreement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Hilton was marketed by the same realty company that marketed the Marriott, but under its new name Maverick Realty. Marketing began in March 1998, but was not concluded as quickly or successfully as for the Marriott. By late July 1998, 24 of the 237 units were unsold. At some point, VAC decided to retain the last 24 units rather than continue to incur the significant marketing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representative plaintiff, Sharbern, is a company incorporated as an investment vehicle by Robert Wood and Arend Hofman. Hofman attended a sales event on February 17, 1998 and paid a $1,500 deposit to reserve a unit. On March 17, 1998 he signed an interim agreement for the purchase of strata lot 157. The purchase price was $155,750, and was 70% financed by a mortgage as contemplated by the KPMG auditor's report (Hilton Disclosure Statement, Exhibit 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Hofman signed the purchaser's contract on behalf of Competitive Business Advantage Inc., a company owned by him and Wood. Prior to closing, that company assigned its interest under the interim agreement to Sharbern. The two companies have since amalgamated.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Sharbern, like most other Hilton Owners, paid deposits amounting to 25% of the purchase price in stages: 10% within 5 days, another 10% within 90 days, and another 5% within 270 days. Sharbern's purchase closed on June 23,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VAC Correspondence with FICOM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VAC provided the Hilton Disclosure Statement to the Financial Institutions Commission and Ministry of Finance and Corporate Relations ("FICOM"), in February 1998, and an amendment to the Hilton Disclosure Statement in July 1998. On December 16, 1998 FICOM wrote to Sharbern's solicitor, Dennis Parolin, to advise that it had a number of concerns about the offering. One of those concerns was the common management of the Marriott and the Hilton by VAC as Asset Manager for each. On that issue, the FICOM letter states as follows in section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Conflicts of Interest, section 4.12 [4.11], p. 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understand the Asset Manager or the Developer or an affiliate of either will be or is managing the Vancouver Airport Marriott. Does the Developer anticipate or know of a conflict of interest in respect of the operation of adjacent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Parolin responded by letter dated March 24, 1999. In general terms, Parolin expressed his concern that FICOM had failed to respond to the Hilton offering in a timely way, and that the ten month delay had significantly prejudiced VAC: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filed the offering memorandum and offering statement with your office, our client completed its initial marketing activities, entered into unconditional agreements of purchase and sale in respect of the vast majority of the strata lots in this development, completed financing arrangements, and has almost completed the construction of the development. The magnitude of the costs, expenses, effort and time incurred and expended in doing so is self-evident. As such, and particularly in light of the current state of the local real estate market, we are of the view that to retroactively impose or require a different standard of disclosure ... unduly prejudices our client.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With respect to FICOM's inquiry about the existence of a conflict of interest, Parolin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client has advised that it does not know of, or anticipate, any conflict of interest in respect of the operation of adjacent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Operation of the Hotels in the Vancouver Airport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When the Hilton opened in July 1999, the Marriott had already been in operation for a year. VAC had initially subcontracted the operational management of the Marriott to a hotel management company known as DMS Ltd., a subsidiary of Delta Hotels. DMS was at arms length from Larco. DMS managed the Marriott for approximately three months. During that time, the Marriott general manager was an employee of DMS, as were many of the other staff members. However, in mid-1998, Delta Hotels was purchased by Canadian Pacific Hotels Ltd., a competitor of Marriot. Marriott did not want its branded hotel managed by a competitor. Under its franchise agreement, Marriott was entitled to object, and did so by letter dated July 12, 1998. VAC proposed that its affiliate, HMS, replace DMS to manage the Marriott. HMS was already managing the Richmond Inn and was to manage the Hilton upon its opening in 1999. On August 18, 1998 Marriott agreed to management by HMS. Effective September 14, 1998 HMS began managing the Marriott.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Lalji hired Joanne Pfeifer to fill the position of VP Operations for HMS. As the senior management person in HMS, Pfeifer was responsible for the overall management of Larco's hotel management operations across Canada. She had previously worked as a senior executive officer for Delta.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Hilton opened for business on July 1, 1999. As anticipated, the Hilton's day-to-day operations were managed by HMS. The general manager of the Hilton was Tim Mashford, an employee of VAC. He was responsible for hiring all of the Hilton staff, including the sales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HMS hired a new general manager for the Marriott, Jim Nesbitt. He was responsible for the Marriott's day-to-day operations and staff. The general manager of the Richmond Inn was another VAC employee, Ed Jaskula.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three general managers reported to Pfeifer until mid-2000, when Mashford was promoted to the position of Director of Operations, a senior management position in HMS. At that time, the Hilton general manager position was filled by Emily Quiring, who had previously been the hotel's director of operations. Once Mashford became Director of Operations, the general managers of the three hotels in the Vancouver Airport Centre reported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staff members of all three hotels were employees of VAC. Each general manager hired his or her own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Hilton and Marriott are identical hotel towers. Each has 237 rooms, 117 of which are suites or junior suites. Each hotel offers the same amenities - restaurant, bar, indoor pool, and athletic club. Both are considered to be "four diamond" hotels. The two hotels are joined by a shopping concourse. Given their similarities and close proximity, the Hilton and the Marriott compete directly with one other for the same clientele.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Richmond Inn is an older and larger hotel with 400 guest rooms and a great deal of banquet and meeting space (24,000 square feet). It attracts a significant amount of conference business. Unlike the other two hotels, it is not considered to be a luxury hotel; it is a "three diamond hotel", which is reflected in its lower room rates. Historically, the Richmond Inn has attracted much of the lower-rated airline crew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Senior management of HMS decided that the physical proximity of the three hotels was conducive to the sharing of certain resources through ongoing contractual arrangements. The airport shuttle bus services all three hotels. Dry cleaning, hotel laundry, armoured car pick-up, parking patrol, and airline crew transportation are all shared contracts. The hotels share personnel such as the chief engineer, executive housekeeper and payroll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three hotels are regarded by senior management and the general managers as being part of the Larco group of hotels. Larco has a job-posting procedure that is common to all of its hotels across Canada. The general manager of one hotel cannot attempt to hire away employees from another hotel. Job vacancies at each hotel are posted throughout the Larco hotel system such that an employee at one hotel can apply to fill a vacancy at another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With respect to the three Richmond hotels, a general manager of one hotel will share business with the other hotels if he or she is of the view that it is financially advantageous to do so. From time to time, Nesbitt referred to the other two hotels business the Marriott did not have the capacity to accommodate, or did not wish to accommodate due to the lower room rates the client was proposing to pay. In late 1999, for example, Nesbitt approached Cathay Pacific about obtaining its air crew contract. The Marriott did not have the capacity to accommodate all of the air crews, and Nesbitt discussed with Cathay the advantages of contracting with both the Marriott and the Hilton. When Cathay decided that it did not want to deal with two hotels, Nesbitt negotiated on behalf of both the Marriott and the Hilton. As a result, the Hilton obtained half of the Cathay business. On another occasion, Nesbitt used his previous connections with a sport fishing company to obtain business for all three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Pfeifer attempts to ensure that, in most respects, each of the three hotels functions independently on a day-to-day basis. The general managers do not share financial information concerning their hotels with one another. Each manager submits the financial information concerning his or her hotel to senior management of HMS on a monthly basis. Mashford testified that senior management review the financial results with each general manager independently of the others, and that he attends individual budget review meetings at each of the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Each hotel has its own management team and sales staff. The day-to-day marketing and operations have remained separate. Each hotel has its own reservation system which is operated by its respective hotel chain. Hilton, for example, has its own nation-wide and international reservation system, as does Marriott. Each has its own loyalty program. The budget of each hotel is set independently by its general manager in consultation with his or her staff. Allocation of the shared expenses among the hotels is negotiated by each of the hotels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sales and marketing employees at each hotel have identical incentive plans, which are based on the staff obtaining their targeted quotas in the various market segments. The Marriott and Hilton have relied on the national marketing efforts of their franchises (known as "global sales"), but a percentage of some market segments are driven by local sales. Sales staff market their hotels locally in the group traveller segment as well as the corporate individual traveller segment (known as "preferred corporate"). The group segment consists of meetings and conventions, whether social or corporate. The preferred corporate segment consists of individual travellers who travel on business. Up to 60% of the preferred corporate business can be obtained through local sales, with the balance obtained through global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Hotels in the Richmond area have obtained much of their preferred corporate business through a request for proposal ("RFP") process. Individual corporations and associations negotiate with hotels to obtain preferred rates for their employees travelling on business. The corporation may enter into rate agreements with several hotels, leaving it to the individual employee to select one within that group of hotels. The RFP process typically takes place between August and November.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Since 2003, the three hotels have shared the services of a VAC employee known as the Regional Revenue Manager. That employee, who reports directly to VAC senior management, has access to information concerning hotel operations, profit margins, hotel customers, and other related information concerning all three hotels. She chairs sales strategy meetings at each of the three hotels and makes recommendations concerning room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Mashford testified that senior management's oversight of hotel operations includes giving direction as to pricing policies, approving substantial contracts involving significant amounts of money, approving revenue and expense sharing arrangements, reviewing and approving budgets and the strategic positioning of the hotels, and holding the general managers responsible for compliance with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Senior management of HMS is not generally involved in the day-to-day operations of the three hotels. However, the general managers are expected to, and do, seek direction about significant operational matters. For example, Nesbitt sought direction concerning the lowering of room rates at the Marriott when he first took over the position of general manager. The first general manager had decided to open the Marriott in June, 1998, without lower introductory room rates. He was apparently confident that the new hotel would generate interest without offering lower rates. In retrospect, that appeared to have been a mistake. Nesbitt was of the view that if Marriott offered its rooms at a lower rate for a few months, it could attract business that would remain with the hotel thereafter. Pfeifer agreed with Nesbitt's view and permitted him to lower the Marriott room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Nesbitt also sought direction from Pfeifer when Cathay Pacific offered the Marriott additional air crew business. He was uncertain whether he was obligated to share the additional business with the Hilton in light of the earlier arrangement to divide the business equally. Pfeifer directed that the initial equal sharing arrangements governed, such that half of the new business must to go to the Hilton.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Senior management of HMS also formulated a policy concerning the preferred corporate accounts of the Marriott and the Hilton. The policy was the result of a dispute that developed between sales staff at the Marriott and the Hilton. At some point in 2001, it came to the attention of the Marriott sales manager, Ken Boyd, that the Hilton was targeting the Marriott's preferred corporate accounts by undercutting the Marriott room rates. Boyd began hearing from corporate customers that they had been offered a lower rate at the Hilton than that being offered at the Marriott. The customers were inviting Boyd to match the lower price. Boyd was concerned that by offering a similar product for a lower price than Marriott clientele had been accustomed to paying, the Hilton was causing both hotels to lose money. Boyd's view, as expressed in his evidence at trial, was that the practice resulted in "money being left on the table" such that the only benefit was to the customer. Despite discussions between the Marriott and the Hilton staff about the matter, it was not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late 2001, during a meeting to review the 2002 annual budget for the Marriott, Boyd complained to Mashford and Pfeifer that the Hilton sales manager was eroding business and causing both hotels to lose money by targeting the Marriott preferred corporate accounts with lower rates. After some discussion at the meeting, the sales staff proposed that the three hotels agree not to pursue the top ten corporate preferred accounts of each hotel by offering rates lower than the existing rates. In essence, there would be a non-competitive pricing policy which prevented the three hotels from undercutting each other's room rates with respect to those specified ten accounts. The hotels could use other means to attempt to lure each other's top ten accounts away, but could not undercut each other's room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Pfeifer directed that the policy be put in place. It was formally introduced at a meeting called by HMS and attended by the sales managers and general managers of all three hotels. According to Boyd, the policy was implemented after the 2002 budget was put in place. The sales manager at each hotel used the Regional Revenue Manager as their point of contact to ensure that the policy was respected.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Financial Performance of the Hilton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Hilton's financial performance has never matched that of the Marriott. From the time of its opening, the Hilton substantially underperformed the Marriott. In 1999, RevPar for the Hilton was $46.62; for the Marriott it was $73.72. The relatively poor performance of the Hilton in 1999 can be explained, in part, by the fact that it was open only half the year. The Marriott had been in operation a full year by the time the Hilton opened. The Marriott also had the advantage of the RFP process in the fall of 1998 to secure corporate business for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RevPar for the Hilton in 2000 was $62.22; for the Marriott it was $81.26. From 2001 to 2003, the Hilton's RevPar was, on average $65.35. It increased slightly in 2004 to $68. The Marriott's RevPar was in the $78 range between 2001 and 2004, with the exception of a dip to $73.99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ADR for the Hilton in its opening year was $96.13, decreasing in 2000 to $89.43. It increased very little thereafter until 2004. In both 1999 and 2000, the Hilton ADR was substantially less than that of both the Marriott and the Radisson.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Although the Marriott consistently outperformed the Hilton, it did not perform as well as the 1996 PKF feasibility study had predicted. The Marriott did not, at any time during the period of the 5-year guarantee (from 1999 to 2003), achieve a 12% return on investment. On average, the cost of the Marriott guarantee to VAC was slightly more than $2.5 million per year. Under the Marriott Disclosure Statement, VAC as developer was liable for the guarantee. VAC did not have the funds to cover the shortfall, but Larco, as the parent company, honoured the guarantee on VAC's behalf. Larco paid over $13 million in total over the five year period of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Communications between HMS and the Hilton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VAC retained a third party, Crosby Management, to address property management in relation to the Hilton strata development, primarily because the hotel included ground floor units sold to businesses in a small shopping complex. Crosby Management began receiving inquiries from Hilton strata owners who did not understand that they had given up their right to elect a strata council. As a result, VAC and HMS decided to establish an investors' committee to meet on a quarterly basis with HMS and hotel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Either Wood or Hofman routinely attended investors' committee meetings as one of approximately nine representatives of the unit owners. The first investors' committee meeting occurred on December 2, 1999, at which time the committee members were given some preliminary information about the Hilton and its management. Pfeifer and Mashford, as well as others on the management team, attended all of the ensuing meetings. HMS kept minutes of the meetings which were distributed to all unit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At the second investors' committee meeting on March 29, 2000 HMS advised the committee members that the Hilton would likely exceed market occupancy by 4% and that the average room rate would be within $2.00 of the average market rates. That was significantly below the HVS projection that the Hilton's average room rate would exceed the market average by $19 in its first year. When a committee member asked about the original projections, the response of HMS (as reflected in the minutes of the meeting)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developer engaged the services of a professional company to undertake projections based upon conditions at the time. At that time there was a 98% occupancy in Richmond and a strong economy. Since that time, there has been a tremendous growth in the number of hotels competing for the same business and a downturn in the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On April 26, 2000 Mashford wrote the unit owners to address the poor financial performance of the Hilton: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hotel's occupancy for the three-month period [the first quarter of 2000] was 57%, while the consolidated occupancy for our competitive set performed at 58.4%. This market occupancy is down from 64.3% for the first quarter of 1999. During the first quarter of 1999, there were 629 additional hotel rooms available for sale each and every day ... . This dramatic increase in supply caused the decline in paid occupancy.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analysis of projected supply/demand trends in the Richmond market indicates that the new supply of hotel rooms that have come into the Richmond market over the past 3 years will not become fully absorbed until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At an investors' committee meeting on June 14, 2000 management was asked why the Marriott unit owners were making money while the Hilton unit owners were not. Management advised that the Marriott owners had a guaranteed rate of return on their investment, and pointed out that the Marriott had been operating for a full year before the Hilton 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At the next meeting on September 27, 2000 a committee member asked why the average room rate at the Marriott was higher than at the Hilton. The minutes of the meeting record this response from management: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mix is different. Hilton has more airline contracts which has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lower rates and bring in less revenues but a good base. Marriott has been in business longer than one year and during the year they were established, they did not have the competition of supply that Hilton has now, therefore, had signed contracts without much competition.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committee member then asked whether the Hilton would "catch up to the Marriott in 2 years". The response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Hopefully, but Marriott is a stronger brand especially in the United States. Statistics in Canada reflect that Marriott outperforms Hilton in most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At the investors' committee meeting on December 6, 2000 Pfeifer and Quiring (the new Hilton general manager) were asked why the occupancy rate for the Marriott and the Richmond Inn were higher than that of the Hilton. The minutes record this response: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Richmond Inn has a higher occupancy rate because they have the second largest conference space in Richmond and 40% of their business is from business groups while the Hilton's group business is only 10% due to the lack of conference rooms. As for the Marriott, they opened a year earlier than the Hilton and had a chance to secure many of the large corporate accounts in the market. These companies are comfortable staying at the Marriott and it is difficult to convince them to move to the Hilton. Marriott is also a stronger brand than Hilton in North America. Marriott tends to get the bigger share of the US customer base coming into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At the investors' committee meeting on April 11, 2001 there was discussion about the downturn in the US economy and its effect on the Richmond hotel market, which had become one of the weakest hotel markets in Canada. There was also discussion about the significant effect of the new CP Fairmont Hotel, located at the airport, on the Richmond market. Management was then asked why the Marriott average room rate was higher than other hotels. The response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Marriott has a 3 to 1 customer preference over other brands in the United States which allows them to secure a higher level of US business travellers, however, the cost of the Marriott flag (i.e. the franchise) is much higher than Hilton. Their frequent guest rewards program is also double the cost of the Hilton program. Marriott has a stronger and better known flag and more hotels in North America. In Toronto and Montreal, if you compare Marriott to Hilton, Marriott runs $30 average rate higher than Hilton. Internationally, Hilton has a stronger flag, especially in Asia.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At the investors' committee meeting on September 19, 2001 discussion focused on the events of September 11. At subsequent meetings, the investors were told that both the events of September 11, 2001 and the strong performance of the CP Fairmont Hotel were having a significant effect on the Richmond hotel market. At a meeting on September 18, 2002 committee members asked to be provided with the HVS Report. They also requested an organizational chart for HMS. Management was asked whether HMS managed other hotels, and whether its head office was in the same location as the Larco head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At some point in the fall of 2002, a group of 126 unit owners formed a group for the purpose of retaining legal counsel to advise them of their rights in respect of the operation of the Hilton. Legal counsel was subsequently retained. Correspondence ensued between Sharbern's counsel and Dennis Parolin, solicitor for Larco, concerning production by Larco of financial records for an independent financial review. Parolin denied the request. Sharbern commenced the present action seeking production of documents. At that stage, HVS was not named as a defendant and no damages were being sought. Terms governing the production of documents were settled by an order obtained in September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December 2003, Sharbern applied for leave to amend the statement of claim and join HVS as a defendants, and sought to have the action certified as a class proceeding. Following notice of that application, HMS declined to hold any further investors' committee meetings. Subsequent communications from VAC and HMS to the unit owners have taken the form of summary financial reporting and commentary.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Alleged Misrepresentations by HVS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following common issues have been stated in relation to the projections made by HVS: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Did HVS owe a duty of care to the Class in respect of the representations contained in the Hilton Disclosure Statement? (d)(i)</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Did HVS represent to the class that the projected occupancy rates and average daily room rates were reasonable? (d)(iii)</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Was HVS negligent?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financial projections were based on the HVS Report. The liability of HVS is limited to the claim that it was negligent in preparing its report.</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Duty of Care of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HVS denied that it owed the Class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will arise in a negligent misrepresentation action where first, the defendant ought reasonably to have foreseen that the plaintiff would rely on the representation and second, where reliance by the plaintiff would be reasonable in the particular circumstances of the case: </w:t>
      </w:r>
      <w:r>
        <w:rPr>
          <w:rFonts w:ascii="arial" w:eastAsia="arial" w:hAnsi="arial" w:cs="arial"/>
          <w:b/>
          <w:i/>
          <w:color w:val="000000"/>
          <w:sz w:val="20"/>
          <w:lang w:val="en-US" w:eastAsia="en-US" w:bidi="ar-SA"/>
        </w:rPr>
        <w:t>Hercules Management Ltd. v. Ernst &amp; Young</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Hercules Management</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Hercules Management</w:t>
      </w:r>
      <w:r>
        <w:rPr>
          <w:rFonts w:ascii="arial" w:eastAsia="arial" w:hAnsi="arial" w:cs="arial"/>
          <w:color w:val="000000"/>
          <w:sz w:val="20"/>
          <w:lang w:val="en-US" w:eastAsia="en-US" w:bidi="ar-SA"/>
        </w:rPr>
        <w:t xml:space="preserve"> also stipulated that there must be no policy considerations weighing against the imposition of a duty of care. In that case, indeterminate liability was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Kripps v. Touch Ross &amp; Co.</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(1997), 33 B.C.L.R. (3d) 254</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Kripps 1997</w:t>
      </w:r>
      <w:r>
        <w:rPr>
          <w:rFonts w:ascii="arial" w:eastAsia="arial" w:hAnsi="arial" w:cs="arial"/>
          <w:color w:val="000000"/>
          <w:sz w:val="20"/>
          <w:lang w:val="en-US" w:eastAsia="en-US" w:bidi="ar-SA"/>
        </w:rPr>
        <w:t>], the British Columbia Court of Appeal discussed the issue of proximity as it relates to duty of care in a negligent misrepresentation case involving a prospectus. The court agreed with the conclusion of the trial judge that the defendant auditors owed a duty of care to investors on the basis of "likely reliance" by the investors on audited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[B]ecause the auditors knew that the purpose for which they were engaged to audit the [financial statements] was to facilitate the sale of debentures to the public through the distribution of the company's prospectus containing their report, there was a proximity of relationship between them and an identifiable class of persons who would obtain a copy of the prospectus upon which they would likely rely. The proximity was clearly sufficient to give rise to a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Kripps 1997</w:t>
      </w:r>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have little difficulty concluding that HVS owed the class members a duty of care. HVS knew from the outset of its retainer that the results of its feasibility study would in all likelihood be used by VAC to market the Hilton. Any doubt as to whether VAC would use the HVS Report for that purpose was removed when KPMG wrote to MacDonald in December 1997. KPMG advised MacDonald that Larco intended to use the HVS report as the basis for its financial projections in the Hilton Disclosure Statement. KPMG also advised MacDonald that Larco may specifically refer to the HVS Report in the notes to the financial projections.</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task of a market feasibility analyst is to assess the feasibility of building a new hotel and project the likely financial performance of the hotel in the future. The analysis involves the estimation of numerous variables to reach a final projection. Each variable requires prediction and estimation, which compounds the uncertainty of the projection. Market feasibility analysis is not a science. The consensus among the experts who testified at trial was that it is more an art than a science, engaging the analyst's judgment, experience, and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Stated more candidly, market feasibility studies consist of a great deal of educated guesswork.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What, then, is the standard of care required of a market feasibility analyst? Decisions concerning the standard of care required of real estate appraisers provide some guidance, although a market feasibility study involves significantly greater uncertainty and estimation than a real estate appraisal. In </w:t>
      </w:r>
      <w:r>
        <w:rPr>
          <w:rFonts w:ascii="arial" w:eastAsia="arial" w:hAnsi="arial" w:cs="arial"/>
          <w:b/>
          <w:i/>
          <w:color w:val="000000"/>
          <w:sz w:val="20"/>
          <w:lang w:val="en-US" w:eastAsia="en-US" w:bidi="ar-SA"/>
        </w:rPr>
        <w:t>Cari-Van Hotel Ltd. v. Globe Estates Ltd.</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[1974] 6 W.W.R. 707</w:t>
        </w:r>
      </w:hyperlink>
      <w:r>
        <w:rPr>
          <w:rFonts w:ascii="arial" w:eastAsia="arial" w:hAnsi="arial" w:cs="arial"/>
          <w:color w:val="000000"/>
          <w:sz w:val="20"/>
          <w:lang w:val="en-US" w:eastAsia="en-US" w:bidi="ar-SA"/>
        </w:rPr>
        <w:t xml:space="preserve"> (B.C.S.C.), Ruttan J. noted the uncertainty inherent in a real estate appraisal at para.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Variations, even wide variations between the opinions of two or more appraisers are not uncommon. The profession of appraisal is not an exact one. It comes down essentially to the opinion of one person arrived at in large part by assessing the opinions of other persons. Verification of one appraisal is not necessarily found in the market price at which the property later sells. Other factors may well affect the sale which have nothing to do with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Comments similar to those of Ruttan J. are found in the much earlier decision of </w:t>
      </w:r>
      <w:r>
        <w:rPr>
          <w:rFonts w:ascii="arial" w:eastAsia="arial" w:hAnsi="arial" w:cs="arial"/>
          <w:b/>
          <w:i/>
          <w:color w:val="000000"/>
          <w:sz w:val="20"/>
          <w:lang w:val="en-US" w:eastAsia="en-US" w:bidi="ar-SA"/>
        </w:rPr>
        <w:t>Baxter v. F.W. Gapp &amp; Co. Ltd.</w:t>
      </w:r>
      <w:r>
        <w:rPr>
          <w:rFonts w:ascii="arial" w:eastAsia="arial" w:hAnsi="arial" w:cs="arial"/>
          <w:color w:val="000000"/>
          <w:sz w:val="20"/>
          <w:lang w:val="en-US" w:eastAsia="en-US" w:bidi="ar-SA"/>
        </w:rPr>
        <w:t>, [1938] 4 All E.R. 457 (K.B), aff'd [1939] 2 All E.R. 752 (C.A.), where the trial judge said at p. 459: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[O]ne also has to bear in mind very carefully the fact that valuation is very much a matter of opinion. We are all liable to make mistakes, and a valuer is certainly not to be found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merely because his valuation turns out to be wrong. He may have taken too optimistic or too pessimistic a view of particular property. One has to bear in mind that, in matters of valuation, matters of opinion must come very largely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An appraiser is not negligent simply because his or her appraisal proves to be wrong. While gross over-evaluation may be an indication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absence of a reasonable explanation, it does not, by itself,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Regency Mortgage Corp. v. Buchan</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[1984] B.C.J. No. 973</w:t>
        </w:r>
      </w:hyperlink>
      <w:r>
        <w:rPr>
          <w:rFonts w:ascii="arial" w:eastAsia="arial" w:hAnsi="arial" w:cs="arial"/>
          <w:color w:val="000000"/>
          <w:sz w:val="20"/>
          <w:lang w:val="en-US" w:eastAsia="en-US" w:bidi="ar-SA"/>
        </w:rPr>
        <w:t xml:space="preserve"> (S.C.) McLachlin J. (as she then was) said the following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then is required to establish that an appraiser is negligent? Gross overvaluation (or undervaluation) which is not satisfactorily explained may suffice ... . Conversely, a small overvaluation, or a large overvaluation which is adequately explained, will not give rise to liability. </w:t>
      </w:r>
      <w:r>
        <w:rPr>
          <w:rFonts w:ascii="arial" w:eastAsia="arial" w:hAnsi="arial" w:cs="arial"/>
          <w:i/>
          <w:color w:val="000000"/>
          <w:sz w:val="20"/>
          <w:lang w:val="en-US" w:eastAsia="en-US" w:bidi="ar-SA"/>
        </w:rPr>
        <w:t>In the final analysis, the court must determine whether the defendant acted reasonably having regard to the standards prevailing in the profession and the inexactitude inherent in the methods by which the value of a property is determined.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Clearly, the projections of HVS concerning the financial performance of the Hilton were considerably off the mark. In evaluating the adequacy of the HVS report, this court must resist the temptation to compare the projections to the actual performance of the Hilton, and consider instead whether the projections were reasonable at the time they were made. The forecast of HVS was expressly stated to be based on its analysis of circumstances as they existed in August 1997, and projected the performance of a hotel that would not be operational for another two years. As noted by HVS in its letter of January 5, 1998 enclosing the report, its conclusions also presumed no significant change to the competitive position of the hotel industry in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Taking into account the considerable inexactitude inherent in market feasibility analysis, the question is whether the projections of HVS were reasonable having regard to the standards governing its profession at the time.</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Expert evidence concerning the HVS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Opinion evidence was given at trial by three individuals qualified as experts in the hotel consulting field. Stewart Instance provided an opinion on behalf of Sharbern. Brian Flood and Joel Rosen provided opinions on behalf of VAC and HVS.</w:t>
      </w:r>
      <w:r>
        <w:rPr>
          <w:rFonts w:ascii="arial" w:eastAsia="arial" w:hAnsi="arial" w:cs="arial"/>
          <w:sz w:val="20"/>
          <w:lang w:val="en-US" w:eastAsia="en-US" w:bidi="ar-SA"/>
        </w:rPr>
        <w:cr/>
      </w:r>
    </w:p>
    <w:p>
      <w:pPr>
        <w:numPr>
          <w:numId w:val="7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Stewart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Sharbern retained Stewart Instance, the principal of Ashler Hospitality Corporation, to provide an opinion concerning the HVS Report. As his CV discloses, Mr. Instance has extensive consulting experience in the hospitality industry. Among other degrees and qualifications, he has a degree in hotel administration from Cornell University. He has completed over 200 market studies and financial projections for a number of proposed hotels in Western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Instance was first retained by a committee of the Hilton unit owners in August 2002 to provide an opinion as to the performance that could reasonably have been anticipated for the Hilton prior to its development. At that time, Instance had a copy of the Hilton Disclosure Statement, which included the 5-page summary of conclusions contained in the HVS Report. He did not have access to the complete HVS Report, and made clear in his preliminary report to the unit holders dated August 19, 2002 that before definitive comments could be made about the adequacy of the HVS work, a review of the complete HVS Report was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his preliminary report (at p. 5), Instance also cautioned that hotel market studies are based on experience, knowledge, and judgment, and that conclusions drawn in a feasibility study can never be guaranteed because they are in the nature of forecasts concerning future events: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hotel market study and related financial projections attempts to glimpse the future based on experience, knowledge and judgment, the certainty of the conclusions can never be guaranteed. There will always be unexpected events or circumstances that change the marketplace, change the design and/or timing of the proposed hotel or any number of other factors that can negate the consultant's findings. This is increasingly true when there is a long time between preparation of the report and the opening of the new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After analyzing the 1997 Richmond hotel market, Instance concluded that the HVS projections concerning both occupancy and room rates were "aggressive" in light of the impending new supply of hotel rooms. He was also critical of the weight HVS gave the Hilton brand. He said the following at p. 24 of his preliminary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exceptional level of hotel development contemplated for Richmond and elsewhere in Greater Vancouver during the late 1990's should have alerted a consultant undertaking a hotel market study that there existed a strong possibility that there would be an oversupply of hotel accommodation during the early 2000's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and of more significance in my mind, is the high level of market penetration anticipated by HVS for the Hilton apparently based on the location and "Hilton" brand. This expectation may be supported in the full report but appears only as an unsubstantiated statement of fact in the "Conclusion" section contained in the Offering Memorandum. Similarly, the average daily rate projected for the hotel was also based upon its brand name and reflected a level well above that being obtained by other hotels in its market as well as the then-leading 4-diamond property, the Radisson President.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of these projections appear to me to be "aggressive" in light of the expansion of the Richmond hotel inventory that was known to be underway in late 1997 and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Instance was later retained to prepare an opinion concerning the HVS Report for purposes of trial. He provided a written opinion dated September 8, 2006 (the "Instance Report"). The report is lengthy, and in it Instance disagreed with several aspects of the methodology employed by HVS to reach its conclusions. In essence, however, his central criticisms of the HVS Report remain the same as those expressed in his preliminary report. I have summarized them as follows:</w:t>
      </w:r>
      <w:r>
        <w:rPr>
          <w:rFonts w:ascii="arial" w:eastAsia="arial" w:hAnsi="arial" w:cs="arial"/>
          <w:sz w:val="20"/>
          <w:lang w:val="en-US" w:eastAsia="en-US" w:bidi="ar-SA"/>
        </w:rPr>
        <w:cr/>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HVS gave inadequate consideration to whether the high level of demand in the Richmond hotel market was sustainable, particularly given the expanding supply of hotel rooms. HVS failed to appreciate that with the significantly increased competition from new hotel proposals of all quality levels, there was a strong probability that hotel occupancy levels would decline. This lead to an occupancy projection for the new hotel that was inappropriately high.</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Inadequate consideration was given to the negative effect that oversupply of rooms would have on ADR.</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Undue emphasis was placed on the Hilton brand as a generator of both occupancy and high room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According to Instance, HVS applied standardized methods and procedures that would have been appropriate in most hotel market studies, "but not in the relatively unusual market conditions evident in the Richmond area in late 1997". Instance went on to say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in so doing [HVS] failed to appreciate the significant effect that the large increase in the number of new hotels would have on the Richmond area including downward pressures on occupancy levels and ADR. By focusing on a few 'primary' competitive hotels, it overlooked the impact that other new, branded but less prestigious and expensive hotels would have on the entire marketplace for a period of four to five years. In failing to adequately consider these as well as other changes occurring in the regional lodging industry throughout Greater Vancouver it reached conclusions as to the projected occupancy and ADR for the proposed Hilton hotel which were unreasonably optimistic.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(Instance Report, p.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Instance then undertook an analysis designed to identify the range of conclusions that a reasonably competent hotel financial consultant could have reached concerning the Hilton rate projections. He began his analysis with projections contained in a report he had prepared in 1997 concerning the projected financial performance of the Delta Airport Hotel (the "Delta Report"). In 1997 he had forecast market-wide occupancy rates in Richmond for the years 1998 to 2004 based on the projected increases in room supply and demand growth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1998 - 71.3%;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1999 - 70.3%;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2000 - 65.6%;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2001 - 67.1 %;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2002 - 70.4%;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2003 - 72.9%;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0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2004 - 72.1%.</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Instance's opinion, HVS should not have projected a significant competitive advantage for the Hilton because it would simply be "another hotel in a crowded market" (Instance Report, p. 27). Instance was of the view that had HVS properly undertaken the analysis concerning occupancy, particularly in light of the significant new room supply forecast for the market, the projected occupancy for the Hilton would have been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67.8% for 1999/00;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66.4% for 2000/01;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68.8% for 2001/02;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71.7% for 2002/03,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72.5% for 2003/04.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With respect to ADR, Instance considered that a rate similar to that achieved by the Radisson, the only other "four-diamond" hotel in the Richmond market in 1997, would be the most reasonable rate to consider for the proposed Hilton. The Radisson ADR at the time was $118. Instance considered it reasonable, however, to apply a modest premium of $2 to that rate to take into account the suite-style accommodation of the majority of the Hilton rooms. Applying an annual inflationary increase of 2.5%, the projected ADR for the Hilton in 1999 should have been $127.60. With an annual increase of 2.5% in each of the next 4 years, ADR would reach $140.89 by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On the basis of his projections concerning occupancy and ADR, Instance calculated the projected RevPar for the Hilton. While acknowledging there is no generally recognized range of reasonableness for financial projections in his profession, Instance expressed the opinion that reasonable consultants assessing the same market conditions for the same proposed hotel should arrive at RevPar projections "within plus-or-minus 5%" of one another. Using his projections as the standard, he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Hotel consultants are aware that there is a reverse relationship between occupancy and ADR; as ADR increases occupancy tends to decline, and vice-versa. Consequently, between any two consultants, one may project a relatively high occupancy for a proposed hotel based on a comparatively low ADR while another consultant, considering the exact same market situation, may conclude the hotel would achieve a higher ADR but with a lower occupancy. Yet, the primary purpose of projecting occupancy and ADR for a proposed hotel is to obtain a reasonable estimate for the room revenues that would be generated.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Consequently, it is to be anticipated that similarly competent consultants will reach conclusions that while not exactly the same, will be somewhat consistent with each other with respect to revenue. In </w:t>
      </w:r>
      <w:r>
        <w:rPr>
          <w:rFonts w:ascii="arial" w:eastAsia="arial" w:hAnsi="arial" w:cs="arial"/>
          <w:i/>
          <w:color w:val="000000"/>
          <w:sz w:val="20"/>
          <w:lang w:val="en-US" w:eastAsia="en-US" w:bidi="ar-SA"/>
        </w:rPr>
        <w:t>my</w:t>
      </w:r>
      <w:r>
        <w:rPr>
          <w:rFonts w:ascii="arial" w:eastAsia="arial" w:hAnsi="arial" w:cs="arial"/>
          <w:color w:val="000000"/>
          <w:sz w:val="20"/>
          <w:lang w:val="en-US" w:eastAsia="en-US" w:bidi="ar-SA"/>
        </w:rPr>
        <w:t xml:space="preserve"> view, </w:t>
      </w:r>
      <w:r>
        <w:rPr>
          <w:rFonts w:ascii="arial" w:eastAsia="arial" w:hAnsi="arial" w:cs="arial"/>
          <w:i/>
          <w:color w:val="000000"/>
          <w:sz w:val="20"/>
          <w:lang w:val="en-US" w:eastAsia="en-US" w:bidi="ar-SA"/>
        </w:rPr>
        <w:t>another consultant assessing the same market conditions at the same time and for the same proposed Hilton hotel should conclude room revenues and/or RevPar within plus-or-minus 5% of my projection.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(Instance Report, p. 30;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Instance then calculated the range of returns on investment ("ROI") to Hilton owners using his own rate projections for the Hilton but assuming all other factors in the KPMG Report (Hilton Disclosure Statement, Exhibit K) remained the same. The KPMG Report calculated ROI assuming the validity of HVS's opinion that the Hilton operating expenses would represent 26.35% of gross income over the 5-year projection period. Instance acknowledged that the 26.35% ratio was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Based on the range of findings which, in Instance's judgment, a reasonably competent hotel consultant would have projected for the Hilton, a unit purchaser could have anticipated a 5-year average ROI of between 5.6% and 10.9%. The mid-point between the two percentages, 8.25%, is approximately half of the 5-year average ROI calculated by KPMG using the HVS projections. Instance concluded that the ROI projections derived from the HVS Report were unreasonable because they were so much higher than those derived on the basis of 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Instance also calculated the ROI to Hilton owners using the PKF Projections for the Hilton. He calculated the 5-year average ROI at 10.8 %. Instance noted that the ROI based on the PKF projections was within 0.1% of the top end (10.9%) of his proposed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However, Instance derived the 10.8% figure by using PKF's expense ratio of 28.4% rather than the HVS expense ratio of 26.35% used by KPMG in the Hilton Disclosure Statement. When Instance performed the ROI calculation assuming the HVS expense ratio as KPMG had done (and which he accepted as reasonable), the result was a 5-year average ROI of 12.5% based on the PKF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Instance acknowledged that the projected 12.5% ROI derived from the PKF Projections is approximately mid-way between the average ROI of 8.25% derived from his own projections and the 16.6% ROI based on the HVS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Instance also acknowledged that, averaged over the 5 years of the projections (that is, 1999/00 to 2003/04), the RevPar numbers based on the PKF projections fell mid-way between the average RevPar numbers based on his own projections and those based on the HVS projections.</w:t>
      </w:r>
      <w:r>
        <w:rPr>
          <w:rFonts w:ascii="arial" w:eastAsia="arial" w:hAnsi="arial" w:cs="arial"/>
          <w:sz w:val="20"/>
          <w:lang w:val="en-US" w:eastAsia="en-US" w:bidi="ar-SA"/>
        </w:rPr>
        <w:cr/>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Brian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Brian Flood is Vice-President of Valuation and Consulting, CBRE Hotels, and is responsible for overseeing all hotel-related valuation and consulting activities for the company in Canada. He has been a member of the Appraisal Institute of Canada since 1976, and received his AACI designation in 1984. He has focused on the analysis of investment properties for 25 years. Flood has served on provincial and national professional practice committees, and is an examiner for the Appraisal Institute of Canada. In those capacities, he has reviewed many appraisals and feasibility studies to ensure their compliance with the Uniform Standards of Professional Appraisal Practice. He is also a certified lecturer on valuation issues and Uniform Standards of Professional Appraisal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Flood has completed feasibility studies on proposed hotels throughout eastern Canada. In the past 5 years, Flood has valued Hilton hotels in Toronto, Montreal, and St. John, as well as the Delta Chelsea, Toronto, and a portfolio of 75 limited-service hotels. He also has extensive experience with hotels in the Vancouver area as a result of his work between 2001 and 2006 with Colliers International Realty Advisors Inc., managing offices in Vancouver as well as Ontario and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It was Flood's opinion that HVS used recognized methodology in conducting its review, and used proper judgment in assessing the competitive market and future market conditions. He concluded that HVS met the standard of care of a hotel appraisal consultant practicing in 1997/98 when preparing the HVS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On the issue of the HVS projected occupancy rates, Flood observed that an analysis of market share on a segment by segment basis is difficult because each hotel performs differently based on location, amenities, facilities and market positioning. However, it was his view that HVS had appropriately used the market segment analysis to rationalize and project penetration rates for the Hilton. At p. 13 of his report, Flood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high market share in the commercial segment is due to the proposed Hilton's location in the airport area, its positioning as a luxury hotel, its proportion of suites and its affiliation with Hilton Hotels. Hilton is an internationally recognized hotel chain with a strong loyalty program and corporate contracts. As such, I would expect the hotel to achieve more than its fair share in this category since it would capture a higher proportion of US and international travellers as compared to existing hotels in the market. For similar reasons, I would also expect the hotel to achieve its fair share in the tour and leisure segment.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[HVS] analysis, the proposed Hilton had an overall market penetration of 104.1% [in 1999/00] increasing to 112.4% in 2002/03. On an overall basis, market share is slightly above market levels which, considering the age, Hilton branding of the hotel, and the high proportion of suites, appears to be a reasonable estimate. According to data compiled by Smith Travel, all suite hotels typically outperform their competitive markets since they appeal to longer stay guests in both the commercial and leisure segments. These units also appeal to families since they provide additional space for families with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Flood concluded that considering the past and projected rate of growth in the market, the positioning and branding of the hotel, and the high proportion of suites, a projected occupancy of 72% in the first year, increasing to 80% by the fourth year of operation, was reasonable. In particular, the Hilton affiliation and the high proportion of suites gave the Hilton, in Flood's view, a clear competitive advantage over other existing and proposed hotels of comparable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With respect to the ADR projections of HVS, Flood said the following at p.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estimated rate of $127.00 was reasonable based on the Hilton branding and the high proportion of suites in the hotel. Applying an annual increase of 2.5%, a rate of $134.94 was projected for 1999. As noted earlier, the growth in ADR in the Richmond market was actually much higher in the preceding three years at approximately 10% per year. By applying an inflationary rate of growth to the hotels average room rate, [HVS] was conservative in projecting the proposed Hilton's 1999 average room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Flood expressed the opinion that given the number of variables to be considered in creating projections for a proposed hotel, two consultants acting reasonably can arrive at different conclusions on forecasted occupancy and ADR. With respect to the range of reasonableness, he observed the following at p. 18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range of reasonableness, it is dependent on the complexity of the assignment. In my experience, a reasonable range in value conclusions is 5% for less complex types of property, such as sub-division housing, and 10% for an established, operating hotel.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assignment was very complex, involving a yet to be built hotel in a rapidly changing market with many variables. Based on the complexity of this assignment, it is my opinion that the opinion expressed by [HVS] in the report was within the range a reasonable consultant would conclude for this type of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a second report, written in rebuttal to the Instance Report, Flood reiterated his views as to the range of reasonableness. Given the range of variables and complexity of the Richmond market in 1997, it was his view that the potential for variance between reasonable consultants could be even greater than 10%. He testified that the Richmond market was, at the time, both complicated and atypical. It was operating at a very high level. Most of the hotels were older, mid and lower quality properties. There were numerous proposals for new hotels, but it was difficult to gauge which hotels would actually be built and how the new hotels would compete in the existing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his rebuttal report, Flood commented further on the strength of the Hilton affiliation at pp.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it is true Hilton had limited presence in Western Canada, the majority of corporate and leisure travellers, particularly those in the upper tier of the market, were well aware of the Hilton brand and the luxury status of Hilton Hotels. Hilton was (and remains) one of the largest international luxury hotel chains in the world and had extensive marketing and reservation systems which generate demand for individual hotels.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Typically, major hotel chains will generate 20% to 30% of all room demand for individual hotels and, in some cases, this can be as high as 50%. In addition, chains such as Hilton have strong loyalty programs and numerous corporate contracts. Hilton was well established in other Canadian airport markets (Toronto and Montreal) and was in the midst of a major expansion program in the late 1990s.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experience Hilton Hotels have historically outperformed their competitive markets in both occupancy and rate, and outperform the general market by a wide margin.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Mr. Instance's comments on the lack of recognition of Hilton and the inability of Hilton to attract demand from the US and other Markets cannot be supported.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Flood was equally critical of the occupancy rate projections made by Instance for the Hilton. In his view, Instance's analysis failed to distinguish between budget, mid-market, and luxury branded hotels. At p. 12-13 of his rebuttal report, Flood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all the brands, only Marriott and [Canadian Pacific] could be considered comparable luxury brands with Hilton. Further, only Marriott could be considered to have as broad a reach as Hilton, in the US and internationally. The only existing hotel in Richmond with similar branding was the Radisson Hotel, which is considered a mid-market brand. It is notable that Radisson had very limited market presence in Canada at this time, and had guest recognition below that of Hilton. Hilton, while having few locations in Canada, was strategically placed in major markets such as downtown Toronto, Toronto Airport, downtown Montreal and Montreal Airport. As noted by Mr. Instance, Hilton was well established in the US and would be highly recognizable to US business and leisure travellers.</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Joel Rosen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Joel Rosen is Chair and CEO of Horwath Horizon Consultants, a member firm in Horwath International, one of the world's largest accounting and hospitality consulting firms. He is also Chair Emeritus of Horwath International's Global Hotel, Tourism and Leisure Industry Practice. Mr. Rosen received his degree from the School of Hotel, Restaurant and Institutional Management at Michigan State University in 1973. He held various positions with Horwath Laventhol between 1973 and 1992. From 1992 to 1995 he was Vice-President of Marketing for Delta Hotels and Resorts. He has been with Horwath Horizon Consultants since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Mr. Rosen's work over the past 30 years has included market and feasibility studies, valuations, and hotel development and management. He has lectured on these areas at various universities and conferences, and has authored many articles on valuation of hotels. He is a contributing editor of the CCH publication Canadian Hospitality Industry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Mr. Rosen was asked to comment in his report on several matters:</w:t>
      </w:r>
      <w:r>
        <w:rPr>
          <w:rFonts w:ascii="arial" w:eastAsia="arial" w:hAnsi="arial" w:cs="arial"/>
          <w:sz w:val="20"/>
          <w:lang w:val="en-US" w:eastAsia="en-US" w:bidi="ar-SA"/>
        </w:rPr>
        <w:cr/>
      </w:r>
    </w:p>
    <w:p>
      <w:pPr>
        <w:numPr>
          <w:numId w:val="7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methodology used by a hotel consultant acting reasonably in conducting a feasibility study;</w:t>
      </w:r>
    </w:p>
    <w:p>
      <w:pPr>
        <w:numPr>
          <w:numId w:val="77"/>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reasonableness of the conclusions reached in the Instance Report;</w:t>
      </w:r>
    </w:p>
    <w:p>
      <w:pPr>
        <w:numPr>
          <w:numId w:val="78"/>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factors affecting the Greater Vancouver hotel market since 1999; and</w:t>
      </w:r>
    </w:p>
    <w:p>
      <w:pPr>
        <w:numPr>
          <w:numId w:val="7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practice in Canada, if any, of management of competing hotels by a common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Rosen outlined the steps required of a reasonable consultant completing a market feasibility study and concluded that the methodology used in the HVS Report conformed to those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Rosen was of the view that many of the comments and conclusions in the Instance Report were unreasonable. I have summarized Rosen's opinions as follows:</w:t>
      </w:r>
      <w:r>
        <w:rPr>
          <w:rFonts w:ascii="arial" w:eastAsia="arial" w:hAnsi="arial" w:cs="arial"/>
          <w:sz w:val="20"/>
          <w:lang w:val="en-US" w:eastAsia="en-US" w:bidi="ar-SA"/>
        </w:rPr>
        <w:cr/>
      </w:r>
    </w:p>
    <w:p>
      <w:pPr>
        <w:numPr>
          <w:numId w:val="8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Instance was of the view that an increase in hotel brands would drive occupancy rates down, in fact an increase in hotel brands is generally positive for a market. Major brands tend to drive rates, generate new business, and have the ability to heighten market awareness through their national and international marketing and sales initiatives.</w:t>
      </w:r>
    </w:p>
    <w:p>
      <w:pPr>
        <w:numPr>
          <w:numId w:val="8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Richmond market was experiencing strong growth in demand in the mid-1990's, the market was relatively stable. There were not wide variations in occupancy but rather steady growth of both supply and demand.</w:t>
      </w:r>
    </w:p>
    <w:p>
      <w:pPr>
        <w:numPr>
          <w:numId w:val="8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Instance overlooked the strong historic growth in demand which in the apparent circumstances looked as though it would be sustained for the foreseeable future, which would have mitigated the impact of new room supply. The Best Western had been running in excess of a 90% annualized occupancy for the 5 years preceding the Hilton offering.</w:t>
      </w:r>
    </w:p>
    <w:p>
      <w:pPr>
        <w:numPr>
          <w:numId w:val="8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Instance failed to consider his own demand growth projections made in 1997 concerning the Richmond market, which indicate that demand was keeping pace with supply. He projected an 8% increase in demand in 1998, 15% in 1999, 12% in 2000, 6% in 2001, 5% in 2002, 3.5% in 2003, and 4.5% in 2004. This reflects a healthy compound annual growth of 7.6%, and Instance failed to indicate that the supply growth during this period was 7.1 % compounded annually.</w:t>
      </w:r>
    </w:p>
    <w:p>
      <w:pPr>
        <w:numPr>
          <w:numId w:val="8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shortage of guest rooms in Vancouver would benefit Richmond, increasing the likelihood that the new supply would be absorbed more quickly.</w:t>
      </w:r>
    </w:p>
    <w:p>
      <w:pPr>
        <w:numPr>
          <w:numId w:val="8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Many of the hotels included by Instance in the Hilton competitive set, including the new and proposed branded hotels, were in fact not hotels that could reasonably be expected to compete with a luxury hotel such as the Hilton.</w:t>
      </w:r>
    </w:p>
    <w:p>
      <w:pPr>
        <w:numPr>
          <w:numId w:val="8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Instance underestimated the significant competitive strength of the Hilton brand and the favourable location of the hotel in the centre of Richmond.</w:t>
      </w:r>
    </w:p>
    <w:p>
      <w:pPr>
        <w:numPr>
          <w:numId w:val="8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penetration of the Hilton by segment, as forecast by HVS, was not unreasonable.</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unreasonable of Instance to conclude, without any analysis, that the Hilton would achieve only a $2 premium over the Radisson ADR. The Hilton was offering a higher quality product, with a greater number of suites, in a more central and desirable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Rosen described a number of unforeseen factors which, in his view, significantly affected the Richmond hotel market in 1999 and the years following:</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Asian economic crisis began in 1997, but its impact was not discernable until 1999. This factor had the most significant impact on the Richmond market as it depended heavily on Asian business and tourism. Overnight visitors to Greater Vancouver from Asia Pacific declined approximately 16% in 1998 compared to 1997. While the level of those overnight visitors has gradually increased since 1999, it has not yet reached the pre-1998 levels.</w:t>
      </w:r>
    </w:p>
    <w:p>
      <w:pPr>
        <w:numPr>
          <w:numId w:val="9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British Columbia economy slowed in mid-1997, but like the Asian economic crisis its impact was also not felt in the hotel market until at least a year later.</w:t>
      </w:r>
    </w:p>
    <w:p>
      <w:pPr>
        <w:numPr>
          <w:numId w:val="9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events of September 11, 2001 had a devastating effect on the Richmond hotel market as well as markets across North America.</w:t>
      </w:r>
    </w:p>
    <w:p>
      <w:pPr>
        <w:numPr>
          <w:numId w:val="9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start in March 2003 of the war in Iraq has also affected the hotel market. The effect was felt for many months before that, as the US invasion of Iraq had been long anticipated.</w:t>
      </w:r>
    </w:p>
    <w:p>
      <w:pPr>
        <w:numPr>
          <w:numId w:val="9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outbreak of SARS in April 2003, affected the tourism and hotel industry for most of the 2003 peak tourist season.</w:t>
      </w:r>
    </w:p>
    <w:p>
      <w:pPr>
        <w:numPr>
          <w:numId w:val="9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Was HVS influenced by Larco?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theory of Sharbern is that Larco pressured HVS to overstate its rate projections in order to obtain a higher selling price for the Hilton, and that HVS complied in order to secure Larco as a client. According to Sharbern, any reasonable consultant would know that with the impending new supply in the market, an ADR of $134 in the first year and a stabilized occupancy rate of 80% after four years were unreasonable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According to Sharbern, two aspects of the HVS projections are particularly telling: First, there is an inconsistency in the HVS Report between the projected slow return of the market-wide occupancies to 75% over 8 years and the attainment by the Hilton of 80% in 4 years. Second, there is a failure to foresee the connection between a substantial decline in occupancy and a decline in ADR.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 cannot accept Sharbern's arguments for the reasons I discuss below. However, I wish to preface that discussion with the following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do not doubt that Murray, who was responsible for marketing the Hilton, was unhappy with the PKF projections and decided to look for a consultant whose views concerning the Richmond hotel market more closely resembled his. To state the obvious, a consultant with a more positive outlook on the market would give him projections that would make the Hilton easier to sell. Murray found what he was looking for in HVS. MacDonald had completed a valuation report for a Hilton Hotel in Houston the previous year. She was enthusiastic about the Hilton brand. She was also more positive than PKF about the ability of the Richmond market, with a growing demand for hotel accommodations, to absorb the impending new supply of hotel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Lalji testified that he was satisfied with the PKF projections. I view that evidence with some scepticism, particularly as Lalji agreed to obtain a second opinion and ultimately retained HVS to prepare a report when it produced higher projections. I have little doubt that Lalji, like Murray, welcomed MacDonald's more optimistic view of the market and the Hilton brand. Lalji believed he had undersold the Marriott, and wanted to obtain the best possible price for the Hilton. Both Lalji and Murray obviously understood that the higher HVS projections could only assist VAC in marketing the proposed Hilton.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Nevertheless, I do not accept Sharbern's theory that HVS inflated its projections to satisfy VAC. Aside from the question of whether the occupancy and room rates were reasonable, I am satisfied that MacDonald did not pre-select them to obtain the VAC retainer.</w:t>
      </w:r>
      <w:r>
        <w:rPr>
          <w:rFonts w:ascii="arial" w:eastAsia="arial" w:hAnsi="arial" w:cs="arial"/>
          <w:sz w:val="20"/>
          <w:lang w:val="en-US" w:eastAsia="en-US" w:bidi="ar-SA"/>
        </w:rPr>
        <w:cr/>
      </w:r>
    </w:p>
    <w:p>
      <w:pPr>
        <w:numPr>
          <w:numId w:val="9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HVS Analysis concerning Occupancy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MacDonald was aware that she was being asked for a second opinion on the feasibility of the Hilton, and that VAC was likely not satisfied with the PKF projections. However, she was not given the PKF projections until well after HVS provided its projections to VAC. When Murray did forward the PKF numbers to HVS, he did so in order to request that HVS use the same format for the hotel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MacDonald left it to Malhotra to perform the necessary field work and review the in-house data already collected by HVS concerning the Richmond market. Malhotra, whose evidence I accept, testified that he and MacDonald had no discussions before MacDonald left on vacation in mid-August, 1997, about the likely results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Malhotra derived the occupancy rates from the following: other feasibility studies performed by HVS in previous months, his field work, his analysis concerning the market share the proposed Hilton could expect to attain in each of the market segments, his choice of competitive set (both existing and anticipated), and the host of other factors described in his draft report of September 2,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HVS view of the Richmond hotel market was evident from the reports it completed only a few months earlier. HVS had projected, in February 1997, an 80% stabilized occupancy for the proposed Marriott Courtyard, and made the same projection for the Airport Holiday Inn in May 1997. The earlier reports are relevant in light of Sharbern's allegation that HVS chose the 80% occupancy projection to please Larco. The reports were received in evidence not to bolster or validate the opinions contained in the HVS report, but as evidence of the methodology HVS routinely used in its reports. The methodology is the same in all of the reports, including the HVS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MacDonald's belief that the Hilton could achieve an 80% stabilized occupancy rate was based at least in part on the fact that the existing hotels in the competitive set had almost twice as many rooms as the Hilton, without the quality of rooms or brand of the Hilton, yet they had consistently run occupancies in the range of 79% to 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methodology used by HVS is one that Flood, who has extensive experience both performing and reviewing feasibility studies, testified was appropriate and in accordance with industry practice. It is also one that Instance testified was usually appropriate, but which, in his opinion, required modification as a result of the highly unusual conditions present in the Richmond hotel market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Both MacDonald and Malhotra were aware, before being retained by Larco, that the Richmond hotel market had likely reached a peak in occupancy rates. The early work of Malhotra, and the HVS Report itself, reflect the view that there would be a 17% decline in occupancy rates between 1998 and 2000 with gradual recovery thereafter. Malhotra anticipated a major change in the market as a result of the new supply that was about to enter the market. However, he did not accept the suggestion that it would be a challenging market. Neither he nor MacDonald foresaw a decline in demand for hotel rooms. In particular, HVS placed unaccommodated demand at 22%, which meant that slightly more than one in five hotel customers could not be accommodated in Richmond and instead sought accommodation in hotels elsewhere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Significantly, HVS was not alone in its view that demand would continue to grow in the Richmond hotel market despite the new supply of hotel rooms. PKF prepared its rate projections in July, 1997. At that time, PKF projected a continuing growth in demand in the Richmond market, increasing 9.3% in 1998 and 10.3% in 1999, with demand increasing at a stabilized rate of 2.6% thereafter.</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HVS Analysis concerning ADR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Malhotra initially arrived at an opening room rate for the Hilton of $125 (in 1997 dollars; $131 in 1999 dollars) by comparing the Hilton to the Radisson, which had achieved an ADR in 1997 of $119. His view was that the Hilton had a superior location in Richmond and better quality rooms, particularly considering the age of the Radisson by the time the Hilton opened. He took into account the proportion of suites the Hilton would have in comparison to the Radisson. He was of the view that the Hilton, a higher quality brand than the Radisson, would command a higher room rate. Finally he took into account the rates being offered at the two much older and lesser quality Delta hotels, which were in the $115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MacDonald agreed with Malhotra's assessment. When Murray complained that HVS had not given sufficient weight to the suites component of the Hilton, HVS took a second look at the rates charged by all-suite hotels, and agreed to modify the ADR upward by another $2.00, to $127.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Once again, HVS was not alone in its views as to the room rates the Hilton could command upon opening. Even with the $2 upward adjustment, the ADR projected by HVS was not as high as that projected by PKF. The PKF projections concerning room rates were not much different than those ultimately reached by HVS. In fact, the PKF projections were slightly higher. PKF projected an opening rate of $131.38, almost identical to the $131.25 projected by HVS. PKF projected an average rate of $137.40 for 2000, while HVS projected $134.53. For the following two years, PKF's projections remained approximately $2 higher than those of HVS. Although in the final analysis ADR is not considered in isolation, but is considered in combination with occupancy rates, the foregoing indicates that the ADR figures of HVS were not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Sharbern was critical of the methodology used by HVS to arrive at the Hilton ADR, arguing that HVS unreasonably chose the Radisson as a starting point and arbitrarily (and unreasonably) assigned a $6 rate premium above that rate to the Hilton.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However, Sharbern's expert used the same methodology to arrive at his projected ADR for the Hilton. Instance acknowledged that using the Radisson ADR as a starting point was not unreasonable. His quarrel was with the </w:t>
      </w:r>
      <w:r>
        <w:rPr>
          <w:rFonts w:ascii="arial" w:eastAsia="arial" w:hAnsi="arial" w:cs="arial"/>
          <w:i/>
          <w:color w:val="000000"/>
          <w:sz w:val="20"/>
          <w:lang w:val="en-US" w:eastAsia="en-US" w:bidi="ar-SA"/>
        </w:rPr>
        <w:t>amount</w:t>
      </w:r>
      <w:r>
        <w:rPr>
          <w:rFonts w:ascii="arial" w:eastAsia="arial" w:hAnsi="arial" w:cs="arial"/>
          <w:color w:val="000000"/>
          <w:sz w:val="20"/>
          <w:lang w:val="en-US" w:eastAsia="en-US" w:bidi="ar-SA"/>
        </w:rPr>
        <w:t xml:space="preserve"> of the premium assigned by HVS to the Hilton. He would have put the premium at $2. In the result, the ADR projected by Instance was not significantly lower than that projected by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Sharbern argued that HVS unreasonably failed to foresee that a decline in occupancy would lead to a decline in room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 cannot agree that there is a necessary correlation between the two. First, the evidence suggested that even in the years 1999 and 2000, when the occupancy rates in Richmond suffered a steep decline, RevPar increased slightly. The necessary inference is that room rates increased in those years despite the significant decline in occupancy.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Second, no evidence was led by Sharbern that would suggest the PKF projections were unreasonable. To the contrary, Sharbern sought to demonstrate through the evidence of Instance that the ROI based on the PKF projections was within the range of reasonableness proposed by Instance. Yet PKF, like HVS, did not predict that declining occupancy would lead to declining room rates. As noted earlier, PKF projected a greater decline in occupancy than did HVS, yet projected a higher ADR than did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Third, both PKF and HVS projected a growth in demand. With that growth anticipated to absorb the new supply, a decline in room rates was not inevitable.</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Conclusions concerning the HVS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For the reasons indicated in paras. 231 - 238 above, I am satisfied that the ADR projections of HVS were reasonable. The occupancy rate projections of HVS were high, but I am satisfied in all of the circumstances that they were not unreasonable. All of the experts agreed that the conditions in the Richmond hotel market in 1997 were highly unusual and the performance of a hotel yet to be built was exceptionally difficult to predict. I accept that evidence. Further, in the three to four years previous to 1997, occupancy rates of some of the comparable hotels were in the 80% to 90% range. The precipitous drop in occupancy rates in the Richmond hotel market in the years immediately following was caused not only by the new supply of hotel rooms that came onto the market, but the host of other factors described in the reports of Flood and Rosen. I accept the evidence of Mr. Flood, for the reasons he expressed, that the occupancy rates projected by HVS for the five years in question were within a reasonable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As observed by Instance, one consultant may project a relatively high occupancy rate for a proposed hotel and a relatively low ADR, while another consultant, considering the same proposed hotel, may project a higher ADR with a lower occupancy. The main purpose of projecting ADR and occupancy rates is to derive a reasonable estimate of the room revenues or RevPar that a hotel can be expected to generate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Sharbern argued that Instance's projections ought to be regarded as being at the highest end of the range of reasonableness. I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Instance's prospective opinion in 1997 concerning the projected performance of the Delta Airport Hotel illustrates the uncertainty facing a consultant attempting to forecast the future performance of a hotel, particularly in the context of the unusual conditions existing in the Richmond hotel market in 1997. The Delta Airport was an established, operating hotel, not one that was two years from being built. Instance had the benefit of the hotel's operating history. Nevertheless, within three years of the report, Instance's projections concerning RevPar were 33% over the actual results. At five years, they were 92% higher than the actual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PKF prepared its last projections concerning the proposed Hilton in July 1997. Like HVS, PKF was attempting to read the market prospectively. PKF was acknowledged by all of the experts at trial, including Instance, as a competent hotel consulting firm and one of the leading firms in Canada. Instance said he did not necessarily agree that the PKF projections were reasonable. I find that assertion difficult to accept. In his written report, Instance sought to demonstrate that ROI averages derived from the PKF projections were within his proposed range of reasonableness. By implication, at least, Instance acknowledged that the PKF projections were within a reasonable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 am satisfied that Instance's opinion as to the occupancy and room rates that ought to have been projected for the Hilton was influenced by his knowledge, obviously gained by hindsight, that the Richmond hotel market suffered a major decline after 1997. He also knew that the Hilton underperformed significantly. The actual performance of the Hilton after its opening in 1999 became the unspoken standard against which the reasonableness of the HVS projections were measured. Each unit owner has lost, on average, 10% of his or her investment each year since 1999. The HVS projection was a 16% average rate of return over 5 years. Instance's projections would have given investors a yield of 10.9% at the high end of his projection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 do not accept that Instance's projections ought to be taken as the standard against which all other projections ought to be measured. I conclude that the PKF projections, which were made prospectively and at approximately the same time as the HVS projections, are a more realistic gauge of the projections one could expect from a competent hotel consultant in August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Assuming all other factors used in the KPMG calculations, but substituting the PKF RevPar projections, the ROI for the Hilton owners would have been 12.5% based on the PKF projections. It is significant that the Instance and HVS projections concerning ROI fall approximately equally on either side of the PKF projections. It is also significant that the Instance and HVS projections concerning RevPar, averaged over the 5 year period, fall approximately equally on either side of the PKF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There is no generally accepted range of reasonableness with respect to hotel market forecasts. I do not accept that a fixed range of reasonableness can be usefully applied to the forecasts of hotel consultants. I do accept that revenue projections of reasonably competent hotel consults can differ by substantial margins. How substantial the margin will depend on the circumstances existing in the market at the time. The experts all agreed that hotel market forecasts are based in large part on the personal experience, opinion and judgment of individual consultants who are attempting to predict the future. As observed by Instance in his preliminary report, there will always be unexpected events or circumstances that will change the market place, and any number of unforeseen factors may negate the consultant's forecast.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 observe, parenthetically, that such cautionary comments might suggest that investors ought to approach with caution, if not scepticism, ROI projections based on results of market feasibility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this case, the highly unusual circumstances present in the Richmond hotel market in 1997 made the financial performance of the Hilton particularly difficult to predict. Further, the Hilton was two years from completion. The high end of the range proposed by Instance for projected ROI, at 10.9%, was far from the actual performance of the Hilton. The projections of PKF were less optimistic than those of HVS, but an ROI of 12.5% based on those projections was also significantly off the mark. The PKF projections were, however, a more realistic measure of the performance one could expect from a hotel consultant at the material time. I conclude that while the projections of HVS were higher than those of PKF, they were within the range that a reasonably competent hotel consultant could be expected to produce.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HVS owed the Class a duty of care in respect of the financial projections which it knew would form the basis for the representations contained in the Hilton Disclosure Statement. However, the projections were reasonable. In the result, HVS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B.</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Alleged Misrepresentation by VAC of the Financial Projections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common issues concerning misrepresentation of the financial projections, and the occupancy and ADR projections underlying them, were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Did VAC owe a duty of care to the Class in respect of the representations contained in the Hilton Disclosure Statement? (c)(i)</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Did the Hilton Disclosure Statement misrepresent that the financial projections contained in the Hilton Disclosure Statement were based on reasonable assumptions that were derived by VAC? (c)(iii)</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Did the Hilton Disclosure Statement misrepresent that VAC had consulted with HVS in the preparation of the financial projections and that the unit owners could rely on the projections by reason of HVS's involvement in their preparation? (c)(iv)</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If the impugned representations were material, was VAC fraudulent or negligent? (c)(v) and (c)(vi)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Sharbern withdrew the allegation of fraudulent misrepresentation with respect to the financial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Given my conclusion that the projections based on the HVS forecasts were within a reasonable range, it follows that VAC was not negligent in representing to the Class that the financial projections contained in the Hilton Disclosure Statement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However, Sharbern argued that VAC went further than simply representing the reasonableness of the financial projections in the Hilton Disclosure Statement. According to Sharbern, the projections in the Hilton Disclosure Statement were represented to be the </w:t>
      </w:r>
      <w:r>
        <w:rPr>
          <w:rFonts w:ascii="arial" w:eastAsia="arial" w:hAnsi="arial" w:cs="arial"/>
          <w:i/>
          <w:color w:val="000000"/>
          <w:sz w:val="20"/>
          <w:lang w:val="en-US" w:eastAsia="en-US" w:bidi="ar-SA"/>
        </w:rPr>
        <w:t>most probable financial result</w:t>
      </w:r>
      <w:r>
        <w:rPr>
          <w:rFonts w:ascii="arial" w:eastAsia="arial" w:hAnsi="arial" w:cs="arial"/>
          <w:color w:val="000000"/>
          <w:sz w:val="20"/>
          <w:lang w:val="en-US" w:eastAsia="en-US" w:bidi="ar-SA"/>
        </w:rPr>
        <w:t>, and that VAC was not entitled to make that representation when it also had in hand the more conservative PKF projections. To address this argument, it is necessary to evaluate the precise nature of the representations contained in the Hilton Disclosure Statement.</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Duty of care of VAC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VAC acknowledged that it owed a duty of care to the Class in respect of the representations contained in the Hilton Disclosure Statement.</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nature of VAC's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Sharbern argued that VAC, through the Hilton Disclosure Statement, communicated three fundamental assertions concerning the financial projections:</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 prepared the projections in consultation with an independent hotel consultant and together they reached key conclusions as to projected occupancy and room rates;</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projections were prepared with reasonable care; and</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 believed the financial projections to be reasonable and the most probable economic or financial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VAC's response to Sharbern's position was as follows:</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VAC did not represent that the HVS projections were objectively reasonable, but merely that it </w:t>
      </w:r>
      <w:r>
        <w:rPr>
          <w:rFonts w:ascii="arial" w:eastAsia="arial" w:hAnsi="arial" w:cs="arial"/>
          <w:i/>
          <w:color w:val="000000"/>
          <w:sz w:val="20"/>
          <w:lang w:val="en-US" w:eastAsia="en-US" w:bidi="ar-SA"/>
        </w:rPr>
        <w:t>considered</w:t>
      </w:r>
      <w:r>
        <w:rPr>
          <w:rFonts w:ascii="arial" w:eastAsia="arial" w:hAnsi="arial" w:cs="arial"/>
          <w:color w:val="000000"/>
          <w:sz w:val="20"/>
          <w:lang w:val="en-US" w:eastAsia="en-US" w:bidi="ar-SA"/>
        </w:rPr>
        <w:t xml:space="preserve"> them to be reasonable.</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representation of reasonableness does not imply "the most probable financial result".</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VAC's representations regarding the HVS projections were truthful, particularly in the context of their qualifying language, and should be assessed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VAC vigorously denied representing that it believed the financial projections represented the </w:t>
      </w:r>
      <w:r>
        <w:rPr>
          <w:rFonts w:ascii="arial" w:eastAsia="arial" w:hAnsi="arial" w:cs="arial"/>
          <w:i/>
          <w:color w:val="000000"/>
          <w:sz w:val="20"/>
          <w:lang w:val="en-US" w:eastAsia="en-US" w:bidi="ar-SA"/>
        </w:rPr>
        <w:t>most probable</w:t>
      </w:r>
      <w:r>
        <w:rPr>
          <w:rFonts w:ascii="arial" w:eastAsia="arial" w:hAnsi="arial" w:cs="arial"/>
          <w:color w:val="000000"/>
          <w:sz w:val="20"/>
          <w:lang w:val="en-US" w:eastAsia="en-US" w:bidi="ar-SA"/>
        </w:rPr>
        <w:t xml:space="preserve"> economic or financial result. It says Sharbern did not plead that claim or identify it as a common issue. According to VAC, a representation that a projected result is thought to be reasonable is not the same as a representation that it is the </w:t>
      </w:r>
      <w:r>
        <w:rPr>
          <w:rFonts w:ascii="arial" w:eastAsia="arial" w:hAnsi="arial" w:cs="arial"/>
          <w:i/>
          <w:color w:val="000000"/>
          <w:sz w:val="20"/>
          <w:lang w:val="en-US" w:eastAsia="en-US" w:bidi="ar-SA"/>
        </w:rPr>
        <w:t>most probable</w:t>
      </w:r>
      <w:r>
        <w:rPr>
          <w:rFonts w:ascii="arial" w:eastAsia="arial" w:hAnsi="arial" w:cs="arial"/>
          <w:color w:val="000000"/>
          <w:sz w:val="20"/>
          <w:lang w:val="en-US" w:eastAsia="en-US" w:bidi="ar-SA"/>
        </w:rPr>
        <w:t xml:space="preserv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Third Amended Statement of Claim, paragraphs 37 and 38, state as follows:</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assumptions underlying the projected annual cash returns were not reasonable, at the time. [HVS's] representations that it considered the projected occupancy rates and average daily room rates as reasonable were negligent. VAC's representations that it considered all the assumptions as reasonable were negligent.</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deciding to purchase their strata lots, the Owners relied on</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[HVS's] misrepresentations that the projected occupancy rates and average daily room rates (as elements in the projections of annual cash returns) were reasonable;</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VAC's misrepresentation that the Owners could rely on the projected annual cash returns by reason of [HVS's] involvement in their preparation; and</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VAC's misrepresentations that the projected annual cash returns were based on reasonable assumptions and were themselves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pleadings do not disclose an allegation that VAC represented the projections to be the most probable financial result. Sharbern merely pleaded that VAC represented that the projections were reasonable. However, for the reasons that follow, I have concluded that VAC did not represent the projections to be the most probable financial result. Accordingly, I need not determine whether Sharbern is entitled to make the argument despite the absence of the allegation in its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precise representations made by VAC with respect to the financial projections are contained in Article 4.14 of the Hilton Disclosure Statement and Exhibit K. For convenience, I will reproduce Article 4.14 again: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4.14 Financial Projections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Annexed to this Disclosure Statement as Exhibit K are the financial projections of management, audited by KPMG, which are incorporated by reference herein. The reader is cautioned that some of the assumptions and hypotheses used in the preparation of the financial projections, </w:t>
      </w:r>
      <w:r>
        <w:rPr>
          <w:rFonts w:ascii="arial" w:eastAsia="arial" w:hAnsi="arial" w:cs="arial"/>
          <w:i/>
          <w:color w:val="000000"/>
          <w:sz w:val="20"/>
          <w:lang w:val="en-US" w:eastAsia="en-US" w:bidi="ar-SA"/>
        </w:rPr>
        <w:t>although considered reasonable by the Developer, may prove to be incorrect.</w:t>
      </w:r>
      <w:r>
        <w:rPr>
          <w:rFonts w:ascii="arial" w:eastAsia="arial" w:hAnsi="arial" w:cs="arial"/>
          <w:color w:val="000000"/>
          <w:sz w:val="20"/>
          <w:lang w:val="en-US" w:eastAsia="en-US" w:bidi="ar-SA"/>
        </w:rPr>
        <w:t xml:space="preserve"> The actual results achieved will vary and the variations may be material.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Note #1 to Exhibit K, KPMG's auditors' report on the financial projections, contains the following statement regarding the financial projection prepared by VAC management on the basis of the HVS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accompanying financial projection (the "Projection") ... has been prepared ... on the basis of the following assumptions and hypotheses provided by the management of Vancouver Airport Centre Ltd. (the "Developer"). </w:t>
      </w:r>
      <w:r>
        <w:rPr>
          <w:rFonts w:ascii="arial" w:eastAsia="arial" w:hAnsi="arial" w:cs="arial"/>
          <w:i/>
          <w:color w:val="000000"/>
          <w:sz w:val="20"/>
          <w:lang w:val="en-US" w:eastAsia="en-US" w:bidi="ar-SA"/>
        </w:rPr>
        <w:t>These assumptions and hypotheses were derived in consultation with MM&amp;R Valuation Services Inc. (which</w:t>
      </w:r>
      <w:r>
        <w:rPr>
          <w:rFonts w:ascii="arial" w:eastAsia="arial" w:hAnsi="arial" w:cs="arial"/>
          <w:color w:val="000000"/>
          <w:sz w:val="20"/>
          <w:lang w:val="en-US" w:eastAsia="en-US" w:bidi="ar-SA"/>
        </w:rPr>
        <w:t xml:space="preserve"> does </w:t>
      </w:r>
      <w:r>
        <w:rPr>
          <w:rFonts w:ascii="arial" w:eastAsia="arial" w:hAnsi="arial" w:cs="arial"/>
          <w:i/>
          <w:color w:val="000000"/>
          <w:sz w:val="20"/>
          <w:lang w:val="en-US" w:eastAsia="en-US" w:bidi="ar-SA"/>
        </w:rPr>
        <w:t>business as HVS International-Canada) an independent consulting company with experience in the hotel industry.</w:t>
      </w:r>
      <w:r>
        <w:rPr>
          <w:rFonts w:ascii="arial" w:eastAsia="arial" w:hAnsi="arial" w:cs="arial"/>
          <w:color w:val="000000"/>
          <w:sz w:val="20"/>
          <w:lang w:val="en-US" w:eastAsia="en-US" w:bidi="ar-SA"/>
        </w:rPr>
        <w:t xml:space="preserve"> To the best </w:t>
      </w:r>
      <w:r>
        <w:rPr>
          <w:rFonts w:ascii="arial" w:eastAsia="arial" w:hAnsi="arial" w:cs="arial"/>
          <w:i/>
          <w:color w:val="000000"/>
          <w:sz w:val="20"/>
          <w:lang w:val="en-US" w:eastAsia="en-US" w:bidi="ar-SA"/>
        </w:rPr>
        <w:t>of</w:t>
      </w:r>
      <w:r>
        <w:rPr>
          <w:rFonts w:ascii="arial" w:eastAsia="arial" w:hAnsi="arial" w:cs="arial"/>
          <w:color w:val="000000"/>
          <w:sz w:val="20"/>
          <w:lang w:val="en-US" w:eastAsia="en-US" w:bidi="ar-SA"/>
        </w:rPr>
        <w:t xml:space="preserve"> the Developer's </w:t>
      </w:r>
      <w:r>
        <w:rPr>
          <w:rFonts w:ascii="arial" w:eastAsia="arial" w:hAnsi="arial" w:cs="arial"/>
          <w:i/>
          <w:color w:val="000000"/>
          <w:sz w:val="20"/>
          <w:lang w:val="en-US" w:eastAsia="en-US" w:bidi="ar-SA"/>
        </w:rPr>
        <w:t>knowledge and belief,</w:t>
      </w:r>
      <w:r>
        <w:rPr>
          <w:rFonts w:ascii="arial" w:eastAsia="arial" w:hAnsi="arial" w:cs="arial"/>
          <w:color w:val="000000"/>
          <w:sz w:val="20"/>
          <w:lang w:val="en-US" w:eastAsia="en-US" w:bidi="ar-SA"/>
        </w:rPr>
        <w:t xml:space="preserve"> the Projection reflects </w:t>
      </w:r>
      <w:r>
        <w:rPr>
          <w:rFonts w:ascii="arial" w:eastAsia="arial" w:hAnsi="arial" w:cs="arial"/>
          <w:i/>
          <w:color w:val="000000"/>
          <w:sz w:val="20"/>
          <w:lang w:val="en-US" w:eastAsia="en-US" w:bidi="ar-SA"/>
        </w:rPr>
        <w:t>plausible</w:t>
      </w:r>
      <w:r>
        <w:rPr>
          <w:rFonts w:ascii="arial" w:eastAsia="arial" w:hAnsi="arial" w:cs="arial"/>
          <w:color w:val="000000"/>
          <w:sz w:val="20"/>
          <w:lang w:val="en-US" w:eastAsia="en-US" w:bidi="ar-SA"/>
        </w:rPr>
        <w:t xml:space="preserve"> results of operations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net income and Annual Cash Return to sample individual strata lot owners for the period covered by the Projection.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Projection has been prepared by management as at February 3, 1998 using assumptions that reflect </w:t>
      </w:r>
      <w:r>
        <w:rPr>
          <w:rFonts w:ascii="arial" w:eastAsia="arial" w:hAnsi="arial" w:cs="arial"/>
          <w:i/>
          <w:color w:val="000000"/>
          <w:sz w:val="20"/>
          <w:lang w:val="en-US" w:eastAsia="en-US" w:bidi="ar-SA"/>
        </w:rPr>
        <w:t>management's intended</w:t>
      </w:r>
      <w:r>
        <w:rPr>
          <w:rFonts w:ascii="arial" w:eastAsia="arial" w:hAnsi="arial" w:cs="arial"/>
          <w:color w:val="000000"/>
          <w:sz w:val="20"/>
          <w:lang w:val="en-US" w:eastAsia="en-US" w:bidi="ar-SA"/>
        </w:rPr>
        <w:t xml:space="preserve"> course of </w:t>
      </w:r>
      <w:r>
        <w:rPr>
          <w:rFonts w:ascii="arial" w:eastAsia="arial" w:hAnsi="arial" w:cs="arial"/>
          <w:i/>
          <w:color w:val="000000"/>
          <w:sz w:val="20"/>
          <w:lang w:val="en-US" w:eastAsia="en-US" w:bidi="ar-SA"/>
        </w:rPr>
        <w:t>action</w:t>
      </w:r>
      <w:r>
        <w:rPr>
          <w:rFonts w:ascii="arial" w:eastAsia="arial" w:hAnsi="arial" w:cs="arial"/>
          <w:color w:val="000000"/>
          <w:sz w:val="20"/>
          <w:lang w:val="en-US" w:eastAsia="en-US" w:bidi="ar-SA"/>
        </w:rPr>
        <w:t xml:space="preserve"> at that date for the period covered, given </w:t>
      </w:r>
      <w:r>
        <w:rPr>
          <w:rFonts w:ascii="arial" w:eastAsia="arial" w:hAnsi="arial" w:cs="arial"/>
          <w:i/>
          <w:color w:val="000000"/>
          <w:sz w:val="20"/>
          <w:lang w:val="en-US" w:eastAsia="en-US" w:bidi="ar-SA"/>
        </w:rPr>
        <w:t>management's judgment as to the</w:t>
      </w:r>
      <w:r>
        <w:rPr>
          <w:rFonts w:ascii="arial" w:eastAsia="arial" w:hAnsi="arial" w:cs="arial"/>
          <w:color w:val="000000"/>
          <w:sz w:val="20"/>
          <w:lang w:val="en-US" w:eastAsia="en-US" w:bidi="ar-SA"/>
        </w:rPr>
        <w:t xml:space="preserve"> most </w:t>
      </w:r>
      <w:r>
        <w:rPr>
          <w:rFonts w:ascii="arial" w:eastAsia="arial" w:hAnsi="arial" w:cs="arial"/>
          <w:i/>
          <w:color w:val="000000"/>
          <w:sz w:val="20"/>
          <w:lang w:val="en-US" w:eastAsia="en-US" w:bidi="ar-SA"/>
        </w:rPr>
        <w:t>probable</w:t>
      </w:r>
      <w:r>
        <w:rPr>
          <w:rFonts w:ascii="arial" w:eastAsia="arial" w:hAnsi="arial" w:cs="arial"/>
          <w:color w:val="000000"/>
          <w:sz w:val="20"/>
          <w:lang w:val="en-US" w:eastAsia="en-US" w:bidi="ar-SA"/>
        </w:rPr>
        <w:t xml:space="preserve"> set </w:t>
      </w:r>
      <w:r>
        <w:rPr>
          <w:rFonts w:ascii="arial" w:eastAsia="arial" w:hAnsi="arial" w:cs="arial"/>
          <w:i/>
          <w:color w:val="000000"/>
          <w:sz w:val="20"/>
          <w:lang w:val="en-US" w:eastAsia="en-US" w:bidi="ar-SA"/>
        </w:rPr>
        <w:t>of</w:t>
      </w:r>
      <w:r>
        <w:rPr>
          <w:rFonts w:ascii="arial" w:eastAsia="arial" w:hAnsi="arial" w:cs="arial"/>
          <w:color w:val="000000"/>
          <w:sz w:val="20"/>
          <w:lang w:val="en-US" w:eastAsia="en-US" w:bidi="ar-SA"/>
        </w:rPr>
        <w:t xml:space="preserve"> economic conditions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Although considered reasonable at the time of the Projection's preparation, some assumptions inevitably will not materialize and unanticipated events and circumstances will occur subsequent to the date of the Projection. In addition, the Projection is based on hypotheses and there is a significant risk that actual results will vary, perhaps materially, from the results projected. Accordingly, there is absolutely no representation that the Projection will be realized in whole or in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(Italics added; bold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 conclude that a reasonably prudent investor would read Note #1 as a containing the following representations by the developer with respect to the financial projections:</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 arrived at the financial projections in consultation with an experienced and independent hotel consultant and, to the developer's knowledge and belief, the projections are plausible; and</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projections are based on the developer's judgment as to the most probable set of economic conditions existing throughout the projection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At the very least, VAC represented that it believed the financial projections to be reasonable. The question is whether, beyond that subjective belief, VAC impliedly represented the projections to be objectively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The mere inclusion of a forecast in a prospectus does not automatically import an implied representation that the forecast is objectively reasonable. The presence or absence of such a representation is a question of fact requiring an examination of all of the circumstances. In </w:t>
      </w:r>
      <w:r>
        <w:rPr>
          <w:rFonts w:ascii="arial" w:eastAsia="arial" w:hAnsi="arial" w:cs="arial"/>
          <w:b/>
          <w:i/>
          <w:color w:val="000000"/>
          <w:sz w:val="20"/>
          <w:lang w:val="en-US" w:eastAsia="en-US" w:bidi="ar-SA"/>
        </w:rPr>
        <w:t>Kerr v. Danier Leather</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(2005), 77 O.R. (3d) 321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Danier</w:t>
      </w:r>
      <w:r>
        <w:rPr>
          <w:rFonts w:ascii="arial" w:eastAsia="arial" w:hAnsi="arial" w:cs="arial"/>
          <w:color w:val="000000"/>
          <w:sz w:val="20"/>
          <w:lang w:val="en-US" w:eastAsia="en-US" w:bidi="ar-SA"/>
        </w:rPr>
        <w:t>], the Ontario Court of Appeal reversed the decision of the trial judge on the basis that he had arrived at his finding of an implied representation of objective reasonableness as a conclusion of law. The Court of Appeal said the following at para. 139: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Absent legislation that deems a forecast to carry such an implied assertion, the finding that a representation has been made (whether explicitly or implicitly) is a finding of fact, not a conclusion of law. The case of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128 ff. provides an example of this. There lacobucci J. discusses at length the implied representations found by the trial judge to have been made as a matter of fact. Such a conclusion is not surprising, since whether a statement was made, either expressly or by implication, is surely a question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VAC did not, by merely including the projections in the Hilton Disclosure Statement, represent the projections as being objectively reasonable. It follows that VAC did not, by merely including the projections in the Hilton Disclosure Statement, represent the projections as being the most probable financial result. However, I must consider whether VAC impliedly represented that the projections were objectively reasonable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that they were the most probable financial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Danier</w:t>
      </w:r>
      <w:r>
        <w:rPr>
          <w:rFonts w:ascii="arial" w:eastAsia="arial" w:hAnsi="arial" w:cs="arial"/>
          <w:color w:val="000000"/>
          <w:sz w:val="20"/>
          <w:lang w:val="en-US" w:eastAsia="en-US" w:bidi="ar-SA"/>
        </w:rPr>
        <w:t xml:space="preserve"> considered whether a representation of objective reasonableness was implied from the language used in the prospectus in that case. The court ruled that the defendant company did not impliedly represent in the prospectus that its belief in its ability to achieve the forecasted financial results was objectively reasonable. It is noteworthy that in reaching its conclusion, the court emphasized the absence of any language in the prospectus suggesting that the company's belief was shared by reasonable business people, or that their belief was otherwise reasonable in an objective sense: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in another case, the facts might yield a different conclusion, in this case there is no evidence - and nothing in the language of the prospectus itself - to suggest that the appellant's subjective belief that the Forecast was reasonable was shared by reasonable business people or was otherwise being put forward as "objectively reasonable". A reasonable person reading the prospectus would certainly conclude that the Forecast represented management's best judgment. The prospectus says so explicitly. Indeed, in a competitive marketplace that is the judgment that the investor is looking for. The reader of this prospectus would not, however, conclude that the appellants were also implicitly saying that their best judgment was shared by reasonable business people, or would be seen as reasonable by a trial judge, or was otherwise "objectively"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Danier</w:t>
      </w:r>
      <w:r>
        <w:rPr>
          <w:rFonts w:ascii="arial" w:eastAsia="arial" w:hAnsi="arial" w:cs="arial"/>
          <w:color w:val="000000"/>
          <w:sz w:val="20"/>
          <w:lang w:val="en-US" w:eastAsia="en-US" w:bidi="ar-SA"/>
        </w:rPr>
        <w:t xml:space="preserve"> at para.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In the present case, Note #1 in Exhibit K states that the financial projections were prepared on the basis of assumptions and hypotheses derived by VAC </w:t>
      </w:r>
      <w:r>
        <w:rPr>
          <w:rFonts w:ascii="arial" w:eastAsia="arial" w:hAnsi="arial" w:cs="arial"/>
          <w:i/>
          <w:color w:val="000000"/>
          <w:sz w:val="20"/>
          <w:lang w:val="en-US" w:eastAsia="en-US" w:bidi="ar-SA"/>
        </w:rPr>
        <w:t>in consultation with HVS</w:t>
      </w:r>
      <w:r>
        <w:rPr>
          <w:rFonts w:ascii="arial" w:eastAsia="arial" w:hAnsi="arial" w:cs="arial"/>
          <w:color w:val="000000"/>
          <w:sz w:val="20"/>
          <w:lang w:val="en-US" w:eastAsia="en-US" w:bidi="ar-SA"/>
        </w:rPr>
        <w:t>. HVS is described as an independent consulting company with experience in the hotel industry. Immediately following those factual assertions is the further assertion that to the best of VAC's knowledge and belief, the financial projections reflect plausible results. The two assertions are plainly meant to be read together, and together contain the representation by VAC that the financial projections were objectively reasonable because they were derived not only by VAC but by an independent and experienced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VAC argued that whether there was an implied representation that the financial projections were objectively reasonable cannot be determined in isolation from the numerous and emphatic cautionary statements contained in the Hilton Disclosure Statement. One cannot ignore the context of the representations, said VAC, which was the future financial performance of a hypothetical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There is no question that the Hilton Disclosure Statement is replete with cautionary statements. Article 4.14 of the Hilton Disclosure Statement, for example, states that while VAC considered the assumptions and hypotheses underlying the financial projections to be reasonable, they may prove to be incorrect, and "[t]he actual results achieved will vary and the variations may be material". Note #1 in Exhibit K cautions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considered reasonable at the time of the Projection's preparation, some assumptions inevitably will not materialize and unanticipated events and circumstances will occur subsequent to the date of the Projection. In addition, the Projection is based on hypotheses and there is a significant risk that actual results will vary, perhaps materially, from the results projected. Accordingly, there is absolutely no representation that the Projection will be realized in whole or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and the many other clauses reproduced earlier in these reasons served to remind potential investors that the developer was providing a forecast that may prove to be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However, the effect of cautionary statements about the uncertain nature of the financial projections is a question distinct from whether there was an implied representation that the projections were objectively reasonable. I have concluded that VAC, by the language it used, impliedly asserted that the projections were objectively reasonable both as a result of the developer's experience and the involvement of an independent and experienced consultant. Broadly speaking, VAC represented that the financial projections were reasonable, but cautioned that while reasonable, they were nevertheless projections and may not be realized. While the cautionary statements may be relevant to the issue of materiality, they do not bear on the question of whether VAC represented that the financial projections were objectively reasonable, and I find that VAC represented them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However, I find that VAC did not go so far as to represent the projections to be the most probable financial result. VAC stated that the projections were "plausible", but that is not the same as representing the projections to be the most probable financial result. Sharbern referred to The Canadian Oxford Dictionary (Don Mills, Ont.: Oxford University Press, 1998) definition of "plausible", which is as follows: "1. (of an argument, statement, etc.) seeming reasonable, believable, or probable. 2. persuasive". Sharbern argued that by using the word "plausible", VAC represented the projections to be the most probable financial result. I do not read the Oxford definition as equating "plausible" with "probable". Most certainly, the definition cannot be read as equating "plausible" with "most probable". At most, it equates "plausible" with "</w:t>
      </w:r>
      <w:r>
        <w:rPr>
          <w:rFonts w:ascii="arial" w:eastAsia="arial" w:hAnsi="arial" w:cs="arial"/>
          <w:i/>
          <w:color w:val="000000"/>
          <w:sz w:val="20"/>
          <w:lang w:val="en-US" w:eastAsia="en-US" w:bidi="ar-SA"/>
        </w:rPr>
        <w:t>seeming</w:t>
      </w:r>
      <w:r>
        <w:rPr>
          <w:rFonts w:ascii="arial" w:eastAsia="arial" w:hAnsi="arial" w:cs="arial"/>
          <w:color w:val="000000"/>
          <w:sz w:val="20"/>
          <w:lang w:val="en-US" w:eastAsia="en-US" w:bidi="ar-SA"/>
        </w:rPr>
        <w:t xml:space="preserve">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Concise Oxford English Dictionary, 11th ed. (Oxford: Oxford University Press, 2004) defines "plausible" as "apparently reasonable or probable, without necessarily being so". Taking the definitions together, they do not support the conclusion that "plausible" is synonymous with "most probable". Regardless of which definition is applied, when considering implied representations it is the totality of the language used that must be considered. Considering all the language used in the Hilton Disclosure Statement, I conclude that VAC did not represent the projections to be the most probable financial result.</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Conclusion regarding VAC's financial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 find that VAC represented the financial projections as being reasonable, but not as being the most probable financial result. Having concluded that the HVS forecasts were reasonable, and bearing in mind that the financial projections were based on those forecasts, VAC's assertion that the projections were reasonable was not a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C.</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Alleged Misrepresentations by VAC concerning Conflict of Interest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following common issues were stated regarding the alleged conflict of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Did the Hilton Disclosure Statement misrepresent the conflict of interest and the agreements between VAC and the unit owners of the Airport Marriott Hotel as alleged in the amended statement of claim? (c)(ii)</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If the impugned representations were material, was VAC fraudulent or negligent? (c)(iv)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Sharbern alleges that VAC was in a position of conflict, and misrepresented the conflict of interest by first, asserting the absence of an actual or potential conflict in the Hilton Disclosure Statement and second, by asserting that the agreements between VAC and the unit owners of the Marriott were substantially similar to the agreements between VAC and the Hilton unit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In respect of common issue (c)(iv), Sharbern argued the court should conclude that VAC's misrepresentation was made recklessly, without caring whether it was true or false. At a minimum, said Sharbern, VAC's misrepresentation was negligent. For convenience, I will again reproduce the language of paragraphs 4.9(i) and 4.11 of the Hilton Disclosure Statement.</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Liabilities and Obligations of the Developer.</w:t>
      </w:r>
      <w:r>
        <w:rPr>
          <w:rFonts w:ascii="arial" w:eastAsia="arial" w:hAnsi="arial" w:cs="arial"/>
          <w:color w:val="000000"/>
          <w:sz w:val="20"/>
          <w:lang w:val="en-US" w:eastAsia="en-US" w:bidi="ar-SA"/>
        </w:rPr>
        <w:t xml:space="preserve"> The developer is currently developing the Vancouver Airport Marriott, a 237 room full service hotel, on the Parent Property. The Vancouver Airport Marriott is scheduled for completion in or about June of 1998. In this regard, the Developer has entered into purchase agreements, ancillary documents similar in form and substance to the Agreements, and certain additional agreements with purchasers of strata lots comprising the Vancouver Airport Marriott, all of which give rise to certain liabilities and obligations of the Developer which could impact upon its ability to perform its obligations under the Agreements.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4.11 Conflicts of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Developer is not aware of any existing or potential conflicts of interest among the Developer, the directors and officers of the Developer, Larco Investments Ltd. as the shareholder of the Developer or those persons providing professional services to the Developer that could reasonably be expected to materially affect the purchaser's investment decision. An affiliate of the Developer will be entitled to a fee payable to the manager under the Management Agreement and the Developer is entitled to income from Hotel Strata Lots which the Developer retains.</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Sharbern argued that VAC's exposure under the Marriott guarantee and the more attractive management fee arrangements under the Marriott HAMA gave VAC an undisclosed incentive to prefer the Marriott, an incentive it clearly had the power to act upon. Further, said Sharbern, to the extent the purchasers were alerted to the fact of common ownership or management of the Hilton and Marriott, or similar arrangements with respect to the two hotels, they were also advised that VAC was unaware of any conflicts that could reasonably be expected to materially affect the purchaser's investment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According to Sharbern, VAC was required to disclose not only the Marriott guarantee and management fee, but also the conflict of interest created by them. It is that latter disclosure, said Sharbern, which would have connected the facts underlying the conflict to the existence of the conflict and would thereby have brought home to the investors the significance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VAC argued that by stating to the Hilton investors that it had entered into agreements with the Marriott owners "similar in form and substance" to those for the Hilton, it disclosed its role as Asset Manager of the Marriott with responsibilities to manage the assets and operations of the Marriott similar to those of the Hilton. It had already disclosed, in Article 4.8 of the Hilton Disclosure Statement, that it owned and operated the Richmond Inn, that it was developing the Marriott, and that its affiliate (HMS) would manage the Hilton. VAC pointed as well to its disclosure of the various agreements, including licensing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Further, said VAC, it disclosed as a risk factor that it had entered into "certain additional agreements" with the Marriott owners which could impact on its ability to perform its obligations to the Hilton investors. Having provided that cautionary information, it was not required to expressly disclose the Marriott guarantee or the differences in the management fee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VAC referred to the evidence of Lalji, who testified that at the time the Hilton Disclosure Statement was issued in February 1998, he did not believe VAC's asset management and operation of the Marriott had the potential to conflict with its responsibilities under the Hilton agreements. Lalji noted that he had no input into the drafting of the Hilton Disclosure Statement. He retained solicitors to advise him on the structuring of the offering and to prepare the drafts.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Lalji also testified that he was aware of other examples of the common management of competing hotels with different ownership structures. The Delta hotel chain managed both Delta Hotels in Richmond, the Fairmont chain managed the Hotel Vancouver and the Fairmont Waterfront, and the Marriott managed the Pinnacle and the Renaissance. Lalji also emphasized that both the Marriott and the Hilton franchises were aware of the common management structure at the Vancouver Airport Centre, and neither expressed any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Lalji said he anticipated the hotels would be operated as independently as possible. He was aware that a significant amount of the business would be brand driven. In the case of business derived from local sales, he was aware that each hotel would have its own sales staff.</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VAC acknowledged that it owed a duty of care to the Class members with respect to the representations contained in the Hilton Disclosure Statement.</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Was there a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I have concluded that the undisclosed compensation structure of the Marriott HAMA and the Marriott guarantee gave rise to at least a potential for conflict of interest, particularly in view of the potential for common management. Under the Marriott guarantee, VAC made more money, or lost less money, when a potential customer chose the Marriott over the Hilton. Because of the differential in the 3% (Hilton) and 5% (Marriott) management fee, VAC collected more money in management fees if the Marriott revenue was relatively higher than the Hilton revenue. Finally, there was an additional incentive fee that VAC could earn through the better performance of the Marriott.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It may be that hotel chains such as the Delta and the Fairmont engage in common management of competing hotel properties. However, there was no evidence offered by VAC (or its experts) as to whether those properties were in the same competitive set, whether the management fee or other financial arrangements governing the properties were the same, whether those details were disclosed to the owners, or, most importantly, whether there were representations to investors concerning potential or actual conflicts of interest as a result of common management. Without those additional facts, the fact of common management of other hotel properties is of little probative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Further, there was no suggestion that these other commonly managed hotel properties shared the unique circumstances of the Marriott and Hilton. The two hotels are, in essence, identical facilities. They are mirror images of one another. They stand side by side on the same property, adjoined by a concourse. They are built to a common plan with common amenities and offer the same quality of service. In every way, they compete head to head for the same clientele.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Under the investment structure it created, VAC owed identical duties to these two identical and proximate hotels. Lalji was the president of both VAC and HMS. He executed both sides of the management agreements under which HMS managed the Hilton and the Marriott. Lalji had the ability to amend the agreements at any time. He also had the ability, either directly or through Pfeifer, to influence the operation of the two hotels at a policy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Because the two hotels were in direct competition with one another to attract the same clientele, the interests of their owners were not congruent. The response of VAC and HMS to distance the management of the hotels from senior management of HMS, and to have the hotels operate as autonomously from one another as is possible, was at least an implicit recognition of this fact. However, there is nothing in the management structure established by VAC and HMS that requires the hotels to be run autonomously. The general managers are hired by, and report to, HMS senior management. The staff members at both hotels are all employees of VAC. Senior management attempts to intervene in the operation of the hotels as rarely as possible, but has the right to intervene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autonomy of the general managers is significantly qualified. They report financial results monthly to senior management. Some individual management decisions are reviewed with senior management. While the hotels are direct competitors, the general managers view themselves as part of the Larco team. General managers are routinely promoted to senior management of the Larco team, especially those who perform to Larco's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Pfeifer testified that the Regional Revenue Manager was in possession of confidential information relating the operations of the Hilton and the Marriott that she would not want in the hands of a competitor such as the Delta chain. Yet senior management of HMS has ongoing access to the confidential information of both the Hilton and the Marriott.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The evidence of Pfeifer was that the general managers under her direction would not accept any direction from her that had the effect of favouring the Marriott over the Hilton. However, that evidence reflects what Pfeifer would do, not what she was entitled to do in her position as senior management responsible for the operations of both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VAC submitted that any interventions by senior management were initiated to ensure fairness and protect the business of all three hotels. That may well be the case. However, the fact that a common manager may choose to allocate market share for the benefit of the group, though at the expense of one of the hotels, illustrates the conflict. The highly competitive hotel industry does not embrace the notion of even-handedness.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There was considerable evidence led by VAC concerning the benefits to the hotels of sharing resources and expenses. However, that evidence does not establish the lack of a conflict of interest. The existence of a potential benefit does not diminish or eradicate the existence of a conflict of interest, nor does it affect the materiality of the conflict. They are separate considerations. An investor is entitled to consider them separately. It is for the investor to decide whether the benefits of cost and resource sharing outweigh the detriment of the conflict. An investor cannot engage in that weighing process unless the conflict is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Much of the evidence led by VAC supported the assertion that neither VAC nor HMS would have preferred the Marriott, and did not do so. That evidence is similar to the evidence of Lalji, which was that he would not undermine his reputation by taking advantage of the opportunity to prefer the Marriott. On the basis of that evidence, VAC argued there was no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 cannot agree. That evidence does not go to the issue of the existence of conflict. It goes only to whether VAC would have acted on the opportunities raised by the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 conclude there was a conflict of interest which VAC ought to have known existed as a result of the differences in the Marriott and Hilton agreements and VAC's common management of the two hotels.</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Did VAC misrepresent the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Article 4.11 of the Hilton Disclosure Statement, VAC represented that it was unaware of any conflicts "that could reasonably be expected to materially affect the purchaser's investment decision." The reader was invited to conclude that VAC, the party in possession of all of the facts and documents bearing on the management of the three hotels, was unaware of any existing or potential conflicts of interest which might materially affect their decision to invest.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Article 4.9(i) describes the Marriott agreements as "similar in form and substance" to the Hilton agreements, and goes on to say that VAC had entered into "certain additional agreements" with the Marriott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 cannot accept VAC's submission that the reference to those "additional" agreements ought to have alerted the Hilton investors to the Marriott guarantee and the 5%, plus incentive, management fee under the Marriott HAMA. It was not sufficient to advise the reader of the existence of "other" agreements. That tells the reader very little. Given the existence of the conflict described above, VAC was required to disclose the nature of those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Nor was it sufficient for VAC to tell the reader that the other agreements "could impact upon its ability to perform its obligations" to the Hilton investors, without disclosing how or why, in VAC's view, the other agreements could operate in such a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To the extent that the reader was alerted to the existence of the Marriott agreements, or to the fact of common ownership and management, the reader was also advised that VAC was not aware of any possible conflict of interest. VAC failed to disclose the facts underlying the conflict, and expressly denied the existence of a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VAC had a duty to provide full, true and plain disclosure of all material facts in the Hilton Disclosure Statement. I find that VAC misrepresented the conflict of interest and the agreements between VAC and the unit owners of the Marriott.</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Materiality of the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Sharbern Appeal</w:t>
      </w:r>
      <w:r>
        <w:rPr>
          <w:rFonts w:ascii="arial" w:eastAsia="arial" w:hAnsi="arial" w:cs="arial"/>
          <w:color w:val="000000"/>
          <w:sz w:val="20"/>
          <w:lang w:val="en-US" w:eastAsia="en-US" w:bidi="ar-SA"/>
        </w:rPr>
        <w:t xml:space="preserve">, the Court of Appeal considered the standard for materiality in proxy solicitations. It referred to an earlier decision of the court in </w:t>
      </w:r>
      <w:r>
        <w:rPr>
          <w:rFonts w:ascii="arial" w:eastAsia="arial" w:hAnsi="arial" w:cs="arial"/>
          <w:b/>
          <w:i/>
          <w:color w:val="000000"/>
          <w:sz w:val="20"/>
          <w:lang w:val="en-US" w:eastAsia="en-US" w:bidi="ar-SA"/>
        </w:rPr>
        <w:t>Inmet Mining Corp. v. Homestake Canada Inc.</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2003 BCCA 610</w:t>
        </w:r>
      </w:hyperlink>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24 B.C.L.R. (4th) 1</w:t>
        </w:r>
      </w:hyperlink>
      <w:r>
        <w:rPr>
          <w:rFonts w:ascii="arial" w:eastAsia="arial" w:hAnsi="arial" w:cs="arial"/>
          <w:color w:val="000000"/>
          <w:sz w:val="20"/>
          <w:lang w:val="en-US" w:eastAsia="en-US" w:bidi="ar-SA"/>
        </w:rPr>
        <w:t xml:space="preserve"> in which Levine J.A. quoted with approval the standard of materiality in proxy solicitations as stated by the United States Supreme Court in </w:t>
      </w:r>
      <w:r>
        <w:rPr>
          <w:rFonts w:ascii="arial" w:eastAsia="arial" w:hAnsi="arial" w:cs="arial"/>
          <w:b/>
          <w:i/>
          <w:color w:val="000000"/>
          <w:sz w:val="20"/>
          <w:lang w:val="en-US" w:eastAsia="en-US" w:bidi="ar-SA"/>
        </w:rPr>
        <w:t>TSC v. Northway</w:t>
      </w:r>
      <w:r>
        <w:rPr>
          <w:rFonts w:ascii="arial" w:eastAsia="arial" w:hAnsi="arial" w:cs="arial"/>
          <w:color w:val="000000"/>
          <w:sz w:val="20"/>
          <w:lang w:val="en-US" w:eastAsia="en-US" w:bidi="ar-SA"/>
        </w:rPr>
        <w:t>, 426 U.S. 438 (1976) [</w:t>
      </w:r>
      <w:r>
        <w:rPr>
          <w:rFonts w:ascii="arial" w:eastAsia="arial" w:hAnsi="arial" w:cs="arial"/>
          <w:b/>
          <w:i/>
          <w:color w:val="000000"/>
          <w:sz w:val="20"/>
          <w:lang w:val="en-US" w:eastAsia="en-US" w:bidi="ar-SA"/>
        </w:rPr>
        <w:t>TSC</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TSC</w:t>
      </w:r>
      <w:r>
        <w:rPr>
          <w:rFonts w:ascii="arial" w:eastAsia="arial" w:hAnsi="arial" w:cs="arial"/>
          <w:color w:val="000000"/>
          <w:sz w:val="20"/>
          <w:lang w:val="en-US" w:eastAsia="en-US" w:bidi="ar-SA"/>
        </w:rPr>
        <w:t>, Marshall J. described the standard of disclosure in proxy solicitations as follows at p. 449: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omitted fact is material if there is a substantial likelihood that a reasonable shareholder would consider it important in deciding how to vote. This standard is fully consistent with Mills' general description of materiality as a requirement that "the defect have a significant </w:t>
      </w:r>
      <w:r>
        <w:rPr>
          <w:rFonts w:ascii="arial" w:eastAsia="arial" w:hAnsi="arial" w:cs="arial"/>
          <w:i/>
          <w:color w:val="000000"/>
          <w:sz w:val="20"/>
          <w:lang w:val="en-US" w:eastAsia="en-US" w:bidi="ar-SA"/>
        </w:rPr>
        <w:t>propensity</w:t>
      </w:r>
      <w:r>
        <w:rPr>
          <w:rFonts w:ascii="arial" w:eastAsia="arial" w:hAnsi="arial" w:cs="arial"/>
          <w:color w:val="000000"/>
          <w:sz w:val="20"/>
          <w:lang w:val="en-US" w:eastAsia="en-US" w:bidi="ar-SA"/>
        </w:rPr>
        <w:t xml:space="preserve"> to affect the voting process." It does not require proof of a substantial likelihood that disclosure of the omitted fact would have caused the reasonable investor to change his vote. What the standard does contemplate is a showing of a substantial likelihood that, under all the circumstances, the omitted fact would have assumed actual significance in the deliberations of the reasonable shareholder. Put another way, there must be a substantial likelihood that the disclosure of the omitted fact would have been viewed by the reasonable investor as having significantly altered the "total mix" of information made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Sharbern Appeal</w:t>
      </w:r>
      <w:r>
        <w:rPr>
          <w:rFonts w:ascii="arial" w:eastAsia="arial" w:hAnsi="arial" w:cs="arial"/>
          <w:color w:val="000000"/>
          <w:sz w:val="20"/>
          <w:lang w:val="en-US" w:eastAsia="en-US" w:bidi="ar-SA"/>
        </w:rPr>
        <w:t>, the court concluded that the Hilton Disclosure Statement was analogous to a proxy solicitation and thus the standard of materiality was the objective standard of a reasonable investor: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Offering Memorandum is a document prepared unilaterally in compliance with statutory obligations and extends an offer to a wide range of investors in an open market and assumes no independent knowledge or sophistication on the part of prospective investors. The Offering Memorandum is analogous to the proxy solicitation in TSC and the standard of materiality is similarly the objective standard of a reasonable investor.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Sharbern Appeal</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 court went on to note at para. 25 that if the issue of materiality of the conflict of interest representation could not be resolved "by common sense inferences from the general circumstances surrounding the offer", it would likely be determined primarily on the basis of expert evidence as to the knowledge of the reasonable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At trial, no expert evidence was advanced with respect to the knowledge of the reasonable investor. VAC submitted that the test articulated in </w:t>
      </w:r>
      <w:r>
        <w:rPr>
          <w:rFonts w:ascii="arial" w:eastAsia="arial" w:hAnsi="arial" w:cs="arial"/>
          <w:b/>
          <w:i/>
          <w:color w:val="000000"/>
          <w:sz w:val="20"/>
          <w:lang w:val="en-US" w:eastAsia="en-US" w:bidi="ar-SA"/>
        </w:rPr>
        <w:t>TSC</w:t>
      </w:r>
      <w:r>
        <w:rPr>
          <w:rFonts w:ascii="arial" w:eastAsia="arial" w:hAnsi="arial" w:cs="arial"/>
          <w:color w:val="000000"/>
          <w:sz w:val="20"/>
          <w:lang w:val="en-US" w:eastAsia="en-US" w:bidi="ar-SA"/>
        </w:rPr>
        <w:t xml:space="preserve"> ought to be applied to the offering: VAC was required to disclose only those facts which had a substantial likelihood of altering the "total mix" of the information made available in the Hilton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VAC observed that each Class member completed the purchase of a strata lot in the Hilton despite VAC's various disclosures. VAC disclosed its ownership of the Richmond Inn. With respect to the Marriott, VAC disclosed that is was the asset Manager of the Marriott, which it was currently developing under agreements "similar in form and substance" to the Hilton HAMA under which VAC was entitled to receive fees based upon hotel revenues. The Marriott is described as being located "on the Parent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xml:space="preserve">  VAC submitted that considering the information that was disclosed, express disclosure of the Marriott guarantee and the management fee differential between the Hilton and the Marriott would not have been material. Having regard to the objective test described in </w:t>
      </w:r>
      <w:r>
        <w:rPr>
          <w:rFonts w:ascii="arial" w:eastAsia="arial" w:hAnsi="arial" w:cs="arial"/>
          <w:b/>
          <w:i/>
          <w:color w:val="000000"/>
          <w:sz w:val="20"/>
          <w:lang w:val="en-US" w:eastAsia="en-US" w:bidi="ar-SA"/>
        </w:rPr>
        <w:t>TSC</w:t>
      </w:r>
      <w:r>
        <w:rPr>
          <w:rFonts w:ascii="arial" w:eastAsia="arial" w:hAnsi="arial" w:cs="arial"/>
          <w:color w:val="000000"/>
          <w:sz w:val="20"/>
          <w:lang w:val="en-US" w:eastAsia="en-US" w:bidi="ar-SA"/>
        </w:rPr>
        <w:t>, said VAC, there is no substantial likelihood that the disclosure of the omitted facts would have assumed actual significance in the deliberations of a reasonable investor in the context of the disclosures that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I cannot agree with VAC's submission concerning materiality. The disclosed information emphasized the similarities between the Hilton and Marriott agreements, not the differences. The differences between the Marriott and the Hilton arrangements were significant because they bore directly on the conflict of interest representation. To the extent that the reader was alerted to the fact of common ownership or management, the reader was advised that VAC's relationship with each of the two hotels would not give rise to any material conflict of interest. Nothing in the Hilton Disclosure Statement alerts the reader to the existence of the incentive - and the ability - on the part of VAC to prefer one hotel over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 am satisfied that VAC's ability to make more money under the Marriott guarantee when a potential customer chose the Marriott over the Hilton would have assumed actual significance in the deliberations of a reasonable investor, as would the fact that VAC made more money in management fees if the Marriott revenue was relatively higher than the Hilton revenue. Put more starkly, the presence of an actual or potential conflict of interest on the part of management would concern any reasonable person contemplating investing more than $100,000 in a strata unit. That is particularly so having regard to the control VAC enjoyed under the various agreements with the unit owners.</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Conclusions regarding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 conclude that the VAC negligently misrepresented the absence of a potential or actual conflict of interest and the nature of the agreements between VAC and the Marriott owners. Both misrepresentations are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D.</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xml:space="preserve">The Issues arising under the </w:t>
            </w:r>
            <w:r>
              <w:rPr>
                <w:rFonts w:ascii="arial" w:eastAsia="arial" w:hAnsi="arial" w:cs="arial"/>
                <w:b/>
                <w:i/>
                <w:color w:val="000000"/>
                <w:sz w:val="18"/>
                <w:u w:val="single"/>
                <w:lang w:val="en-US" w:eastAsia="en-US" w:bidi="ar-SA"/>
              </w:rPr>
              <w:t>Real Estate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Section 75(2) of the </w:t>
      </w:r>
      <w:r>
        <w:rPr>
          <w:rFonts w:ascii="arial" w:eastAsia="arial" w:hAnsi="arial" w:cs="arial"/>
          <w:b/>
          <w:i/>
          <w:color w:val="000000"/>
          <w:sz w:val="20"/>
          <w:lang w:val="en-US" w:eastAsia="en-US" w:bidi="ar-SA"/>
        </w:rPr>
        <w:t>Real Estate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Sharbern has pleaded and relied upon s. 75(2)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Section 75 is contained in Part 2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and provides,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75(1) In this section, "prospectus" includes every statement and report and summary of report required to be filed with the prospectus under this Part.</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prospectus has been accepted for filing by the superintendent under this Part,</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 purchaser of any part of the subdivided land, shared interest in land or time share interests to which the prospectus relates </w:t>
      </w:r>
      <w:r>
        <w:rPr>
          <w:rFonts w:ascii="arial" w:eastAsia="arial" w:hAnsi="arial" w:cs="arial"/>
          <w:i/>
          <w:color w:val="000000"/>
          <w:sz w:val="20"/>
          <w:lang w:val="en-US" w:eastAsia="en-US" w:bidi="ar-SA"/>
        </w:rPr>
        <w:t>is deemed to have relied on the representations made in the prospectus whether the purchaser has received the prospectus or not,</w:t>
      </w:r>
      <w:r>
        <w:rPr>
          <w:rFonts w:ascii="arial" w:eastAsia="arial" w:hAnsi="arial" w:cs="arial"/>
          <w:color w:val="000000"/>
          <w:sz w:val="20"/>
          <w:lang w:val="en-US" w:eastAsia="en-US" w:bidi="ar-SA"/>
        </w:rPr>
        <w:t xml:space="preserve"> and</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material false statement is contained in the prospectus,</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is a director of the developer at the time of the issue of the prospectus,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having authorized the naming, is named in the prospectus as a director of the developer,</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is a developer, and</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has authorized the issue of the prospectus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liable to compensate all persons who have purchased the subdivided land, shared interests in land or time share interests for any loss or damage those persons may have sustained...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Mountain Village Developments Ltd. v. Engineered Homes Ltd.</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(1985), 64 B.C.L.R. 195</w:t>
        </w:r>
      </w:hyperlink>
      <w:r>
        <w:rPr>
          <w:rFonts w:ascii="arial" w:eastAsia="arial" w:hAnsi="arial" w:cs="arial"/>
          <w:color w:val="000000"/>
          <w:sz w:val="20"/>
          <w:lang w:val="en-US" w:eastAsia="en-US" w:bidi="ar-SA"/>
        </w:rPr>
        <w:t xml:space="preserve"> (C.A.), Esson J.A. described the purpose of Part 2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language of Part 2 is murkily obscure and leaves much room for disagreement as to its meaning. On one point, however, all agree. That is, that the object of the Part is to protect those who purchase lots or other units from developers of subdivisions, and to accomplish that object by requiring full disclosure to be made in a prospectus.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 Hilton Disclosure Statement was a "prospectus" within the meaning of s. 75(1). Section 75(2) is therefore engaged, with two consequences. First, under ss. (a), purchasers of interests in land to which the prospectus related are deemed to have relied on the representations made in the prospectus whether or not they received it. Second, ss. (b) establishes a statutory right of action in relation to material false statements contained in the prospectus.</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Deemed Reliance under the </w:t>
      </w:r>
      <w:r>
        <w:rPr>
          <w:rFonts w:ascii="arial" w:eastAsia="arial" w:hAnsi="arial" w:cs="arial"/>
          <w:b/>
          <w:i/>
          <w:color w:val="000000"/>
          <w:sz w:val="20"/>
          <w:lang w:val="en-US" w:eastAsia="en-US" w:bidi="ar-SA"/>
        </w:rPr>
        <w:t>Real Estate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 following common issue is stated regarding deemed reliance: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Are the members of the Class deemed to have relied on the impugned representations of VAC pursuant to s. 75(2) of the Real Estate Act? (c)(vii))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xml:space="preserve">  The significance of deemed reliance under s. 75(2) was discussed by Hutchinson J. in </w:t>
      </w:r>
      <w:r>
        <w:rPr>
          <w:rFonts w:ascii="arial" w:eastAsia="arial" w:hAnsi="arial" w:cs="arial"/>
          <w:b/>
          <w:i/>
          <w:color w:val="000000"/>
          <w:sz w:val="20"/>
          <w:lang w:val="en-US" w:eastAsia="en-US" w:bidi="ar-SA"/>
        </w:rPr>
        <w:t>Wilson v. CRC Canadian Retirement Corp.</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(1997), 24 C.P.C. (4th) 28</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Wilson</w:t>
      </w:r>
      <w:r>
        <w:rPr>
          <w:rFonts w:ascii="arial" w:eastAsia="arial" w:hAnsi="arial" w:cs="arial"/>
          <w:color w:val="000000"/>
          <w:sz w:val="20"/>
          <w:lang w:val="en-US" w:eastAsia="en-US" w:bidi="ar-SA"/>
        </w:rPr>
        <w:t>]. The issue in that case was whether the plaintiffs could rescind their contract for the purchase of a lot in a new subdivision. They had not actually received a copy of the prospectus until after they had signed an interim agreement for the purchase of the lot. The court concluded the following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much turns on the above fact since s. 59 of the Act [now s. 75] provides that the purchasers of any lot covered in the disclosure statement shall be deemed to have relied on the representations made in it whether the purchaser has received a copy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Wilson</w:t>
      </w:r>
      <w:r>
        <w:rPr>
          <w:rFonts w:ascii="arial" w:eastAsia="arial" w:hAnsi="arial" w:cs="arial"/>
          <w:color w:val="000000"/>
          <w:sz w:val="20"/>
          <w:lang w:val="en-US" w:eastAsia="en-US" w:bidi="ar-SA"/>
        </w:rPr>
        <w:t>, the developer represented in the prospectus that it was "not aware of ... any materially adverse soil or sub-soil conditions". In fact, the lot required additional pre-load fill before a house could be built on it. The lands were covered by a restrictive covenant which provided that no structure could be built on them without the consent of the local government. Hutchinson J. found that the representation was untrue and the developer must "be held to have known" it was untrue. The issue then arising was the nature of the remedy available to the plaintiffs. Hutchinson J. said the following at paras. 44-45: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of the disclosure statement to bring this information to the attention of prospective purchasers leaves CRC in breach of its duty under the Act and open to the sanctions pursuant to s. 59 [now s. 75]. The critical question for the court is whether the relief provided in the Act is exclusive or additional. I have reached the conclusion that if a materially false statement is contained in a prospectus ... a purchaser who relies on the statement may seek the equitable relief offered at common law, namely rescission for fraudulent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that be so, the next issue is whether a purchaser who has not relied on the prospectus but under s. 59 is "deemed to have relied on the prospectus, whether the purchaser has received the prospectus or not", may nonetheless seek rescission as would be the case had the purchaser actually relied on the representations. I conclude that follows from the scheme of the Act despite the specific relief provided in s.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VAC argued that deemed reliance applies only to claims for compensation under s. 75. It asserted that with respect to common law causes of action, including negligent misrepresentation, the Class members cannot rely on the deemed reliance provisions, and each member of the Class must instead prove actual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It was the position of VAC that if </w:t>
      </w:r>
      <w:r>
        <w:rPr>
          <w:rFonts w:ascii="arial" w:eastAsia="arial" w:hAnsi="arial" w:cs="arial"/>
          <w:b/>
          <w:i/>
          <w:color w:val="000000"/>
          <w:sz w:val="20"/>
          <w:lang w:val="en-US" w:eastAsia="en-US" w:bidi="ar-SA"/>
        </w:rPr>
        <w:t>Wilson</w:t>
      </w:r>
      <w:r>
        <w:rPr>
          <w:rFonts w:ascii="arial" w:eastAsia="arial" w:hAnsi="arial" w:cs="arial"/>
          <w:color w:val="000000"/>
          <w:sz w:val="20"/>
          <w:lang w:val="en-US" w:eastAsia="en-US" w:bidi="ar-SA"/>
        </w:rPr>
        <w:t xml:space="preserve"> stands for the proposition that the deemed reliance provisions apply to common law claims, it is wrongly decided and should not be followed. </w:t>
      </w:r>
      <w:r>
        <w:rPr>
          <w:rFonts w:ascii="arial" w:eastAsia="arial" w:hAnsi="arial" w:cs="arial"/>
          <w:b/>
          <w:i/>
          <w:color w:val="000000"/>
          <w:sz w:val="20"/>
          <w:lang w:val="en-US" w:eastAsia="en-US" w:bidi="ar-SA"/>
        </w:rPr>
        <w:t>Wilson</w:t>
      </w:r>
      <w:r>
        <w:rPr>
          <w:rFonts w:ascii="arial" w:eastAsia="arial" w:hAnsi="arial" w:cs="arial"/>
          <w:color w:val="000000"/>
          <w:sz w:val="20"/>
          <w:lang w:val="en-US" w:eastAsia="en-US" w:bidi="ar-SA"/>
        </w:rPr>
        <w:t xml:space="preserve">, said VAC, overlooked the decision of our Court of Appeal in </w:t>
      </w:r>
      <w:r>
        <w:rPr>
          <w:rFonts w:ascii="arial" w:eastAsia="arial" w:hAnsi="arial" w:cs="arial"/>
          <w:b/>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Kripps 1992</w:t>
      </w:r>
      <w:r>
        <w:rPr>
          <w:rFonts w:ascii="arial" w:eastAsia="arial" w:hAnsi="arial" w:cs="arial"/>
          <w:color w:val="000000"/>
          <w:sz w:val="20"/>
          <w:lang w:val="en-US" w:eastAsia="en-US" w:bidi="ar-SA"/>
        </w:rPr>
        <w:t xml:space="preserve">], in which Taylor J.A. considered the substantially similar reliance provision of the </w:t>
      </w:r>
      <w:r>
        <w:rPr>
          <w:rFonts w:ascii="arial" w:eastAsia="arial" w:hAnsi="arial" w:cs="arial"/>
          <w:b/>
          <w:i/>
          <w:color w:val="000000"/>
          <w:sz w:val="20"/>
          <w:lang w:val="en-US" w:eastAsia="en-US" w:bidi="ar-SA"/>
        </w:rPr>
        <w:t>Securities Act</w:t>
      </w:r>
      <w:r>
        <w:rPr>
          <w:rFonts w:ascii="arial" w:eastAsia="arial" w:hAnsi="arial" w:cs="arial"/>
          <w:color w:val="000000"/>
          <w:sz w:val="20"/>
          <w:lang w:val="en-US" w:eastAsia="en-US" w:bidi="ar-SA"/>
        </w:rPr>
        <w:t>, R.S.B.C. 1979, c. 380 and concluded that the provision did not apply to every action arising from a misleading statement in a prospectus: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decidedly unusual that the legislature should establish a presumption without saying against whom it is raised, or for what purpose it is to have effect. When the words establishing the presumption are followed, as they are here, by words creating a right of action against a specific class of persons, a natural reading of the section leads, in my view, to the conclusion that the presumption arises in actions against those persons.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Kripps 1992</w:t>
      </w:r>
      <w:r>
        <w:rPr>
          <w:rFonts w:ascii="arial" w:eastAsia="arial" w:hAnsi="arial" w:cs="arial"/>
          <w:color w:val="000000"/>
          <w:sz w:val="20"/>
          <w:lang w:val="en-US" w:eastAsia="en-US" w:bidi="ar-SA"/>
        </w:rPr>
        <w:t xml:space="preserve"> at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As I read </w:t>
      </w:r>
      <w:r>
        <w:rPr>
          <w:rFonts w:ascii="arial" w:eastAsia="arial" w:hAnsi="arial" w:cs="arial"/>
          <w:b/>
          <w:i/>
          <w:color w:val="000000"/>
          <w:sz w:val="20"/>
          <w:lang w:val="en-US" w:eastAsia="en-US" w:bidi="ar-SA"/>
        </w:rPr>
        <w:t>Kripps 1992</w:t>
      </w:r>
      <w:r>
        <w:rPr>
          <w:rFonts w:ascii="arial" w:eastAsia="arial" w:hAnsi="arial" w:cs="arial"/>
          <w:color w:val="000000"/>
          <w:sz w:val="20"/>
          <w:lang w:val="en-US" w:eastAsia="en-US" w:bidi="ar-SA"/>
        </w:rPr>
        <w:t xml:space="preserve">, the court held that reliance was deemed only for the purpose of the statutory cause of action established by the provision against the persons specifically named in the provision. Accordingly, in this case, deemed reliance may only be invoked against those persons specifically named in s. 75(2)(b)(i)-(iv)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I do not regard </w:t>
      </w:r>
      <w:r>
        <w:rPr>
          <w:rFonts w:ascii="arial" w:eastAsia="arial" w:hAnsi="arial" w:cs="arial"/>
          <w:b/>
          <w:i/>
          <w:color w:val="000000"/>
          <w:sz w:val="20"/>
          <w:lang w:val="en-US" w:eastAsia="en-US" w:bidi="ar-SA"/>
        </w:rPr>
        <w:t>Kripps 1992</w:t>
      </w:r>
      <w:r>
        <w:rPr>
          <w:rFonts w:ascii="arial" w:eastAsia="arial" w:hAnsi="arial" w:cs="arial"/>
          <w:color w:val="000000"/>
          <w:sz w:val="20"/>
          <w:lang w:val="en-US" w:eastAsia="en-US" w:bidi="ar-SA"/>
        </w:rPr>
        <w:t xml:space="preserve"> as authority for the proposition that the deemed reliance provision cannot be invoked simply because the plaintiff's claim is one for negligent misrepresentation. As I see it, s. 75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creates a statutory cause of action which is itself analogous to a common law claim for negligent misrepresentation, but which does not require the plaintiff to prove actual reliance. </w:t>
      </w:r>
      <w:r>
        <w:rPr>
          <w:rFonts w:ascii="arial" w:eastAsia="arial" w:hAnsi="arial" w:cs="arial"/>
          <w:b/>
          <w:i/>
          <w:color w:val="000000"/>
          <w:sz w:val="20"/>
          <w:lang w:val="en-US" w:eastAsia="en-US" w:bidi="ar-SA"/>
        </w:rPr>
        <w:t>Kripps 1992</w:t>
      </w:r>
      <w:r>
        <w:rPr>
          <w:rFonts w:ascii="arial" w:eastAsia="arial" w:hAnsi="arial" w:cs="arial"/>
          <w:color w:val="000000"/>
          <w:sz w:val="20"/>
          <w:lang w:val="en-US" w:eastAsia="en-US" w:bidi="ar-SA"/>
        </w:rPr>
        <w:t xml:space="preserve"> is not inconsistent with the decision in </w:t>
      </w:r>
      <w:r>
        <w:rPr>
          <w:rFonts w:ascii="arial" w:eastAsia="arial" w:hAnsi="arial" w:cs="arial"/>
          <w:b/>
          <w:i/>
          <w:color w:val="000000"/>
          <w:sz w:val="20"/>
          <w:lang w:val="en-US" w:eastAsia="en-US" w:bidi="ar-SA"/>
        </w:rPr>
        <w:t>Wilson</w:t>
      </w:r>
      <w:r>
        <w:rPr>
          <w:rFonts w:ascii="arial" w:eastAsia="arial" w:hAnsi="arial" w:cs="arial"/>
          <w:color w:val="000000"/>
          <w:sz w:val="20"/>
          <w:lang w:val="en-US" w:eastAsia="en-US" w:bidi="ar-SA"/>
        </w:rPr>
        <w:t xml:space="preserve"> and I am bound by the </w:t>
      </w:r>
      <w:r>
        <w:rPr>
          <w:rFonts w:ascii="arial" w:eastAsia="arial" w:hAnsi="arial" w:cs="arial"/>
          <w:b/>
          <w:i/>
          <w:color w:val="000000"/>
          <w:sz w:val="20"/>
          <w:lang w:val="en-US" w:eastAsia="en-US" w:bidi="ar-SA"/>
        </w:rPr>
        <w:t>Wilson</w:t>
      </w:r>
      <w:r>
        <w:rPr>
          <w:rFonts w:ascii="arial" w:eastAsia="arial" w:hAnsi="arial" w:cs="arial"/>
          <w:color w:val="000000"/>
          <w:sz w:val="20"/>
          <w:lang w:val="en-US" w:eastAsia="en-US" w:bidi="ar-SA"/>
        </w:rPr>
        <w:t xml:space="preserve"> decision which was, in my view, correctly decided as a statutory claim under Part 2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In this case, Sharbern brings a statutory claim under Part 2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and is entitled to rely on the deemed reliance provisions of s. 75(2).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xml:space="preserve">  VAC also submitted that deemed reliance under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is rebuttable rather than conclusively presumed. However, </w:t>
      </w:r>
      <w:r>
        <w:rPr>
          <w:rFonts w:ascii="arial" w:eastAsia="arial" w:hAnsi="arial" w:cs="arial"/>
          <w:b/>
          <w:i/>
          <w:color w:val="000000"/>
          <w:sz w:val="20"/>
          <w:lang w:val="en-US" w:eastAsia="en-US" w:bidi="ar-SA"/>
        </w:rPr>
        <w:t>Wilson</w:t>
      </w:r>
      <w:r>
        <w:rPr>
          <w:rFonts w:ascii="arial" w:eastAsia="arial" w:hAnsi="arial" w:cs="arial"/>
          <w:color w:val="000000"/>
          <w:sz w:val="20"/>
          <w:lang w:val="en-US" w:eastAsia="en-US" w:bidi="ar-SA"/>
        </w:rPr>
        <w:t xml:space="preserve"> has decided that issue. Reliance was deemed even though the plaintiffs had not received the prospectus when they committed to the purchase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xml:space="preserve">  Further, the purpose of the legislation is to protect the investing public. A developer can issue a lengthy, detailed and complex prospectus and investors are taken to have read and understood it. However, if the developer misrepresents a material fact, investors are taken to have relied on it. That is the </w:t>
      </w:r>
      <w:r>
        <w:rPr>
          <w:rFonts w:ascii="arial" w:eastAsia="arial" w:hAnsi="arial" w:cs="arial"/>
          <w:i/>
          <w:color w:val="000000"/>
          <w:sz w:val="20"/>
          <w:lang w:val="en-US" w:eastAsia="en-US" w:bidi="ar-SA"/>
        </w:rPr>
        <w:t>quid pro quo.</w:t>
      </w:r>
      <w:r>
        <w:rPr>
          <w:rFonts w:ascii="arial" w:eastAsia="arial" w:hAnsi="arial" w:cs="arial"/>
          <w:color w:val="000000"/>
          <w:sz w:val="20"/>
          <w:lang w:val="en-US" w:eastAsia="en-US" w:bidi="ar-SA"/>
        </w:rPr>
        <w:t xml:space="preserve"> As the developer is in possession and control of the facts, it is fair that the deeming provision be conclusive. Were it otherwise, the developer could direct the focus of the inquiry to what the investor knew rather than what the developer failed to disclose. That would undermine the purpose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xml:space="preserve">  I conclude that the Class members are entitled to rely on the deeming provisions of the </w:t>
      </w:r>
      <w:r>
        <w:rPr>
          <w:rFonts w:ascii="arial" w:eastAsia="arial" w:hAnsi="arial" w:cs="arial"/>
          <w:b/>
          <w:i/>
          <w:color w:val="000000"/>
          <w:sz w:val="20"/>
          <w:lang w:val="en-US" w:eastAsia="en-US" w:bidi="ar-SA"/>
        </w:rPr>
        <w:t>Real Estate Act</w:t>
      </w:r>
      <w:r>
        <w:rPr>
          <w:rFonts w:ascii="arial" w:eastAsia="arial" w:hAnsi="arial" w:cs="arial"/>
          <w:i/>
          <w:color w:val="000000"/>
          <w:sz w:val="20"/>
          <w:lang w:val="en-US" w:eastAsia="en-US" w:bidi="ar-SA"/>
        </w:rPr>
        <w:t>.</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Tevan Trading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A related issue concerns the purchase of 9 units by Tevan Trading Ltd. ("Tevan"), for which the following common issue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With respect to the purchase by Tevan Trading Ltd. of nine (9) units in the Hotel, is VAC exempt from Part 2 of the Real Estate Act? (c)(vii)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Tevan was the only Class member to purchase more than 5 units in the Hilton. The issue arises from s. 6 of the </w:t>
      </w:r>
      <w:r>
        <w:rPr>
          <w:rFonts w:ascii="arial" w:eastAsia="arial" w:hAnsi="arial" w:cs="arial"/>
          <w:b/>
          <w:i/>
          <w:color w:val="000000"/>
          <w:sz w:val="20"/>
          <w:lang w:val="en-US" w:eastAsia="en-US" w:bidi="ar-SA"/>
        </w:rPr>
        <w:t>Real Estate Act, Part 2 Exemptions Regulation</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B.C. Reg 41/82</w:t>
        </w:r>
      </w:hyperlink>
      <w:r>
        <w:rPr>
          <w:rFonts w:ascii="arial" w:eastAsia="arial" w:hAnsi="arial" w:cs="arial"/>
          <w:color w:val="000000"/>
          <w:sz w:val="20"/>
          <w:lang w:val="en-US" w:eastAsia="en-US" w:bidi="ar-SA"/>
        </w:rPr>
        <w:t xml:space="preserve"> as am. B.C. Reg 403/85,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developer, or a person on behalf of a developer, who sells, leases or offers for sale or lease or assists in the sale or lease of 5 or more lots, parcels or strata lots or 2 or more cooperative units in a subdivision situated in the Province </w:t>
      </w:r>
      <w:r>
        <w:rPr>
          <w:rFonts w:ascii="arial" w:eastAsia="arial" w:hAnsi="arial" w:cs="arial"/>
          <w:i/>
          <w:color w:val="000000"/>
          <w:sz w:val="20"/>
          <w:lang w:val="en-US" w:eastAsia="en-US" w:bidi="ar-SA"/>
        </w:rPr>
        <w:t>in a single transaction</w:t>
      </w:r>
      <w:r>
        <w:rPr>
          <w:rFonts w:ascii="arial" w:eastAsia="arial" w:hAnsi="arial" w:cs="arial"/>
          <w:color w:val="000000"/>
          <w:sz w:val="20"/>
          <w:lang w:val="en-US" w:eastAsia="en-US" w:bidi="ar-SA"/>
        </w:rPr>
        <w:t xml:space="preserve"> is exempt from Part 2 of the Act in respect of the lots offered for sale or lease or sold or leased in the single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237 Hilton units were offered for sale individually. The sales to Tevan took place under two agreements concluded at different times. The first agreement was dated March 17, 1998. It identified 6 lots on a schedule which provided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there are six strata lots covered under this Agreement for Sale, the Vendor and Purchaser shall have the same rights as if a separate Agreement for Sale had been executed for each Strata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The second agreement was dated March 23, 1998. It identified 4 lots on a similarly worded schedule. At closing, one of the units was taken up by Tevan's principal, Parviz Aslanimehr, leaving Tevan with 9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xml:space="preserve">  The question is whether the result of the express provisions of the purchase agreements is that the purchases of those units are to be treated as single transactions for purposes of Part 2 of the </w:t>
      </w:r>
      <w:r>
        <w:rPr>
          <w:rFonts w:ascii="arial" w:eastAsia="arial" w:hAnsi="arial" w:cs="arial"/>
          <w:b/>
          <w:i/>
          <w:color w:val="000000"/>
          <w:sz w:val="20"/>
          <w:lang w:val="en-US" w:eastAsia="en-US" w:bidi="ar-SA"/>
        </w:rPr>
        <w:t>Real Estate Act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On a plain reading of the March 17, 1998, agreement the rights of the parties were to be the same as if the sale of the 6 units under that agreement had been accomplished through 6 separate agreements or, in the language of the regulation, 6 separate transactions. The same applies to the March 23, 1998 agreement for 4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VAC argued that the term of the agreement was a standard clause aimed at ensuring that the inability of the purchaser to complete the purchase of one unit would not foreclose the entire transaction. However, there was no evidence supporting this assertion. Moreover, the question is the legal effect under the regulation of the agreement the parties entered into. The agreement, by its terms, defined not one transaction but six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This is not a case of the parties contracting out of the protections of Part 2 of the </w:t>
      </w:r>
      <w:r>
        <w:rPr>
          <w:rFonts w:ascii="arial" w:eastAsia="arial" w:hAnsi="arial" w:cs="arial"/>
          <w:b/>
          <w:i/>
          <w:color w:val="000000"/>
          <w:sz w:val="20"/>
          <w:lang w:val="en-US" w:eastAsia="en-US" w:bidi="ar-SA"/>
        </w:rPr>
        <w:t>Real Estate Act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In effect, they were contracting into it. To the extent that the protection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depends on the nature of the sale - that is, the number of lots included in a single transaction - the parties addressed the point in the agreement when they stipulated that the parties would have the same rights as if each unit had been the subject of a separate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 conclude that VAC is not exempt from Part 2 with respect to the units purchased by Tevan, which is entitled to the benefit of deemed reliance under s. 75(2).</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Effect of the Repeal of the </w:t>
      </w:r>
      <w:r>
        <w:rPr>
          <w:rFonts w:ascii="arial" w:eastAsia="arial" w:hAnsi="arial" w:cs="arial"/>
          <w:b/>
          <w:i/>
          <w:color w:val="000000"/>
          <w:sz w:val="20"/>
          <w:lang w:val="en-US" w:eastAsia="en-US" w:bidi="ar-SA"/>
        </w:rPr>
        <w:t>Real Estate Act</w:t>
      </w:r>
      <w:r>
        <w:rPr>
          <w:rFonts w:ascii="arial" w:eastAsia="arial" w:hAnsi="arial" w:cs="arial"/>
          <w:i/>
          <w:color w:val="000000"/>
          <w:sz w:val="20"/>
          <w:lang w:val="en-US" w:eastAsia="en-US" w:bidi="ar-SA"/>
        </w:rPr>
        <w:t xml:space="preserve"> on the Claims of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The following issues were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What is the effect, if any of the repeal of the Real Estate Act on the misrepresentation claims of the Class against VAC? (c)(ix)</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What is the effect, if any, of s. 22 of the Real Estate Development Marketing Act, </w:t>
      </w:r>
      <w:r>
        <w:rPr>
          <w:rFonts w:ascii="arial" w:eastAsia="arial" w:hAnsi="arial" w:cs="arial"/>
          <w:i/>
          <w:color w:val="000000"/>
          <w:sz w:val="20"/>
          <w:lang w:val="en-US" w:eastAsia="en-US" w:bidi="ar-SA"/>
        </w:rPr>
        <w:t>S.B.C. 2004, c. 41</w:t>
      </w:r>
      <w:r>
        <w:rPr>
          <w:rFonts w:ascii="arial" w:eastAsia="arial" w:hAnsi="arial" w:cs="arial"/>
          <w:i/>
          <w:color w:val="000000"/>
          <w:sz w:val="20"/>
          <w:lang w:val="en-US" w:eastAsia="en-US" w:bidi="ar-SA"/>
        </w:rPr>
        <w:t xml:space="preserve"> on the misrepresentation claims of the Class against VAC? (c)(x)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xml:space="preserve">  On January 5, 2005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was repealed and the </w:t>
      </w:r>
      <w:r>
        <w:rPr>
          <w:rFonts w:ascii="arial" w:eastAsia="arial" w:hAnsi="arial" w:cs="arial"/>
          <w:b/>
          <w:i/>
          <w:color w:val="000000"/>
          <w:sz w:val="20"/>
          <w:lang w:val="en-US" w:eastAsia="en-US" w:bidi="ar-SA"/>
        </w:rPr>
        <w:t>Real Estate Development Marketing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REDMA</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came into force. Section 22(3) of the </w:t>
      </w:r>
      <w:r>
        <w:rPr>
          <w:rFonts w:ascii="arial" w:eastAsia="arial" w:hAnsi="arial" w:cs="arial"/>
          <w:b/>
          <w:i/>
          <w:color w:val="000000"/>
          <w:sz w:val="20"/>
          <w:lang w:val="en-US" w:eastAsia="en-US" w:bidi="ar-SA"/>
        </w:rPr>
        <w:t>REDMA</w:t>
      </w:r>
      <w:r>
        <w:rPr>
          <w:rFonts w:ascii="arial" w:eastAsia="arial" w:hAnsi="arial" w:cs="arial"/>
          <w:color w:val="000000"/>
          <w:sz w:val="20"/>
          <w:lang w:val="en-US" w:eastAsia="en-US" w:bidi="ar-SA"/>
        </w:rPr>
        <w:t xml:space="preserve"> is similar to s. 75(2)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but is qualified by s. 22(5), which permits a developer to avoid liability by proving the purchaser had knowledge of the misrepresentation at the time of receiving the prospectus: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22(5) A person is not liable to a purchaser under subsection (3) if the person proves that the purchaser had knowledge of the misrepresentation at the time at which the purchaser received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chronology of the litigation bears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The Hilton Disclosure Statement was issued in February 1998. Closing of the initial distribution of unit purchases took place in the summer of 1999. At the time,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was in place and the purchasers of the Hilton units were deemed to have relied on the statements in the Hilton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Sharbern commenced an action against VAC and HMS in June 2003. On January 14, 2004, Sharbern amended the statement of claim and applied for certification of the action as a class proceeding. On February 2, 2004 it commenced a multi-plaintiff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xml:space="preserve">  The certification application was argued November 22 to 26, 2004. On November 26, 2004 Sharbern filed a further amended statement of claim advancing its claim under the </w:t>
      </w:r>
      <w:r>
        <w:rPr>
          <w:rFonts w:ascii="arial" w:eastAsia="arial" w:hAnsi="arial" w:cs="arial"/>
          <w:b/>
          <w:i/>
          <w:color w:val="000000"/>
          <w:sz w:val="20"/>
          <w:lang w:val="en-US" w:eastAsia="en-US" w:bidi="ar-SA"/>
        </w:rPr>
        <w:t>Real Estate Act</w:t>
      </w:r>
      <w:r>
        <w:rPr>
          <w:rFonts w:ascii="arial" w:eastAsia="arial" w:hAnsi="arial" w:cs="arial"/>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As noted earlier,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was repealed January 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On February 24, 2005 this court certified the action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A legislative enactment is not to be read as prejudicing acquired, accrued or accruing rights "unless, at all events, that intention is plainly manifested by unavoidable inference": </w:t>
      </w:r>
      <w:r>
        <w:rPr>
          <w:rFonts w:ascii="arial" w:eastAsia="arial" w:hAnsi="arial" w:cs="arial"/>
          <w:b/>
          <w:i/>
          <w:color w:val="000000"/>
          <w:sz w:val="20"/>
          <w:lang w:val="en-US" w:eastAsia="en-US" w:bidi="ar-SA"/>
        </w:rPr>
        <w:t>Spooner Oils Ltd. v. Turner Valley Gas Conservation Board</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[1933] S.C.R. 629</w:t>
        </w:r>
      </w:hyperlink>
      <w:r>
        <w:rPr>
          <w:rFonts w:ascii="arial" w:eastAsia="arial" w:hAnsi="arial" w:cs="arial"/>
          <w:color w:val="000000"/>
          <w:sz w:val="20"/>
          <w:lang w:val="en-US" w:eastAsia="en-US" w:bidi="ar-SA"/>
        </w:rPr>
        <w:t xml:space="preserve"> at 638.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The presumption applies even where the legislation is retrospective in operation: </w:t>
      </w:r>
      <w:r>
        <w:rPr>
          <w:rFonts w:ascii="arial" w:eastAsia="arial" w:hAnsi="arial" w:cs="arial"/>
          <w:b/>
          <w:i/>
          <w:color w:val="000000"/>
          <w:sz w:val="20"/>
          <w:lang w:val="en-US" w:eastAsia="en-US" w:bidi="ar-SA"/>
        </w:rPr>
        <w:t>Gustavson Drilling (1964) Ltd. v. Minister of National Revenue</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[1977] 1 S.C.R. 271</w:t>
        </w:r>
      </w:hyperlink>
      <w:r>
        <w:rPr>
          <w:rFonts w:ascii="arial" w:eastAsia="arial" w:hAnsi="arial" w:cs="arial"/>
          <w:color w:val="000000"/>
          <w:sz w:val="20"/>
          <w:lang w:val="en-US" w:eastAsia="en-US" w:bidi="ar-SA"/>
        </w:rPr>
        <w:t xml:space="preserve"> at 282 </w:t>
      </w:r>
      <w:r>
        <w:rPr>
          <w:rFonts w:ascii="arial" w:eastAsia="arial" w:hAnsi="arial" w:cs="arial"/>
          <w:b/>
          <w:color w:val="000000"/>
          <w:sz w:val="20"/>
          <w:lang w:val="en-US" w:eastAsia="en-US" w:bidi="ar-SA"/>
        </w:rPr>
        <w:t>[</w:t>
      </w:r>
      <w:r>
        <w:rPr>
          <w:rFonts w:ascii="arial" w:eastAsia="arial" w:hAnsi="arial" w:cs="arial"/>
          <w:b/>
          <w:i/>
          <w:color w:val="000000"/>
          <w:sz w:val="20"/>
          <w:lang w:val="en-US" w:eastAsia="en-US" w:bidi="ar-SA"/>
        </w:rPr>
        <w:t>Gustavson Drilling</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The presumption does not apply, however, in respect of procedural legislation addressing such matters as the manner in which actions will be prosecuted and proof will be made: </w:t>
      </w:r>
      <w:r>
        <w:rPr>
          <w:rFonts w:ascii="arial" w:eastAsia="arial" w:hAnsi="arial" w:cs="arial"/>
          <w:b/>
          <w:i/>
          <w:color w:val="000000"/>
          <w:sz w:val="20"/>
          <w:lang w:val="en-US" w:eastAsia="en-US" w:bidi="ar-SA"/>
        </w:rPr>
        <w:t>Halagan v. British Columbia</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2002 BCCA 288</w:t>
        </w:r>
      </w:hyperlink>
      <w:r>
        <w:rPr>
          <w:rFonts w:ascii="arial" w:eastAsia="arial" w:hAnsi="arial" w:cs="arial"/>
          <w:color w:val="000000"/>
          <w:sz w:val="20"/>
          <w:lang w:val="en-US" w:eastAsia="en-US" w:bidi="ar-SA"/>
        </w:rPr>
        <w:t xml:space="preserve"> at paras. 12-14, </w:t>
      </w:r>
      <w:hyperlink r:id="rId700" w:history="1">
        <w:r>
          <w:rPr>
            <w:rFonts w:ascii="arial" w:eastAsia="arial" w:hAnsi="arial" w:cs="arial"/>
            <w:i/>
            <w:color w:val="0077CC"/>
            <w:sz w:val="20"/>
            <w:u w:val="single"/>
            <w:shd w:val="clear" w:color="auto" w:fill="FFFFFF"/>
            <w:lang w:val="en-US" w:eastAsia="en-US" w:bidi="ar-SA"/>
          </w:rPr>
          <w:t>168 B.C.A.C. 316</w:t>
        </w:r>
      </w:hyperlink>
      <w:r>
        <w:rPr>
          <w:rFonts w:ascii="arial" w:eastAsia="arial" w:hAnsi="arial" w:cs="arial"/>
          <w:color w:val="000000"/>
          <w:sz w:val="20"/>
          <w:lang w:val="en-US" w:eastAsia="en-US" w:bidi="ar-SA"/>
        </w:rPr>
        <w:t xml:space="preserve"> adopting Sullivan, R., </w:t>
      </w:r>
      <w:r>
        <w:rPr>
          <w:rFonts w:ascii="arial" w:eastAsia="arial" w:hAnsi="arial" w:cs="arial"/>
          <w:i/>
          <w:color w:val="000000"/>
          <w:sz w:val="20"/>
          <w:lang w:val="en-US" w:eastAsia="en-US" w:bidi="ar-SA"/>
        </w:rPr>
        <w:t>Driedger on the Construction of Statutes</w:t>
      </w:r>
      <w:r>
        <w:rPr>
          <w:rFonts w:ascii="arial" w:eastAsia="arial" w:hAnsi="arial" w:cs="arial"/>
          <w:color w:val="000000"/>
          <w:sz w:val="20"/>
          <w:lang w:val="en-US" w:eastAsia="en-US" w:bidi="ar-SA"/>
        </w:rPr>
        <w:t xml:space="preserve"> 3rd ed. (Toronto: Butterworths, 1994) at p. 534.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xml:space="preserve">  These principles are reflected in ss. 35 and 36 of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which provide,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Repeal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35(1) If all or part of an enactment is repealed, the repeal does not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affect the previous operation of the enactment so repealed or anything done or suffered under it,</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affect a right or obligation acquired, accrued, accruing or incurred under the enactment so repealed,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Repeal and Replacement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36(1) If an enactment (the "former enactment") is repealed and another enactment (the "new enactment") is substituted for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proceeding commenced under the former enactment must be continued under and in conformity with the new enactment so far as it may be done consistently with the new enactment,</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procedure established by the new enactment must be followed as far as it can be adapted...in the enforcement of rights existing or accruing under the former enactment, and in a proceeding relating to matters that happened before the repeal,...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Gustavson Drilling</w:t>
      </w:r>
      <w:r>
        <w:rPr>
          <w:rFonts w:ascii="arial" w:eastAsia="arial" w:hAnsi="arial" w:cs="arial"/>
          <w:color w:val="000000"/>
          <w:sz w:val="20"/>
          <w:lang w:val="en-US" w:eastAsia="en-US" w:bidi="ar-SA"/>
        </w:rPr>
        <w:t xml:space="preserve">, Dickson J. (as he then was) made the following observation at 283-284 concerning s. 35 of the federal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R.S.C. 1970, c. I-23, which was in substance identical to s. 35 of the British Columbia </w:t>
      </w:r>
      <w:r>
        <w:rPr>
          <w:rFonts w:ascii="arial" w:eastAsia="arial" w:hAnsi="arial" w:cs="arial"/>
          <w:b/>
          <w:i/>
          <w:color w:val="000000"/>
          <w:sz w:val="20"/>
          <w:lang w:val="en-US" w:eastAsia="en-US" w:bidi="ar-SA"/>
        </w:rPr>
        <w:t>Interpretation Act</w:t>
      </w:r>
      <w:r>
        <w:rPr>
          <w:rFonts w:ascii="arial" w:eastAsia="arial" w:hAnsi="arial" w:cs="arial"/>
          <w:i/>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section is merely the statutory embodiment of the common law presumption in respect of vested rights as it applies to the repeal of legislative enactments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xml:space="preserve">  Professor Sullivan in Sullivan, R., </w:t>
      </w:r>
      <w:r>
        <w:rPr>
          <w:rFonts w:ascii="arial" w:eastAsia="arial" w:hAnsi="arial" w:cs="arial"/>
          <w:i/>
          <w:color w:val="000000"/>
          <w:sz w:val="20"/>
          <w:lang w:val="en-US" w:eastAsia="en-US" w:bidi="ar-SA"/>
        </w:rPr>
        <w:t>Sullivan and Dreidger on the Construction of Statutes,</w:t>
      </w:r>
      <w:r>
        <w:rPr>
          <w:rFonts w:ascii="arial" w:eastAsia="arial" w:hAnsi="arial" w:cs="arial"/>
          <w:color w:val="000000"/>
          <w:sz w:val="20"/>
          <w:lang w:val="en-US" w:eastAsia="en-US" w:bidi="ar-SA"/>
        </w:rPr>
        <w:t xml:space="preserve"> 4th ed. (Markham: Butterworths, 2002) at pp. 582-583 [</w:t>
      </w:r>
      <w:r>
        <w:rPr>
          <w:rFonts w:ascii="arial" w:eastAsia="arial" w:hAnsi="arial" w:cs="arial"/>
          <w:b/>
          <w:i/>
          <w:color w:val="000000"/>
          <w:sz w:val="20"/>
          <w:lang w:val="en-US" w:eastAsia="en-US" w:bidi="ar-SA"/>
        </w:rPr>
        <w:t>Dreidger</w:t>
      </w:r>
      <w:r>
        <w:rPr>
          <w:rFonts w:ascii="arial" w:eastAsia="arial" w:hAnsi="arial" w:cs="arial"/>
          <w:color w:val="000000"/>
          <w:sz w:val="20"/>
          <w:lang w:val="en-US" w:eastAsia="en-US" w:bidi="ar-SA"/>
        </w:rPr>
        <w:t xml:space="preserve">] makes the same observation when discussing s. 44 of the current federal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R.S.C. 1985, c. I-21</w:t>
        </w:r>
      </w:hyperlink>
      <w:r>
        <w:rPr>
          <w:rFonts w:ascii="arial" w:eastAsia="arial" w:hAnsi="arial" w:cs="arial"/>
          <w:color w:val="000000"/>
          <w:sz w:val="20"/>
          <w:lang w:val="en-US" w:eastAsia="en-US" w:bidi="ar-SA"/>
        </w:rPr>
        <w:t xml:space="preserve">, which she notes is the equivalent of s. 36 of the British Columbia </w:t>
      </w:r>
      <w:r>
        <w:rPr>
          <w:rFonts w:ascii="arial" w:eastAsia="arial" w:hAnsi="arial" w:cs="arial"/>
          <w:b/>
          <w:i/>
          <w:color w:val="000000"/>
          <w:sz w:val="20"/>
          <w:lang w:val="en-US" w:eastAsia="en-US" w:bidi="ar-SA"/>
        </w:rPr>
        <w:t>Interpretation Act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She explains that the section partially codifies the common law insofar as replacement legislation is presumed to have immediate effect with respect to procedural provisions, but not with respect to substantive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Professor Sullivan also observes that the applicability of substantive provisions is the same in the case of repeal and replacement as it is in the case of the simple repeal of legislation: In both cases the question is whether the interest or right is vested or accrued such that the repealed law should continue to govern (</w:t>
      </w:r>
      <w:r>
        <w:rPr>
          <w:rFonts w:ascii="arial" w:eastAsia="arial" w:hAnsi="arial" w:cs="arial"/>
          <w:b/>
          <w:i/>
          <w:color w:val="000000"/>
          <w:sz w:val="20"/>
          <w:lang w:val="en-US" w:eastAsia="en-US" w:bidi="ar-SA"/>
        </w:rPr>
        <w:t>Dreidger</w:t>
      </w:r>
      <w:r>
        <w:rPr>
          <w:rFonts w:ascii="arial" w:eastAsia="arial" w:hAnsi="arial" w:cs="arial"/>
          <w:color w:val="000000"/>
          <w:sz w:val="20"/>
          <w:lang w:val="en-US" w:eastAsia="en-US" w:bidi="ar-SA"/>
        </w:rPr>
        <w:t xml:space="preserve"> at 570).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The following questions arise:</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Prior to its repeal, did s. 75(2)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confer on the Class members an acquired, accrued or accruing right to be deemed to have relied on the disclosure statement, or was the right merely procedural?</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Class members had an acquired or accrued right, does the </w:t>
      </w:r>
      <w:r>
        <w:rPr>
          <w:rFonts w:ascii="arial" w:eastAsia="arial" w:hAnsi="arial" w:cs="arial"/>
          <w:b/>
          <w:i/>
          <w:color w:val="000000"/>
          <w:sz w:val="20"/>
          <w:lang w:val="en-US" w:eastAsia="en-US" w:bidi="ar-SA"/>
        </w:rPr>
        <w:t>REDMA</w:t>
      </w:r>
      <w:r>
        <w:rPr>
          <w:rFonts w:ascii="arial" w:eastAsia="arial" w:hAnsi="arial" w:cs="arial"/>
          <w:color w:val="000000"/>
          <w:sz w:val="20"/>
          <w:lang w:val="en-US" w:eastAsia="en-US" w:bidi="ar-SA"/>
        </w:rPr>
        <w:t xml:space="preserve"> manifest an intention to take the right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Section 75(2)(a) confers the right of deemed reliance on purchasers. That is a substantive right, not a procedural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xml:space="preserve">  I have concluded that the Class members had a vested right conferred by the deeming provision of the </w:t>
      </w:r>
      <w:r>
        <w:rPr>
          <w:rFonts w:ascii="arial" w:eastAsia="arial" w:hAnsi="arial" w:cs="arial"/>
          <w:b/>
          <w:i/>
          <w:color w:val="000000"/>
          <w:sz w:val="20"/>
          <w:lang w:val="en-US" w:eastAsia="en-US" w:bidi="ar-SA"/>
        </w:rPr>
        <w:t>Real Estate Act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First, they are in a different position with respect to the repeal of the legislation than members of the public at large because they purchased their units while the legislation was in force. Second, steps were taken to identify and act on the rights of the Class members under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while it was still in force. By the date of repeal, they were identified as class members in the further amended statement of claim, with certification pending. Everything that could be done to advance their claim had been done: </w:t>
      </w:r>
      <w:r>
        <w:rPr>
          <w:rFonts w:ascii="arial" w:eastAsia="arial" w:hAnsi="arial" w:cs="arial"/>
          <w:b/>
          <w:i/>
          <w:color w:val="000000"/>
          <w:sz w:val="20"/>
          <w:lang w:val="en-US" w:eastAsia="en-US" w:bidi="ar-SA"/>
        </w:rPr>
        <w:t>Scott v. College of Physicians and Surgeons</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(1992), 95 D.L.R. (4th) 706</w:t>
        </w:r>
      </w:hyperlink>
      <w:r>
        <w:rPr>
          <w:rFonts w:ascii="arial" w:eastAsia="arial" w:hAnsi="arial" w:cs="arial"/>
          <w:color w:val="000000"/>
          <w:sz w:val="20"/>
          <w:lang w:val="en-US" w:eastAsia="en-US" w:bidi="ar-SA"/>
        </w:rPr>
        <w:t xml:space="preserve"> (Sask.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xml:space="preserve">  Does the </w:t>
      </w:r>
      <w:r>
        <w:rPr>
          <w:rFonts w:ascii="arial" w:eastAsia="arial" w:hAnsi="arial" w:cs="arial"/>
          <w:b/>
          <w:i/>
          <w:color w:val="000000"/>
          <w:sz w:val="20"/>
          <w:lang w:val="en-US" w:eastAsia="en-US" w:bidi="ar-SA"/>
        </w:rPr>
        <w:t>REDMA</w:t>
      </w:r>
      <w:r>
        <w:rPr>
          <w:rFonts w:ascii="arial" w:eastAsia="arial" w:hAnsi="arial" w:cs="arial"/>
          <w:color w:val="000000"/>
          <w:sz w:val="20"/>
          <w:lang w:val="en-US" w:eastAsia="en-US" w:bidi="ar-SA"/>
        </w:rPr>
        <w:t xml:space="preserve"> manifest an intention to take away the rights of purchasers? The only basis on which it could be argued that the </w:t>
      </w:r>
      <w:r>
        <w:rPr>
          <w:rFonts w:ascii="arial" w:eastAsia="arial" w:hAnsi="arial" w:cs="arial"/>
          <w:b/>
          <w:i/>
          <w:color w:val="000000"/>
          <w:sz w:val="20"/>
          <w:lang w:val="en-US" w:eastAsia="en-US" w:bidi="ar-SA"/>
        </w:rPr>
        <w:t>REDMA</w:t>
      </w:r>
      <w:r>
        <w:rPr>
          <w:rFonts w:ascii="arial" w:eastAsia="arial" w:hAnsi="arial" w:cs="arial"/>
          <w:color w:val="000000"/>
          <w:sz w:val="20"/>
          <w:lang w:val="en-US" w:eastAsia="en-US" w:bidi="ar-SA"/>
        </w:rPr>
        <w:t xml:space="preserve"> has taken away the accrued rights of purchasers under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is s. 47 of the </w:t>
      </w:r>
      <w:r>
        <w:rPr>
          <w:rFonts w:ascii="arial" w:eastAsia="arial" w:hAnsi="arial" w:cs="arial"/>
          <w:b/>
          <w:i/>
          <w:color w:val="000000"/>
          <w:sz w:val="20"/>
          <w:lang w:val="en-US" w:eastAsia="en-US" w:bidi="ar-SA"/>
        </w:rPr>
        <w:t>REDMA</w:t>
      </w:r>
      <w:r>
        <w:rPr>
          <w:rFonts w:ascii="arial" w:eastAsia="arial" w:hAnsi="arial" w:cs="arial"/>
          <w:color w:val="000000"/>
          <w:sz w:val="20"/>
          <w:lang w:val="en-US" w:eastAsia="en-US" w:bidi="ar-SA"/>
        </w:rPr>
        <w:t>,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Transitional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47(1) A prospectus or disclosure statement that was accepted for filing by the superintendent under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before the repeal of that Act is deemed to be a disclosure statement filed under this Act.</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the repeal of s. 78 [rescission]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that section, as it read before its repeal, continues to apply to a person described in that section if a right of rescission accrued to the person under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before the repeal of section 78 of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xml:space="preserve">  The question is whether the Legislature, by expressly preserving s. 78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must be taken to have manifested an intention that s. 75(2) would cease to govern. However, vested rights cannot be removed by implication. The test is that the intention to prejudice accrued rights must be "plainly manifested by unavoidable inference." There is no such unavoidable inference here. By preserving s. 78, the Legislature did not make clear an intention to set aside rights accrued under s. 75(2).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xml:space="preserve">  I conclude that the repeal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and its replacement with the </w:t>
      </w:r>
      <w:r>
        <w:rPr>
          <w:rFonts w:ascii="arial" w:eastAsia="arial" w:hAnsi="arial" w:cs="arial"/>
          <w:b/>
          <w:i/>
          <w:color w:val="000000"/>
          <w:sz w:val="20"/>
          <w:lang w:val="en-US" w:eastAsia="en-US" w:bidi="ar-SA"/>
        </w:rPr>
        <w:t>REDMA</w:t>
      </w:r>
      <w:r>
        <w:rPr>
          <w:rFonts w:ascii="arial" w:eastAsia="arial" w:hAnsi="arial" w:cs="arial"/>
          <w:color w:val="000000"/>
          <w:sz w:val="20"/>
          <w:lang w:val="en-US" w:eastAsia="en-US" w:bidi="ar-SA"/>
        </w:rPr>
        <w:t xml:space="preserve"> has no effect on the claims of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E.</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 Trust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The common issues concerning the trust claims were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Was VAC constituted a trustee for the class of the revenues collected pursuant to Article 7.1 of the HAMA? (a)(i)</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If the answer to (i) is "yes", what is the scope of VAC's obligation to account for the trust funds received and expended in the management of the Hilton? (a)(ii)</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Was HMS, by reason of its appointment by VAC under Article 3.2 of the HAMA as its sub-agent, constituted a trustee for the Class of the funds in the operating account (a)(iii)</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If the answer to (iii) is "yes", what is the scope of the obligation of HMS to account for the trust funds received and expended in the management of the Hotel? (a)(iv)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I will deal with these issues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 Was VAC a trustee of the revenues collected pursuant to Article 7.1 of the HAMA? ((a)(i))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Articles 3.1, 3.2, 4.1, 4.4, 5.4, 7.2 and 7.3 of the Hilton HAMA authorize and require VAC, as Asset Manager, to act as the Hilton Owners' agent. A description of VAC's agency role is contained in Article 4.4, titled General Authority of Asset Manager, which gives the Asset Manager full authority to "operate, maintain, manage and rent each Strata Lot" and to operate the Hilton "as a single business entity on behalf of all the Owners". Article 4.4 also gives VAC authority to "do any act, take any proceeding, make any decision and execute and deliver any instrument, deed, agreement or document" as it deems necessary or desirable.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Article 7.1 of the Hilton HAMA requires VAC to collect and hold pooled gross rental revenues from the operation of the hotel in a segregated operating account. The operating account is to be kept separate from VAC's assets. Pursuant to Article 7.1, all funds held in the operating account are to be "held for the benefit of the Owners of the Hotel Strata Lots (in accordance with each owner's proportionate share)". The provision contemplates that VAC will pay expenses on behalf of the Owners in proportion to each Owner's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Article 7.2 of the Hilton HAMA requires VAC to deliver monthly operating statements to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VAC concedes that it is a trustee, but only to the extent provided in Article 7.1 of the Hilton HAMA. Under Article 7.1, it is a trustee of the gross rental revenue (as defined in the Hilton HAMA) to the extent that it is able to collect such revenue using commercially reasonable efforts as set out in the HAMA. However, says VAC, there are no allegations and no evidence of any breach of trust by VAC in its control of the Gross Rental Revenue and therefore no consequences flow from a finding of trusteeship.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I conclude that VAC was constituted a trustee for the Hilton Owners of the funds it receives pursuant to Article 7.1 of the HAMA. The real issue is whether, at this stage of the proceedings, any consequences flow from the trusteeship. That question arises from common issue (a)(ii), dealt with below.</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What is the scope of VAC's obligation to account for the trust funds received pursuant to Article 7.1 of the HAMA? ((a)(ii))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This issue arises because the action was initially commenced by Sharbern in an effort to obtain a full accounting of the funds received and expended by VAC and HMS. Sharbern's position is that the Hilton Owners are entitled to full access to financial information so long as it does not impede the ability of VAC to carry out its tasks under the Hilton HAMA, or would be contrary to the interests of the beneficiaries as a whole. Sharbern accepts that VAC has a discretion to exercise, but says it is a discretion that must be exercised having regard to the proper legal test. Sharbern referred, among other authorities, to the duty articulated in McGhee et al., </w:t>
      </w:r>
      <w:r>
        <w:rPr>
          <w:rFonts w:ascii="arial" w:eastAsia="arial" w:hAnsi="arial" w:cs="arial"/>
          <w:b/>
          <w:i/>
          <w:color w:val="000000"/>
          <w:sz w:val="20"/>
          <w:lang w:val="en-US" w:eastAsia="en-US" w:bidi="ar-SA"/>
        </w:rPr>
        <w:t>Snell's Equity</w:t>
      </w:r>
      <w:r>
        <w:rPr>
          <w:rFonts w:ascii="arial" w:eastAsia="arial" w:hAnsi="arial" w:cs="arial"/>
          <w:color w:val="000000"/>
          <w:sz w:val="20"/>
          <w:lang w:val="en-US" w:eastAsia="en-US" w:bidi="ar-SA"/>
        </w:rPr>
        <w:t>, 30th ed. (London: Sweet &amp; Maxwell, 2000) at p. 264, paras. 11-47: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Another duty of a trustee is to keep accounts and produce them to any beneficiary when required. The trustees must also when required give any beneficiary all reasonable information as to the manner in which the trust estate has been dealt with and as to the investments representing it ... in the absence of special circumstances, they must allow a beneficiary to inspect all title deed and other documents relating to the trust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Sharbern argued that Article 4.1(g) of the Hilton HAMA gives rise to an obligation on the part of VAC to keep full books of account and provide a yearly financial statement to the Owners. That subsection provides, in part, that VAC will:</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 or cause to be kept full and adequate books of account and such other reasonable records reflecting the Gross Rental Revenue for the Hotel Premises, Hotel Expenses, Management Fee, FF&amp;E Reserve, Hotel Expenses Reserve, and the Owner's Proportionate Share thereof, and provide at least annually audited financial statements with respect to the foregoing to the Owner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Sharbern argued that the clause is not exhaustive and that although it describes the information VAC is required to provide to each Owner annually without any request being made, it does not, by describing a standard of practice, limit the equitable obligations on VAC 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VAC took the position that its obligation was confined to providing summary annual statements, and that any other remedies flowing from the fact of VAC's trusteeship should not be determined at this stage of the proceedings. In the alternative, VAC argued that any additional remedies at this stage are confined to those duties described in Article 7.2 of the Hilton HAMA. That article provides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b&gt;</w:t>
      </w:r>
      <w:r>
        <w:rPr>
          <w:rFonts w:ascii="arial" w:eastAsia="arial" w:hAnsi="arial" w:cs="arial"/>
          <w:color w:val="000000"/>
          <w:sz w:val="20"/>
          <w:u w:val="single"/>
          <w:lang w:val="en-US" w:eastAsia="en-US" w:bidi="ar-SA"/>
        </w:rPr>
        <w:t>Payment to Owner and Financial Statements</w:t>
      </w:r>
      <w:r>
        <w:rPr>
          <w:rFonts w:ascii="arial" w:eastAsia="arial" w:hAnsi="arial" w:cs="arial"/>
          <w:color w:val="000000"/>
          <w:sz w:val="20"/>
          <w:lang w:val="en-US" w:eastAsia="en-US" w:bidi="ar-SA"/>
        </w:rPr>
        <w:t>. Within 30 days after the end of every calendar month during the Term, the Asset Manager will prepare or cause to be prepared for and provided to each Owner operating statements for such period which will calculate the following:</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Gross Rental Revenue relating to the rental of Hotel Strata Lots and such Owner's Proportionate Share thereof;</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Expenses and the Management Fee relating to the rental of all Hotel Strata Lots and such Owner's Proportionate Share thereof;</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Expenses Reserve, the FF&amp;E Reserve and such Owner's Strata Lot Expenses (if any) paid or reserved for by the Asset Manager on behalf of the Owner; and</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Monies Available for Distribution and such Owner's Proportionate Share thereof.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statements will also set out the status and contributions to the FF&amp;E Reserve and Hotel Expenses Reserve. Together with such statements, each Owner will receive his or her Proportionate Share of Monies Available for Distribution. In addition, such statements will set out any applicable withholding tax, goods and services tax or other applicable tax, charge or levy for such period.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There is no allegation by Sharbern that VAC has failed in its duty to report to the Owners under Article 7.2 of the HAMA.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I accept the argument of VAC that at this stage of the proceedings, any disclosure obligations are confined to the provisions of the Hilton HAMA. If there is a more expansive right of the Hilton Owners at common law to demand access to the books of account, that matter involves remedial issues that must await a subsequent stage of the proceedings.</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Was HMS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The common issues concerning the status of HMS were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Was HMS, by reason of its appointment by VAC under Article 3.2 of the HAMA as its sub-agent, constituted a trustee for the Class of the funds in the operating account (a)(iii)</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If the answer to (iii) is "yes", what is the scope of the obligation of HMS to account for the trust funds received and expended in the management of the Hotel? (a)(iv)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The parties made no meaningful submissions on these issues. Sharbern's written submissions deal with the first of these issues in one paragraph:</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HMS is aware of the terms of the HAMA. It deals with funds held in trust for the Class with knowledge of the facts giving rise to the trust and is itself responsible, as a trustee. It is submitted that the answer to (iii) is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Counsel for VAC and HMS listed the common issues regarding trust relationships, including these common issues relating to HMS, on page 80 of their written submissions, but did not mention HMS in the submissions that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Whether VAC was entitled to delegate trustee duties to HMS, and whether it effectively did so, is a complex issue. Citing </w:t>
      </w:r>
      <w:r>
        <w:rPr>
          <w:rFonts w:ascii="arial" w:eastAsia="arial" w:hAnsi="arial" w:cs="arial"/>
          <w:b/>
          <w:i/>
          <w:color w:val="000000"/>
          <w:sz w:val="20"/>
          <w:lang w:val="en-US" w:eastAsia="en-US" w:bidi="ar-SA"/>
        </w:rPr>
        <w:t>Turner v. Corney</w:t>
      </w:r>
      <w:r>
        <w:rPr>
          <w:rFonts w:ascii="arial" w:eastAsia="arial" w:hAnsi="arial" w:cs="arial"/>
          <w:color w:val="000000"/>
          <w:sz w:val="20"/>
          <w:lang w:val="en-US" w:eastAsia="en-US" w:bidi="ar-SA"/>
        </w:rPr>
        <w:t xml:space="preserve"> (1841), 49 E.R. 677, Waters et al., </w:t>
      </w:r>
      <w:r>
        <w:rPr>
          <w:rFonts w:ascii="arial" w:eastAsia="arial" w:hAnsi="arial" w:cs="arial"/>
          <w:b/>
          <w:i/>
          <w:color w:val="000000"/>
          <w:sz w:val="20"/>
          <w:lang w:val="en-US" w:eastAsia="en-US" w:bidi="ar-SA"/>
        </w:rPr>
        <w:t>Waters' Law of Trusts in Canada</w:t>
      </w:r>
      <w:r>
        <w:rPr>
          <w:rFonts w:ascii="arial" w:eastAsia="arial" w:hAnsi="arial" w:cs="arial"/>
          <w:color w:val="000000"/>
          <w:sz w:val="20"/>
          <w:lang w:val="en-US" w:eastAsia="en-US" w:bidi="ar-SA"/>
        </w:rPr>
        <w:t>, 3rd ed. (Toronto: Thomson Carswell, 2005) notes at p. 858-859 that historically trustees who took on management of property for the benefit of others had no right to shift their duties on to other persons. The authors go on to discuss how that rule has been relaxed in certain circumstances. Relevant considerations are whether the duties were conferred on the trustee personally, or on the office of the trustee, and whether the tasks delegated are administrative or require an exercise of discretion 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 am not prepared to decide these issues without submissions from the parties. If they remain contentious issues, the parties may apply to speak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F.</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 Fiduciary Duty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The common issues regarding the claims for breach of fiduciary duty were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Does VAC owe the Class fiduciary duties in respect of the operation of the Hotel? (b)(i)</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If the answer to b(i) is "yes", do those fiduciary duties conflict with VAC's interests concerning the Marriott? (b)(ii)</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Has VAC breached its fiduciary duties to the Class? (b)(iii)</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Does HMS, by reason of its appointment under Article 3.2 of the HAMA as VAC's sub-agent, owe the Class the same fiduciary duties as VAC? (b)(iv)</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If the answer to b(iv) is "yes", do those fiduciary duties conflict with the interest of HMS concerning the Marriott? (b)(v)</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Has HMS breached its fiduciary duties to the Class? (b)(vi)?</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Does VAC owe the Class fiduciary duties in respect of the operation of the Hotel? ((b)(i))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Sharbern argued that VAC owes fiduciary duties as agent of the Class for the management of the Class members' property, the Hilton. The terms of the Hilton HAMA, said Sharbern, create an agency of the widest kind. Sharbern argued that VAC placed itself in a position where its duty and its interests were in conflict and failed to disclose that conflict to the Hilton Owners. By so doing, VAC breached its fiduciary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VAC argued that the duties of a fiduciary are incompatible with the overall commercial arrangement disclosed to the Hilton Owners in the Hilton Disclosure Statement. In particular, said VAC, the Hilton Owners were aware that VAC had a number of similar, and potentially competing, arrangements. VAC disclosed, in Articles 4.8 and 4.9(i) of the Hilton Disclosure Statement, that it was developing the Marriott and "had entered into purchase agreements, ancillary documents similar in form and substance to the [Hilton] Agreements, and certain additional agreements" with the Marriott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VAC also argued that the duties of a fiduciary are inconsistent with the limited discretion vested in VAC under the Hilton HAMA. According to VAC, the detailed terms of the HAMA define, and limit, the relationship between it and the Hilton Owners. This includes a provision requiring VAC to use "commercially reasonable efforts" in the management of the Hotel. When the whole of the context of the relationship is examined, said VAC, the requirements of selflessness and utmost loyalty - hallmarks of the fiduciary relationship - are wholly inconsistent with the arrangement between these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relationship between VAC and the plaintiff was one of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xml:space="preserve">  An agency relationship exists when one party, the agent, has the authority to affect the legal position of the other party, the principal, by the making of contracts. Whether authority has been conferred upon an agent is a question of fact which may be established by showing that it was expressly given, or by showing that the acts of recognition by the supposed principal are such that the trier of fact can infer that the agent was duly appointed: </w:t>
      </w:r>
      <w:r>
        <w:rPr>
          <w:rFonts w:ascii="arial" w:eastAsia="arial" w:hAnsi="arial" w:cs="arial"/>
          <w:b/>
          <w:i/>
          <w:color w:val="000000"/>
          <w:sz w:val="20"/>
          <w:lang w:val="en-US" w:eastAsia="en-US" w:bidi="ar-SA"/>
        </w:rPr>
        <w:t>Sayward v. Dunsmuir</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(1905),11 B.C.R. 375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In this case, the Hilton HAMA set out the relationship between the Hilton Owners and VAC. Articles 3.1 and 4.1 of the Hilton HAMA deal with the management of the Hilton and are relevant to the nature of the relationship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Management of Hotel</w:t>
            </w:r>
            <w:r>
              <w:rPr>
                <w:rFonts w:ascii="arial" w:eastAsia="arial" w:hAnsi="arial" w:cs="arial"/>
                <w:b/>
                <w:color w:val="000000"/>
                <w:sz w:val="18"/>
                <w:lang w:val="en-US" w:eastAsia="en-US" w:bidi="ar-SA"/>
              </w:rPr>
              <w:t>.</w:t>
            </w:r>
            <w:r>
              <w:rPr>
                <w:rFonts w:ascii="arial" w:eastAsia="arial" w:hAnsi="arial" w:cs="arial"/>
                <w:color w:val="000000"/>
                <w:sz w:val="18"/>
                <w:lang w:val="en-US" w:eastAsia="en-US" w:bidi="ar-SA"/>
              </w:rPr>
              <w:t xml:space="preserve"> Each Owner hereby appoints the Asset Manager as its sole and exclusive manager to operate, maintain, manage and rent its Strata Lot or Strata Lots during the Term, and any renewals thereof, in accordance with the terms and conditions set out in this Agreement and the Hotel Use Covenant and to undertake, on an exclusive basis, on behalf of, for, </w:t>
            </w:r>
            <w:r>
              <w:rPr>
                <w:rFonts w:ascii="arial" w:eastAsia="arial" w:hAnsi="arial" w:cs="arial"/>
                <w:i/>
                <w:color w:val="000000"/>
                <w:sz w:val="18"/>
                <w:lang w:val="en-US" w:eastAsia="en-US" w:bidi="ar-SA"/>
              </w:rPr>
              <w:t>and as the agent for</w:t>
            </w:r>
            <w:r>
              <w:rPr>
                <w:rFonts w:ascii="arial" w:eastAsia="arial" w:hAnsi="arial" w:cs="arial"/>
                <w:color w:val="000000"/>
                <w:sz w:val="18"/>
                <w:lang w:val="en-US" w:eastAsia="en-US" w:bidi="ar-SA"/>
              </w:rPr>
              <w:t xml:space="preserve"> the Owner, all duties and obligations coming within the scope of the management and marketing of the Hotel.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Asset manager's Responsibilities and Powers.</w:t>
            </w:r>
            <w:r>
              <w:rPr>
                <w:rFonts w:ascii="arial" w:eastAsia="arial" w:hAnsi="arial" w:cs="arial"/>
                <w:color w:val="000000"/>
                <w:sz w:val="18"/>
                <w:lang w:val="en-US" w:eastAsia="en-US" w:bidi="ar-SA"/>
              </w:rPr>
              <w:t xml:space="preserve"> The Asset Manager is authorized and empowered to operate, maintain, manage and rent the Hotel Strata Lots and, in doing so, the Asset Manager agrees that it will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Article 10.3 of the Hilton HAMA is also relevant to the nature of the relationship between the parties. While that article purports to place limits on the characterization of the relationship, it does not preclude an agent-principal relationship between the Hilton Owners and VAC in its management of the Hilton: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10.3 </w:t>
      </w:r>
      <w:r>
        <w:rPr>
          <w:rFonts w:ascii="arial" w:eastAsia="arial" w:hAnsi="arial" w:cs="arial"/>
          <w:b/>
          <w:color w:val="000000"/>
          <w:sz w:val="20"/>
          <w:u w:val="single"/>
          <w:lang w:val="en-US" w:eastAsia="en-US" w:bidi="ar-SA"/>
        </w:rPr>
        <w:t>Relationship</w:t>
      </w:r>
      <w:r>
        <w:rPr>
          <w:rFonts w:ascii="arial" w:eastAsia="arial" w:hAnsi="arial" w:cs="arial"/>
          <w:color w:val="000000"/>
          <w:sz w:val="20"/>
          <w:lang w:val="en-US" w:eastAsia="en-US" w:bidi="ar-SA"/>
        </w:rPr>
        <w:t>. This Agreement is not a lease, partnership or joint venture agreement and nothing contained herein will constitute the parties landlord and tenant, partners or joint venturers.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 conclude from my reading of the Hilton HAMA read as a whole, and Article 3.1 in particular, that VAC agreed to act as agent for the Hilton Owners in the management of the Hilton.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Fiduciary relationships are presumed to exist between agent and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Whether fiduciary duties exist between the parties in a particular case must be determined on the facts of that case. However, fiduciary duties are presumed to exist in principal-agent relationships: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equity has refused to tie its hands by defining with precision when a fiduciary relationship will arise, certain basic principles must be taken into account. There are some relationships which are generally recognized to give rise to fiduciary obligations: director-corporation, trustee-beneficiary, solicitor-client, partners, principal-agent, and the like. The categories of relationships giving rise to fiduciary duties are not closed nor do the traditional relationships invariably give rise to fiduciary obligation.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596-597 [</w:t>
      </w:r>
      <w:r>
        <w:rPr>
          <w:rFonts w:ascii="arial" w:eastAsia="arial" w:hAnsi="arial" w:cs="arial"/>
          <w:b/>
          <w:i/>
          <w:color w:val="000000"/>
          <w:sz w:val="20"/>
          <w:lang w:val="en-US" w:eastAsia="en-US" w:bidi="ar-SA"/>
        </w:rPr>
        <w:t>Lac Minerals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Court is dealing with one of the traditional relationships, the characteristics or criteria for a fiduciary relationship are assumed to exist. In special circumstances, if they are shown to be absent, the relationship itself will not suffice.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Lac Minerals</w:t>
      </w:r>
      <w:r>
        <w:rPr>
          <w:rFonts w:ascii="arial" w:eastAsia="arial" w:hAnsi="arial" w:cs="arial"/>
          <w:color w:val="000000"/>
          <w:sz w:val="20"/>
          <w:lang w:val="en-US" w:eastAsia="en-US" w:bidi="ar-SA"/>
        </w:rPr>
        <w:t xml:space="preserve"> at 598)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[C]ertain relationships ... have as their essence discretion, influence over interests, and an </w:t>
      </w:r>
      <w:r>
        <w:rPr>
          <w:rFonts w:ascii="arial" w:eastAsia="arial" w:hAnsi="arial" w:cs="arial"/>
          <w:color w:val="000000"/>
          <w:sz w:val="20"/>
          <w:u w:val="single"/>
          <w:lang w:val="en-US" w:eastAsia="en-US" w:bidi="ar-SA"/>
        </w:rPr>
        <w:t>inherent</w:t>
      </w:r>
      <w:r>
        <w:rPr>
          <w:rFonts w:ascii="arial" w:eastAsia="arial" w:hAnsi="arial" w:cs="arial"/>
          <w:color w:val="000000"/>
          <w:sz w:val="20"/>
          <w:lang w:val="en-US" w:eastAsia="en-US" w:bidi="ar-SA"/>
        </w:rPr>
        <w:t xml:space="preserve"> vulnerability. In these types of relationships, there is a rebuttable presumption, arising out of the inherent purpose of the relationship, that one party has a duty to act in the best interests of the other party. Two obvious examples of this type of fiduciary relationship are trustee-beneficiary and agent-principal.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409, per La Forest J.,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When acting within the scope of its agency, VAC is presumed to owe fiduciary duties to the Hilton Owners. This presumption may be rebutted by the terms of the Hilton HAMA, or other circumstances of the relationship between the Hilton Owners and VAC which negate the existence of such fiduciary duties. For example, evidence that VAC did not agree to act in the best interests of the Hilton Owners, and did not have discretion and influence over the Hilton Owners' interests in the hotel, would tend to negate the existence of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135-36, Madam Justice Wilson set out three general characteristics of fiduciary relationships:</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 and</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xml:space="preserve">  Although Wilson J. was dissenting in that case, her comments on the characteristics of fiduciary relationships have been widely accepted as an accurate statement of law: </w:t>
      </w:r>
      <w:r>
        <w:rPr>
          <w:rFonts w:ascii="arial" w:eastAsia="arial" w:hAnsi="arial" w:cs="arial"/>
          <w:b/>
          <w:i/>
          <w:color w:val="000000"/>
          <w:sz w:val="20"/>
          <w:lang w:val="en-US" w:eastAsia="en-US" w:bidi="ar-SA"/>
        </w:rPr>
        <w:t>Crown West Steel Fabricators v. Capri Insurance Services Ltd.</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2002 BCCA 417</w:t>
        </w:r>
      </w:hyperlink>
      <w:r>
        <w:rPr>
          <w:rFonts w:ascii="arial" w:eastAsia="arial" w:hAnsi="arial" w:cs="arial"/>
          <w:color w:val="000000"/>
          <w:sz w:val="20"/>
          <w:lang w:val="en-US" w:eastAsia="en-US" w:bidi="ar-SA"/>
        </w:rPr>
        <w:t xml:space="preserve"> at para. 23, </w:t>
      </w:r>
      <w:hyperlink r:id="rId707" w:history="1">
        <w:r>
          <w:rPr>
            <w:rFonts w:ascii="arial" w:eastAsia="arial" w:hAnsi="arial" w:cs="arial"/>
            <w:i/>
            <w:color w:val="0077CC"/>
            <w:sz w:val="20"/>
            <w:u w:val="single"/>
            <w:shd w:val="clear" w:color="auto" w:fill="FFFFFF"/>
            <w:lang w:val="en-US" w:eastAsia="en-US" w:bidi="ar-SA"/>
          </w:rPr>
          <w:t>2 B.C.L.R. (4th) 272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xml:space="preserve">  Wilson J. described the list of characteristics as a guide to whether fiduciary obligations should be imposed on relationships that do not fall within the traditional categories of fiduciary relationship. However, those characteristics can also be applied to determine whether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fiduciary relationship between a principal and an agent is truly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However, the presence of the three general characteristics of a fiduciary relationship may not sufficient to establish the existence of a fiduciary duty. The facts must also establish a duty of loyalty. That is, the fiduciary must place the beneficiary's interests ahead of his or her own interests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xml:space="preserve"> at 407).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Fiduciary duties may arise by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Guerin v. The Queen</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at 384, Dickson J. (as he then was) confirmed that fiduciary relationships may be created by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by statute, agreement, or perhaps by unilateral undertaking, one party has an obligation to act for the benefit of another, and that obligation carries with it a discretionary power, the party thus empowered becomes a fiduciary. Equity will then supervise the relationship by holding him to the fiduciary's strict standard of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xml:space="preserve"> La Forest J. explained that the fiduciary duties that arise between agent and principal are often established by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note that the existence of a contract does not necessarily preclude the existence of fiduciary obligations between the parties. On the contrary, the legal incidents of many contractual agreements are such as to give rise to a fiduciary duty. The paradigm example of this class of contract is the agency agreement, in which the allocation of rights and responsibilities in the contract itself gives rise to fiduciary expectations .... In other contractual relationships, however, the facts surrounding the relationship will give rise to a fiduciary inference where the legal incidents surrounding the relationship might not lead to such a conclusion .... [T]he "end point" in each situation is to ascertain whether "the one has the right to expect that the other will act in the former's interests (or, in some instances, in their joint interest) to the exclusion of his own several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xml:space="preserve"> at 407,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The fact that the Hilton Owners each entered into a Hilton HAMA with VAC for the management of the Hilton does not preclude an agency relationship between VAC and the Hilton Owners which gives rise to fiduciary duties. Rather, the Hilton HAMA informs the nature and extent of the fiduciary duties, if any, that VAC owes to the Hilton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scope of the fiduciary duties depends on the nature of the agency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Fiduciary duties will not necessarily exist in all agency relationships, but depend on the circumstances of the particular case. Similarly, if the agent does owe the principal fiduciary duties, the scope of those duties will depend on the circumstances of the agency and the extent to which the agent is entrusted with discretion to unilaterally affect the position of the principal: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agency is so narrow as to eliminate any transfer of trust, the fiduciary aspect may be correspondingly narrowed to the point of extinction. Conversely, where the agency calls into existence a wide breadth of responsibility on the part of the agent it is clear that the agent thereby acts under the guise of fiduciary fidelity.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(Ellis, M., Fiduciary Duties in Canada (Toronto: Carswell, loose leaf) at p.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xml:space="preserve">  This principle was explained as follows by Sopinka J., dissenting in part, in </w:t>
      </w:r>
      <w:r>
        <w:rPr>
          <w:rFonts w:ascii="arial" w:eastAsia="arial" w:hAnsi="arial" w:cs="arial"/>
          <w:b/>
          <w:i/>
          <w:color w:val="000000"/>
          <w:sz w:val="20"/>
          <w:lang w:val="en-US" w:eastAsia="en-US" w:bidi="ar-SA"/>
        </w:rPr>
        <w:t>Lac Minerals</w:t>
      </w:r>
      <w:r>
        <w:rPr>
          <w:rFonts w:ascii="arial" w:eastAsia="arial" w:hAnsi="arial" w:cs="arial"/>
          <w:color w:val="000000"/>
          <w:sz w:val="20"/>
          <w:lang w:val="en-US" w:eastAsia="en-US" w:bidi="ar-SA"/>
        </w:rPr>
        <w:t xml:space="preserve"> at 597: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 all obligations existing between the parties to a well-recognized fiduciary relationship will be fiduciary in nature. Southin J., in </w:t>
      </w:r>
      <w:r>
        <w:rPr>
          <w:rFonts w:ascii="arial" w:eastAsia="arial" w:hAnsi="arial" w:cs="arial"/>
          <w:i/>
          <w:color w:val="000000"/>
          <w:sz w:val="20"/>
          <w:lang w:val="en-US" w:eastAsia="en-US" w:bidi="ar-SA"/>
        </w:rPr>
        <w:t>Girardet v. Crease &amp; Co.</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(1987), 11 B.C.L.R. (2d) 361</w:t>
        </w:r>
      </w:hyperlink>
      <w:r>
        <w:rPr>
          <w:rFonts w:ascii="arial" w:eastAsia="arial" w:hAnsi="arial" w:cs="arial"/>
          <w:color w:val="000000"/>
          <w:sz w:val="20"/>
          <w:lang w:val="en-US" w:eastAsia="en-US" w:bidi="ar-SA"/>
        </w:rPr>
        <w:t xml:space="preserve">, observed that the obligation of a solicitor to use care and skill is the same obligation as that of any person who undertakes to carry out a task for reward. Failure to do so does not necessarily result in a breach of fiduciary duty but simply a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xml:space="preserve">  More recently, in </w:t>
      </w:r>
      <w:r>
        <w:rPr>
          <w:rFonts w:ascii="arial" w:eastAsia="arial" w:hAnsi="arial" w:cs="arial"/>
          <w:b/>
          <w:i/>
          <w:color w:val="000000"/>
          <w:sz w:val="20"/>
          <w:lang w:val="en-US" w:eastAsia="en-US" w:bidi="ar-SA"/>
        </w:rPr>
        <w:t>Strother v. 3464920 Canada Inc.</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2007 SCC 24</w:t>
        </w:r>
      </w:hyperlink>
      <w:r>
        <w:rPr>
          <w:rFonts w:ascii="arial" w:eastAsia="arial" w:hAnsi="arial" w:cs="arial"/>
          <w:color w:val="000000"/>
          <w:sz w:val="20"/>
          <w:lang w:val="en-US" w:eastAsia="en-US" w:bidi="ar-SA"/>
        </w:rPr>
        <w:t xml:space="preserve"> at para. 34, the Supreme Court of Canada said that "[n]ot every breach of contract of retainer [in the context of a fiduciary relationship] is a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I take from these authorities that not all breaches of duty by an agent will be breaches of fiduciary duty. There will only be a breach of fiduciary duty when the agent breaches the trust placed in him or her by the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Fiduciary duties owed by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xml:space="preserve">  In G.H.L. Fridman, </w:t>
      </w:r>
      <w:r>
        <w:rPr>
          <w:rFonts w:ascii="arial" w:eastAsia="arial" w:hAnsi="arial" w:cs="arial"/>
          <w:b/>
          <w:i/>
          <w:color w:val="000000"/>
          <w:sz w:val="20"/>
          <w:lang w:val="en-US" w:eastAsia="en-US" w:bidi="ar-SA"/>
        </w:rPr>
        <w:t>The Law of Agency</w:t>
      </w:r>
      <w:r>
        <w:rPr>
          <w:rFonts w:ascii="arial" w:eastAsia="arial" w:hAnsi="arial" w:cs="arial"/>
          <w:color w:val="000000"/>
          <w:sz w:val="20"/>
          <w:lang w:val="en-US" w:eastAsia="en-US" w:bidi="ar-SA"/>
        </w:rPr>
        <w:t>, 7th ed. (Toronto: Butterworths, 1996) at 174-175 [</w:t>
      </w:r>
      <w:r>
        <w:rPr>
          <w:rFonts w:ascii="arial" w:eastAsia="arial" w:hAnsi="arial" w:cs="arial"/>
          <w:b/>
          <w:i/>
          <w:color w:val="000000"/>
          <w:sz w:val="20"/>
          <w:lang w:val="en-US" w:eastAsia="en-US" w:bidi="ar-SA"/>
        </w:rPr>
        <w:t>Fridman</w:t>
      </w:r>
      <w:r>
        <w:rPr>
          <w:rFonts w:ascii="arial" w:eastAsia="arial" w:hAnsi="arial" w:cs="arial"/>
          <w:color w:val="000000"/>
          <w:sz w:val="20"/>
          <w:lang w:val="en-US" w:eastAsia="en-US" w:bidi="ar-SA"/>
        </w:rPr>
        <w:t>] the author says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Irrespective of any contract, or even agreement, between the parties, once the relationship of principal and agent exists, however it may arise, a complex of duties attaches to the agent. These duties are equitable in character, and may be lumped together under one general principle; namely, that the agent must not let his own personal interest conflict with the obligations he owes to his principal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Atlanta Industrial Sales Ltd. v. Emerald Management &amp; Realty Ltd.</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2006 ABQB 255</w:t>
        </w:r>
      </w:hyperlink>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62 Alta. L.R. (4th) 232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Atlanta Industrial Sales</w:t>
      </w:r>
      <w:r>
        <w:rPr>
          <w:rFonts w:ascii="arial" w:eastAsia="arial" w:hAnsi="arial" w:cs="arial"/>
          <w:color w:val="000000"/>
          <w:sz w:val="20"/>
          <w:lang w:val="en-US" w:eastAsia="en-US" w:bidi="ar-SA"/>
        </w:rPr>
        <w:t xml:space="preserve">] a fiduciary relationship was found to exist between property owners (the principals) and the property manager (the agent) the owners employed. The property manager was paid a 4% management fee. The manager then wrongly collected and retained extra fees without the owners' knowledge. Those extra fees were already included in the management fee, and the Court found that retention of the additional fees was a breach of fiduciary duty and a breach of contract. Phillips J. cited with approval the above passage from </w:t>
      </w:r>
      <w:r>
        <w:rPr>
          <w:rFonts w:ascii="arial" w:eastAsia="arial" w:hAnsi="arial" w:cs="arial"/>
          <w:b/>
          <w:i/>
          <w:color w:val="000000"/>
          <w:sz w:val="20"/>
          <w:lang w:val="en-US" w:eastAsia="en-US" w:bidi="ar-SA"/>
        </w:rPr>
        <w:t>Fridman</w:t>
      </w:r>
      <w:r>
        <w:rPr>
          <w:rFonts w:ascii="arial" w:eastAsia="arial" w:hAnsi="arial" w:cs="arial"/>
          <w:color w:val="000000"/>
          <w:sz w:val="20"/>
          <w:lang w:val="en-US" w:eastAsia="en-US" w:bidi="ar-SA"/>
        </w:rPr>
        <w:t xml:space="preserve"> and confirmed that only those duties arising from the loyalty and trust of the principal-agent relationship are fiduciary in nature: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Among the agent's fiduciary duties are the duty to make full disclosure to its principal, the duty not to use its principal's property to acquire an undisclosed benefit for itself and the duty to remit all interest earned on monies belonging in law or equity to its principal.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Atlanta Industrial Sales</w:t>
      </w:r>
      <w:r>
        <w:rPr>
          <w:rFonts w:ascii="arial" w:eastAsia="arial" w:hAnsi="arial" w:cs="arial"/>
          <w:color w:val="000000"/>
          <w:sz w:val="20"/>
          <w:lang w:val="en-US" w:eastAsia="en-US" w:bidi="ar-SA"/>
        </w:rPr>
        <w:t xml:space="preserve"> at para. 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Atlanta Industrial Sales</w:t>
      </w:r>
      <w:r>
        <w:rPr>
          <w:rFonts w:ascii="arial" w:eastAsia="arial" w:hAnsi="arial" w:cs="arial"/>
          <w:color w:val="000000"/>
          <w:sz w:val="20"/>
          <w:lang w:val="en-US" w:eastAsia="en-US" w:bidi="ar-SA"/>
        </w:rPr>
        <w:t xml:space="preserve"> the agent was found to have breached its fiduciary duty to the owners by taking the additional fee without the informed consent of the owner. Those facts are substantially different from the facts of the present case. However, </w:t>
      </w:r>
      <w:r>
        <w:rPr>
          <w:rFonts w:ascii="arial" w:eastAsia="arial" w:hAnsi="arial" w:cs="arial"/>
          <w:b/>
          <w:i/>
          <w:color w:val="000000"/>
          <w:sz w:val="20"/>
          <w:lang w:val="en-US" w:eastAsia="en-US" w:bidi="ar-SA"/>
        </w:rPr>
        <w:t>Atlanta Industrial Sales</w:t>
      </w:r>
      <w:r>
        <w:rPr>
          <w:rFonts w:ascii="arial" w:eastAsia="arial" w:hAnsi="arial" w:cs="arial"/>
          <w:color w:val="000000"/>
          <w:sz w:val="20"/>
          <w:lang w:val="en-US" w:eastAsia="en-US" w:bidi="ar-SA"/>
        </w:rPr>
        <w:t xml:space="preserve"> confirms the view expressed in </w:t>
      </w:r>
      <w:r>
        <w:rPr>
          <w:rFonts w:ascii="arial" w:eastAsia="arial" w:hAnsi="arial" w:cs="arial"/>
          <w:b/>
          <w:i/>
          <w:color w:val="000000"/>
          <w:sz w:val="20"/>
          <w:lang w:val="en-US" w:eastAsia="en-US" w:bidi="ar-SA"/>
        </w:rPr>
        <w:t>Fridman</w:t>
      </w:r>
      <w:r>
        <w:rPr>
          <w:rFonts w:ascii="arial" w:eastAsia="arial" w:hAnsi="arial" w:cs="arial"/>
          <w:color w:val="000000"/>
          <w:sz w:val="20"/>
          <w:lang w:val="en-US" w:eastAsia="en-US" w:bidi="ar-SA"/>
        </w:rPr>
        <w:t xml:space="preserve"> that certain fiduciary duties are presumed to arise upon the creation of an agency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xml:space="preserve">  A similar view was expressed by our Court of Appeal in </w:t>
      </w:r>
      <w:r>
        <w:rPr>
          <w:rFonts w:ascii="arial" w:eastAsia="arial" w:hAnsi="arial" w:cs="arial"/>
          <w:b/>
          <w:i/>
          <w:color w:val="000000"/>
          <w:sz w:val="20"/>
          <w:lang w:val="en-US" w:eastAsia="en-US" w:bidi="ar-SA"/>
        </w:rPr>
        <w:t>Aaron Acceptance Corp. v. Adam</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(1987), 37 D.L.R. (4th) 133</w:t>
        </w:r>
      </w:hyperlink>
      <w:r>
        <w:rPr>
          <w:rFonts w:ascii="arial" w:eastAsia="arial" w:hAnsi="arial" w:cs="arial"/>
          <w:color w:val="000000"/>
          <w:sz w:val="20"/>
          <w:lang w:val="en-US" w:eastAsia="en-US" w:bidi="ar-SA"/>
        </w:rPr>
        <w:t xml:space="preserve"> at 138 (B.C.C.A.) [</w:t>
      </w:r>
      <w:r>
        <w:rPr>
          <w:rFonts w:ascii="arial" w:eastAsia="arial" w:hAnsi="arial" w:cs="arial"/>
          <w:b/>
          <w:i/>
          <w:color w:val="000000"/>
          <w:sz w:val="20"/>
          <w:lang w:val="en-US" w:eastAsia="en-US" w:bidi="ar-SA"/>
        </w:rPr>
        <w:t>Aaron Acceptance Corp.</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absence of express contractual terms to the contrary the broker owes certain implicit duties to his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Aaron Acceptance Corp.</w:t>
      </w:r>
      <w:r>
        <w:rPr>
          <w:rFonts w:ascii="arial" w:eastAsia="arial" w:hAnsi="arial" w:cs="arial"/>
          <w:color w:val="000000"/>
          <w:sz w:val="20"/>
          <w:lang w:val="en-US" w:eastAsia="en-US" w:bidi="ar-SA"/>
        </w:rPr>
        <w:t xml:space="preserve"> a mortgage broker agreed to obtain a loan for its client in return for a 10% commission. The broker then personally offered to lend the client the money. The client refused to accept the loan and refused to pay the commission. The broker sued for the commission. The Court of Appeal held that it was an implied term of the contract that the broker would obtain the mortgage loan from a third party rather than providing it personally. The Court held that by assuming the role of lender, the broker put itself in a position of conflict of interest and was in breach of the implied terms of its agency contract with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xml:space="preserve">  The above authorities confirm the view expressed in </w:t>
      </w:r>
      <w:r>
        <w:rPr>
          <w:rFonts w:ascii="arial" w:eastAsia="arial" w:hAnsi="arial" w:cs="arial"/>
          <w:b/>
          <w:i/>
          <w:color w:val="000000"/>
          <w:sz w:val="20"/>
          <w:lang w:val="en-US" w:eastAsia="en-US" w:bidi="ar-SA"/>
        </w:rPr>
        <w:t>Fridman</w:t>
      </w:r>
      <w:r>
        <w:rPr>
          <w:rFonts w:ascii="arial" w:eastAsia="arial" w:hAnsi="arial" w:cs="arial"/>
          <w:color w:val="000000"/>
          <w:sz w:val="20"/>
          <w:lang w:val="en-US" w:eastAsia="en-US" w:bidi="ar-SA"/>
        </w:rPr>
        <w:t xml:space="preserve"> that it is an implied term of agency contracts that agents must not let their personal interests conflict with the obligations they owe their principals. This rule may apply in many different conflict situations. In addition to the situations described above, </w:t>
      </w:r>
      <w:r>
        <w:rPr>
          <w:rFonts w:ascii="arial" w:eastAsia="arial" w:hAnsi="arial" w:cs="arial"/>
          <w:b/>
          <w:i/>
          <w:color w:val="000000"/>
          <w:sz w:val="20"/>
          <w:lang w:val="en-US" w:eastAsia="en-US" w:bidi="ar-SA"/>
        </w:rPr>
        <w:t>Fridman</w:t>
      </w:r>
      <w:r>
        <w:rPr>
          <w:rFonts w:ascii="arial" w:eastAsia="arial" w:hAnsi="arial" w:cs="arial"/>
          <w:color w:val="000000"/>
          <w:sz w:val="20"/>
          <w:lang w:val="en-US" w:eastAsia="en-US" w:bidi="ar-SA"/>
        </w:rPr>
        <w:t xml:space="preserve"> explains at 179 that the agent may not act for the principal and a third party contracting with the principal unless he has made complete disclosure to both parties, and both have consented. This rule was discussed in </w:t>
      </w:r>
      <w:r>
        <w:rPr>
          <w:rFonts w:ascii="arial" w:eastAsia="arial" w:hAnsi="arial" w:cs="arial"/>
          <w:b/>
          <w:i/>
          <w:color w:val="000000"/>
          <w:sz w:val="20"/>
          <w:lang w:val="en-US" w:eastAsia="en-US" w:bidi="ar-SA"/>
        </w:rPr>
        <w:t>Cecil MacManus Realty Ltd. v. Bray</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(1970), 14 D.L.R. (3d) 564</w:t>
        </w:r>
      </w:hyperlink>
      <w:r>
        <w:rPr>
          <w:rFonts w:ascii="arial" w:eastAsia="arial" w:hAnsi="arial" w:cs="arial"/>
          <w:color w:val="000000"/>
          <w:sz w:val="20"/>
          <w:lang w:val="en-US" w:eastAsia="en-US" w:bidi="ar-SA"/>
        </w:rPr>
        <w:t xml:space="preserve"> at 567, </w:t>
      </w:r>
      <w:hyperlink r:id="rId713" w:history="1">
        <w:r>
          <w:rPr>
            <w:rFonts w:ascii="arial" w:eastAsia="arial" w:hAnsi="arial" w:cs="arial"/>
            <w:i/>
            <w:color w:val="0077CC"/>
            <w:sz w:val="20"/>
            <w:u w:val="single"/>
            <w:shd w:val="clear" w:color="auto" w:fill="FFFFFF"/>
            <w:lang w:val="en-US" w:eastAsia="en-US" w:bidi="ar-SA"/>
          </w:rPr>
          <w:t>2 N.B.R. (2d) 782</w:t>
        </w:r>
      </w:hyperlink>
      <w:r>
        <w:rPr>
          <w:rFonts w:ascii="arial" w:eastAsia="arial" w:hAnsi="arial" w:cs="arial"/>
          <w:color w:val="000000"/>
          <w:sz w:val="20"/>
          <w:lang w:val="en-US" w:eastAsia="en-US" w:bidi="ar-SA"/>
        </w:rPr>
        <w:t xml:space="preserve"> (C.A.) by Hughes J.A.: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agent is obliged to show the utmost good faith in his dealings with his principal, and if in the transaction of the agency he represents other persons having interests adverse to those of his principal, he will lose his right to compensation unless the principal, either expressly or by implication from the circumstances of the case, either consents to the dual appointment or waives or estops himself from asserting any objection he might take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The terms of the particular agency contract may modify the nature and extent of the fiduciary duties owed by the agent to the principal: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as a contractual term can limit or negative a more general duty implied by the law of tort, so too can a contractual term that deals expressly or by necessary implication with confidentiality negate the general obligation otherwise imposed by equity.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Cadbury Schweppes Inc. v. FBI Foods Ltd.</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[1999] 1 S.C.R. 142</w:t>
        </w:r>
      </w:hyperlink>
      <w:r>
        <w:rPr>
          <w:rFonts w:ascii="arial" w:eastAsia="arial" w:hAnsi="arial" w:cs="arial"/>
          <w:color w:val="000000"/>
          <w:sz w:val="20"/>
          <w:lang w:val="en-US" w:eastAsia="en-US" w:bidi="ar-SA"/>
        </w:rPr>
        <w:t xml:space="preserve"> at para. 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b/>
          <w:i/>
          <w:color w:val="000000"/>
          <w:sz w:val="20"/>
          <w:lang w:val="en-US" w:eastAsia="en-US" w:bidi="ar-SA"/>
        </w:rPr>
        <w:t>Expert Travel Financial Security (E.T.F.S.) Inc. v. BMS Harris &amp; Dixon Insurance Brokers Ltd.</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2005 BCCA 5</w:t>
        </w:r>
      </w:hyperlink>
      <w:r>
        <w:rPr>
          <w:rFonts w:ascii="arial" w:eastAsia="arial" w:hAnsi="arial" w:cs="arial"/>
          <w:color w:val="000000"/>
          <w:sz w:val="20"/>
          <w:lang w:val="en-US" w:eastAsia="en-US" w:bidi="ar-SA"/>
        </w:rPr>
        <w:t xml:space="preserve"> at para. 39, </w:t>
      </w:r>
      <w:hyperlink r:id="rId715" w:history="1">
        <w:r>
          <w:rPr>
            <w:rFonts w:ascii="arial" w:eastAsia="arial" w:hAnsi="arial" w:cs="arial"/>
            <w:i/>
            <w:color w:val="0077CC"/>
            <w:sz w:val="20"/>
            <w:u w:val="single"/>
            <w:shd w:val="clear" w:color="auto" w:fill="FFFFFF"/>
            <w:lang w:val="en-US" w:eastAsia="en-US" w:bidi="ar-SA"/>
          </w:rPr>
          <w:t>36 B.C.L.R. (4th) 254</w:t>
        </w:r>
      </w:hyperlink>
      <w:r>
        <w:rPr>
          <w:rFonts w:ascii="arial" w:eastAsia="arial" w:hAnsi="arial" w:cs="arial"/>
          <w:color w:val="000000"/>
          <w:sz w:val="20"/>
          <w:lang w:val="en-US" w:eastAsia="en-US" w:bidi="ar-SA"/>
        </w:rPr>
        <w:t xml:space="preserve">, per Southin J.A. (dissenting) citing </w:t>
      </w:r>
      <w:r>
        <w:rPr>
          <w:rFonts w:ascii="arial" w:eastAsia="arial" w:hAnsi="arial" w:cs="arial"/>
          <w:b/>
          <w:i/>
          <w:color w:val="000000"/>
          <w:sz w:val="20"/>
          <w:lang w:val="en-US" w:eastAsia="en-US" w:bidi="ar-SA"/>
        </w:rPr>
        <w:t>Henderson v. Merrett Syndicates Ltd.</w:t>
      </w:r>
      <w:r>
        <w:rPr>
          <w:rFonts w:ascii="arial" w:eastAsia="arial" w:hAnsi="arial" w:cs="arial"/>
          <w:color w:val="000000"/>
          <w:sz w:val="20"/>
          <w:lang w:val="en-US" w:eastAsia="en-US" w:bidi="ar-SA"/>
        </w:rPr>
        <w:t xml:space="preserve">, [1994] 3 All E.R. 506 (H.L.) at 543; and </w:t>
      </w:r>
      <w:r>
        <w:rPr>
          <w:rFonts w:ascii="arial" w:eastAsia="arial" w:hAnsi="arial" w:cs="arial"/>
          <w:b/>
          <w:i/>
          <w:color w:val="000000"/>
          <w:sz w:val="20"/>
          <w:lang w:val="en-US" w:eastAsia="en-US" w:bidi="ar-SA"/>
        </w:rPr>
        <w:t>Scott v. Trophy Foods Inc.</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(1995), 123 D.L.R. (4th) 509</w:t>
        </w:r>
      </w:hyperlink>
      <w:r>
        <w:rPr>
          <w:rFonts w:ascii="arial" w:eastAsia="arial" w:hAnsi="arial" w:cs="arial"/>
          <w:color w:val="000000"/>
          <w:sz w:val="20"/>
          <w:lang w:val="en-US" w:eastAsia="en-US" w:bidi="ar-SA"/>
        </w:rPr>
        <w:t xml:space="preserve"> at 518-520 (N.S.C.A.)).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Returning to the circumstances of the present case, the terms of the Hilton HAMA determine the nature and extent of the fiduciary duties owed by VAC to the Hilton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An agent can act under what would otherwise be a conflict so long as the principal gives fully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Agents may enter into transactions that would otherwise conflict with their duties to their principal so long as they fully disclose the conflict to their principal beforehand. Thus, disclosure of conflicts may affect the scope of the fiduciary duties that arise. If VAC fully disclosed all conflicts of interest in the Hilton Disclosure Statement, and the Hilton Owners consented to those conflicts of interest by signing the Hilton HAMA, the scope of VAC's fiduciary duties would be curtailed to that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xml:space="preserve">  The following passages from Reynolds, </w:t>
      </w:r>
      <w:r>
        <w:rPr>
          <w:rFonts w:ascii="arial" w:eastAsia="arial" w:hAnsi="arial" w:cs="arial"/>
          <w:b/>
          <w:i/>
          <w:color w:val="000000"/>
          <w:sz w:val="20"/>
          <w:lang w:val="en-US" w:eastAsia="en-US" w:bidi="ar-SA"/>
        </w:rPr>
        <w:t>Bowstead and Reynolds on Agency</w:t>
      </w:r>
      <w:r>
        <w:rPr>
          <w:rFonts w:ascii="arial" w:eastAsia="arial" w:hAnsi="arial" w:cs="arial"/>
          <w:color w:val="000000"/>
          <w:sz w:val="20"/>
          <w:lang w:val="en-US" w:eastAsia="en-US" w:bidi="ar-SA"/>
        </w:rPr>
        <w:t>, 17th ed. (London: Sweet &amp; Maxwell, 2001) (</w:t>
      </w:r>
      <w:r>
        <w:rPr>
          <w:rFonts w:ascii="arial" w:eastAsia="arial" w:hAnsi="arial" w:cs="arial"/>
          <w:b/>
          <w:i/>
          <w:color w:val="000000"/>
          <w:sz w:val="20"/>
          <w:lang w:val="en-US" w:eastAsia="en-US" w:bidi="ar-SA"/>
        </w:rPr>
        <w:t>Bowstead and Reynolds</w:t>
      </w:r>
      <w:r>
        <w:rPr>
          <w:rFonts w:ascii="arial" w:eastAsia="arial" w:hAnsi="arial" w:cs="arial"/>
          <w:color w:val="000000"/>
          <w:sz w:val="20"/>
          <w:lang w:val="en-US" w:eastAsia="en-US" w:bidi="ar-SA"/>
        </w:rPr>
        <w:t xml:space="preserve">) describe the duty of disclosure, and were adopted in </w:t>
      </w:r>
      <w:r>
        <w:rPr>
          <w:rFonts w:ascii="arial" w:eastAsia="arial" w:hAnsi="arial" w:cs="arial"/>
          <w:b/>
          <w:i/>
          <w:color w:val="000000"/>
          <w:sz w:val="20"/>
          <w:lang w:val="en-US" w:eastAsia="en-US" w:bidi="ar-SA"/>
        </w:rPr>
        <w:t>Atlanta Industrial Sales</w:t>
      </w:r>
      <w:r>
        <w:rPr>
          <w:rFonts w:ascii="arial" w:eastAsia="arial" w:hAnsi="arial" w:cs="arial"/>
          <w:color w:val="000000"/>
          <w:sz w:val="20"/>
          <w:lang w:val="en-US" w:eastAsia="en-US" w:bidi="ar-SA"/>
        </w:rPr>
        <w:t xml:space="preserve"> at para. 162: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does not completely prohibit the adoption of a position or the entering into of transactions in which such a conflict might occur; it rather prohibits doing so without disclosure of all material facts to the principal so as to obtain his consent </w:t>
      </w:r>
      <w:r>
        <w:rPr>
          <w:rFonts w:ascii="arial" w:eastAsia="arial" w:hAnsi="arial" w:cs="arial"/>
          <w:i/>
          <w:color w:val="000000"/>
          <w:sz w:val="20"/>
          <w:lang w:val="en-US" w:eastAsia="en-US" w:bidi="ar-SA"/>
        </w:rPr>
        <w:t>... . Consent of the principal is not uncommon. But it must be positively shown. The burden of proving full disclosure lies on the agent and it is not sufficient for him merely to disclose that he has an interest or to make such statements as would put the principal on inquiry.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Bowstead and Reynolds</w:t>
      </w:r>
      <w:r>
        <w:rPr>
          <w:rFonts w:ascii="arial" w:eastAsia="arial" w:hAnsi="arial" w:cs="arial"/>
          <w:color w:val="000000"/>
          <w:sz w:val="20"/>
          <w:lang w:val="en-US" w:eastAsia="en-US" w:bidi="ar-SA"/>
        </w:rPr>
        <w:t xml:space="preserve"> at para. 6057,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an agent enters into any contract or transaction with his principal, or with his principal's representative in interest, he must act with perfect good faith, and make full disclosure of all the material circumstances, and of everything known to him respecting the subject-matter of the contract or transaction which would be likely to influence the conduct of the principal or his representative.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Bowstead and Reynolds</w:t>
      </w:r>
      <w:r>
        <w:rPr>
          <w:rFonts w:ascii="arial" w:eastAsia="arial" w:hAnsi="arial" w:cs="arial"/>
          <w:color w:val="000000"/>
          <w:sz w:val="20"/>
          <w:lang w:val="en-US" w:eastAsia="en-US" w:bidi="ar-SA"/>
        </w:rPr>
        <w:t xml:space="preserve"> at para. 6063)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any question arises as to the validity of any such contract or transaction, or of any gift made by a principal to his agent, the burden of proving that no advantage was taken by the agent of his position, or of the confidence reposed in him, and that the transaction was entered into in perfect good faith </w:t>
      </w:r>
      <w:r>
        <w:rPr>
          <w:rFonts w:ascii="arial" w:eastAsia="arial" w:hAnsi="arial" w:cs="arial"/>
          <w:i/>
          <w:color w:val="000000"/>
          <w:sz w:val="20"/>
          <w:lang w:val="en-US" w:eastAsia="en-US" w:bidi="ar-SA"/>
        </w:rPr>
        <w:t>and after full disclosure</w:t>
      </w:r>
      <w:r>
        <w:rPr>
          <w:rFonts w:ascii="arial" w:eastAsia="arial" w:hAnsi="arial" w:cs="arial"/>
          <w:color w:val="000000"/>
          <w:sz w:val="20"/>
          <w:lang w:val="en-US" w:eastAsia="en-US" w:bidi="ar-SA"/>
        </w:rPr>
        <w:t>, lies upon the agent.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Bowstead and Reynolds</w:t>
      </w:r>
      <w:r>
        <w:rPr>
          <w:rFonts w:ascii="arial" w:eastAsia="arial" w:hAnsi="arial" w:cs="arial"/>
          <w:color w:val="000000"/>
          <w:sz w:val="20"/>
          <w:lang w:val="en-US" w:eastAsia="en-US" w:bidi="ar-SA"/>
        </w:rPr>
        <w:t xml:space="preserve"> at para. 6063,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xml:space="preserve">  The principles relating to disclosure of conflicts of interest by agents were also discussed by the British Columbia Court of Appeal in </w:t>
      </w:r>
      <w:r>
        <w:rPr>
          <w:rFonts w:ascii="arial" w:eastAsia="arial" w:hAnsi="arial" w:cs="arial"/>
          <w:b/>
          <w:i/>
          <w:color w:val="000000"/>
          <w:sz w:val="20"/>
          <w:lang w:val="en-US" w:eastAsia="en-US" w:bidi="ar-SA"/>
        </w:rPr>
        <w:t>Ocean City Realty Ltd. v. A&amp;M Holdings Ltd.</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(1987), 36 D.L.R. (4th) 94</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Ocean City Realty</w:t>
      </w:r>
      <w:r>
        <w:rPr>
          <w:rFonts w:ascii="arial" w:eastAsia="arial" w:hAnsi="arial" w:cs="arial"/>
          <w:color w:val="000000"/>
          <w:sz w:val="20"/>
          <w:lang w:val="en-US" w:eastAsia="en-US" w:bidi="ar-SA"/>
        </w:rPr>
        <w:t>]. In that case, a real estate agent who was acting for the vendor failed to disclose that she had agreed to pay part of her commission to the purchaser. The Court held that because she had failed to disclose the conflict, the agent was not entitled to any part of the commission. On the issue of conflict of interest, the Court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of disclosure is not confined to those instances where the agent has gained an advantage in the transaction or where the information might affect the value of the property, or where a conflict of interest exists. The agent certainly has a duty of full disclosure in such circumstances; they are commonly occurring circumstances which require full disclosure by the agent. However, they are not exhaustive.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obligation of the agent to make full disclosure extends beyond these three categories and includes "everything known to him respecting the subject-matter of the contract which would be likely to influence the conduct of his principal" (</w:t>
      </w:r>
      <w:r>
        <w:rPr>
          <w:rFonts w:ascii="arial" w:eastAsia="arial" w:hAnsi="arial" w:cs="arial"/>
          <w:i/>
          <w:color w:val="000000"/>
          <w:sz w:val="20"/>
          <w:lang w:val="en-US" w:eastAsia="en-US" w:bidi="ar-SA"/>
        </w:rPr>
        <w:t>Canada Permanent Trust Co. v. Christie</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[1979] B.C.J. No. 1307</w:t>
        </w:r>
      </w:hyperlink>
      <w:r>
        <w:rPr>
          <w:rFonts w:ascii="arial" w:eastAsia="arial" w:hAnsi="arial" w:cs="arial"/>
          <w:color w:val="000000"/>
          <w:sz w:val="20"/>
          <w:lang w:val="en-US" w:eastAsia="en-US" w:bidi="ar-SA"/>
        </w:rPr>
        <w:t>) or, as expressed in 1 Hals., 3rd ed., p. 191, para. 443, everything which "... would be likely to operate upon the principal's judgment". In such cases the agent's failure to inform the principal would be material non-disclosure.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is an objective one to be determined by what a reasonable man in the position of the agent would consider, in the circumstances, would be likely to influence the conduct of his principal.</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would emphasize that the agent cannot arbitrarily decide what would likely influence the conduct of his principal and thus avoid the consequences of non-disclosure</w:t>
      </w:r>
      <w:r>
        <w:rPr>
          <w:rFonts w:ascii="arial" w:eastAsia="arial" w:hAnsi="arial" w:cs="arial"/>
          <w:color w:val="000000"/>
          <w:sz w:val="20"/>
          <w:lang w:val="en-US" w:eastAsia="en-US" w:bidi="ar-SA"/>
        </w:rPr>
        <w:t>. If the information pertains to the transaction with respect to which the agent is engaged, any concern or doubt that the agent may have can be readily resolved by disclosure of all the facts to his principal.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Ocean City Realty</w:t>
      </w:r>
      <w:r>
        <w:rPr>
          <w:rFonts w:ascii="arial" w:eastAsia="arial" w:hAnsi="arial" w:cs="arial"/>
          <w:color w:val="000000"/>
          <w:sz w:val="20"/>
          <w:lang w:val="en-US" w:eastAsia="en-US" w:bidi="ar-SA"/>
        </w:rPr>
        <w:t xml:space="preserve"> at 98-99,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xml:space="preserve">  Although </w:t>
      </w:r>
      <w:r>
        <w:rPr>
          <w:rFonts w:ascii="arial" w:eastAsia="arial" w:hAnsi="arial" w:cs="arial"/>
          <w:b/>
          <w:i/>
          <w:color w:val="000000"/>
          <w:sz w:val="20"/>
          <w:lang w:val="en-US" w:eastAsia="en-US" w:bidi="ar-SA"/>
        </w:rPr>
        <w:t>Ocean City Realty</w:t>
      </w:r>
      <w:r>
        <w:rPr>
          <w:rFonts w:ascii="arial" w:eastAsia="arial" w:hAnsi="arial" w:cs="arial"/>
          <w:color w:val="000000"/>
          <w:sz w:val="20"/>
          <w:lang w:val="en-US" w:eastAsia="en-US" w:bidi="ar-SA"/>
        </w:rPr>
        <w:t xml:space="preserve"> involved a real estate agent failing to disclose information in the context of a real estate transaction, I consider the comments regarding the test for disclosure to be equally applicable to the type of agency existing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xml:space="preserve">  More recently, in </w:t>
      </w:r>
      <w:r>
        <w:rPr>
          <w:rFonts w:ascii="arial" w:eastAsia="arial" w:hAnsi="arial" w:cs="arial"/>
          <w:b/>
          <w:i/>
          <w:color w:val="000000"/>
          <w:sz w:val="20"/>
          <w:lang w:val="en-US" w:eastAsia="en-US" w:bidi="ar-SA"/>
        </w:rPr>
        <w:t>Klana v. Jones</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(2003), 35 B.L.R. (3d) 236</w:t>
        </w:r>
      </w:hyperlink>
      <w:r>
        <w:rPr>
          <w:rFonts w:ascii="arial" w:eastAsia="arial" w:hAnsi="arial" w:cs="arial"/>
          <w:color w:val="000000"/>
          <w:sz w:val="20"/>
          <w:lang w:val="en-US" w:eastAsia="en-US" w:bidi="ar-SA"/>
        </w:rPr>
        <w:t xml:space="preserve"> (Ont. Sup. Ct. J.) [</w:t>
      </w:r>
      <w:r>
        <w:rPr>
          <w:rFonts w:ascii="arial" w:eastAsia="arial" w:hAnsi="arial" w:cs="arial"/>
          <w:b/>
          <w:i/>
          <w:color w:val="000000"/>
          <w:sz w:val="20"/>
          <w:lang w:val="en-US" w:eastAsia="en-US" w:bidi="ar-SA"/>
        </w:rPr>
        <w:t>Klana v. Jones</w:t>
      </w:r>
      <w:r>
        <w:rPr>
          <w:rFonts w:ascii="arial" w:eastAsia="arial" w:hAnsi="arial" w:cs="arial"/>
          <w:color w:val="000000"/>
          <w:sz w:val="20"/>
          <w:lang w:val="en-US" w:eastAsia="en-US" w:bidi="ar-SA"/>
        </w:rPr>
        <w:t>], Wilson J. identified the following principles relating to disclosure of conflicts of interest:</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owed by an agent to its principal requires the agent to make full disclosure of material facts which place, or may place, the agent in a conflict of interest.</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full disclosure extends to every material fact regarding the subject matter of the agency.</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of proving that there was adequate disclosure lies with the agent.</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for the agent to merely disclose that he or she has an interest, or to make a statement that would signal the principal should inquire.</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 information means information that a reasonable person would consider likely to operate on the principal's judgment; the test for whether information is material is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Analysis of the relationship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As noted above, the extent of an agent's obligations, including fiduciary obligations, depends on the terms of the agency relationship. Although I have found that VAC acted as agent for the owners in managing the Hotel, the nature and extent of the particular fiduciary duties VAC owed to the owners depends on the specific terms of the Hilton HAMA.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Sharbern argued that the following aspects of the Hilton HAMA support a finding of a fiduciary relationship between VAC and the Hilton Owners:</w:t>
      </w:r>
      <w:r>
        <w:rPr>
          <w:rFonts w:ascii="arial" w:eastAsia="arial" w:hAnsi="arial" w:cs="arial"/>
          <w:sz w:val="20"/>
          <w:lang w:val="en-US" w:eastAsia="en-US" w:bidi="ar-SA"/>
        </w:rPr>
        <w:cr/>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Hilton Owners gave over their property to be managed by VAC for at least 20 and potentially 40 years - with renewal being in VAC's sole discretion (Articles 2.1 and 2.2);</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Hilton Owner appointed VAC as its sole and exclusive manager to operate, maintain and manage the Hotel, and undertake "all duties and obligations" within the scope of managing and marketing the Hotel (Article 3.1);</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 had "full power and authority" to "do any act, take any proceeding, make any decision, and execute and deliver any instrument" on behalf of the Hilton Owners (Article 4.4);</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 could take any steps necessary to fulfil its functions, including use of funds from the hotel's Operating Account (Article 5.2);</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 was appointed as the Hilton Owners' attorney, for the purpose of taking "all such steps, actions or proceedings, in the name of and on behalf of the Owner" (Article 5.2);</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Hilton Owners relinquished their votes and roles on the Strata Corporation to VAC, by way of Proxies (Article 5.4); and</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Hilton Owners could not sell, mortgage, or even visit their property without abiding by restrictions set out in the HAMA and its schedule (Articles 5.3 and 6.1, and 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Bearing in mind the characteristics of fiduciary relationships set out above, I agree with Sharbern that the above provisions of the Hilton HAMA reinforce rather than rebut the presumption of a fiduciary relationship between VAC and the Hilton Owners. My conclusion rests on the provisions of the Hilton HAMA as a whole. I note in particular that Article 5.2 of the Hilton HAMA, which gives VAC the discretion to use the funds in the operating account to perform its management functions and duties, provides VAC considerable ability to unilaterally affect the Hilton Owners' legal or practical interests, and the Hilton Owners are especially vulnerable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Article 4.1 of the Hilton HAMA sets out VAC's management responsibilities and powers, and in several passages uses the phrase "commercially reasonable". VAC argued that its duties under the HAMA, in light of the provisions of Article 4.1, were not fiduciary in nature but were instead limited to the duty to act in a commercially reasonable or prudent fashion. I cannot accept that argument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xml:space="preserve">  First, there is a distinction between fiduciary duties and ordinary duties of care. As noted by Sopinka J. in </w:t>
      </w:r>
      <w:r>
        <w:rPr>
          <w:rFonts w:ascii="arial" w:eastAsia="arial" w:hAnsi="arial" w:cs="arial"/>
          <w:b/>
          <w:i/>
          <w:color w:val="000000"/>
          <w:sz w:val="20"/>
          <w:lang w:val="en-US" w:eastAsia="en-US" w:bidi="ar-SA"/>
        </w:rPr>
        <w:t>Lac Minerals</w:t>
      </w:r>
      <w:r>
        <w:rPr>
          <w:rFonts w:ascii="arial" w:eastAsia="arial" w:hAnsi="arial" w:cs="arial"/>
          <w:color w:val="000000"/>
          <w:sz w:val="20"/>
          <w:lang w:val="en-US" w:eastAsia="en-US" w:bidi="ar-SA"/>
        </w:rPr>
        <w:t xml:space="preserve"> at para. 31, not all obligations existing between the parties to a fiduciary relationship will be fiduciary in nature. In my view, the phrase "commercially reasonable" as used in Article 4.1 describes the standard of care or level of technical competence expected of VAC in the management of the day to day operations of the Hilton rather than the degree of loyalty VAC owed to the Hilton Owners. The only aspect of Article 4.1 addressing the question of loyalty is subsection (k), which imposes on VAC an obligation to "faithfully perform its duties ... in an efficient and profitable manner." That provision does not limit the duty of loyalty or undermine the fiduciary nature of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Sharbern did not allege a breach of VAC's duty of care under Article 4.1. It is not alleged, for example, that VAC failed to maintain the Hilton in good repair or manage the hotel in a commercially reasonable manner. Sharbern's allegation is that VAC, by reason of the more favourable provisions of the Marriott HAMA, placed itself in a position where its duty and its interest were in conflict, and failed to disclose that conflict to the Hilton Owners. That is a breach of fiduciary duty. It is of no consequence that VAC also owed contractual duties to operate the hotel in a commercially reasonable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VAC is a sophisticated party who drafted a lengthy and complex contract which created an agency relationship between itself and the Hilton Owners. Clear language would be required to negate the fiduciary relationship that ordinarily exists between agents and their principals. Any such limitation would have to be clearly worded in order to displace the presumptive fiduciary duty arising from the fact of the broad agency relationship and the virtually unfettered discretion of VAC provided by the terms of the HAMA. There are no provisions contained in the HAMA that would operate to negate the finding of a fiduciary relationship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xml:space="preserve">  VAC relied on the decision of </w:t>
      </w:r>
      <w:r>
        <w:rPr>
          <w:rFonts w:ascii="arial" w:eastAsia="arial" w:hAnsi="arial" w:cs="arial"/>
          <w:b/>
          <w:i/>
          <w:color w:val="000000"/>
          <w:sz w:val="20"/>
          <w:lang w:val="en-US" w:eastAsia="en-US" w:bidi="ar-SA"/>
        </w:rPr>
        <w:t>Litwin Construction (1973) Ltd. v. Pan</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(1988), 29 B.C.L.R. (2d) 88</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Litwin</w:t>
      </w:r>
      <w:r>
        <w:rPr>
          <w:rFonts w:ascii="arial" w:eastAsia="arial" w:hAnsi="arial" w:cs="arial"/>
          <w:color w:val="000000"/>
          <w:sz w:val="20"/>
          <w:lang w:val="en-US" w:eastAsia="en-US" w:bidi="ar-SA"/>
        </w:rPr>
        <w:t xml:space="preserve">] for the proposition that there are graduated standards of honesty, only the highest of which is represented by the fiduciary standard. On the basis of </w:t>
      </w:r>
      <w:r>
        <w:rPr>
          <w:rFonts w:ascii="arial" w:eastAsia="arial" w:hAnsi="arial" w:cs="arial"/>
          <w:b/>
          <w:i/>
          <w:color w:val="000000"/>
          <w:sz w:val="20"/>
          <w:lang w:val="en-US" w:eastAsia="en-US" w:bidi="ar-SA"/>
        </w:rPr>
        <w:t>Litwin</w:t>
      </w:r>
      <w:r>
        <w:rPr>
          <w:rFonts w:ascii="arial" w:eastAsia="arial" w:hAnsi="arial" w:cs="arial"/>
          <w:color w:val="000000"/>
          <w:sz w:val="20"/>
          <w:lang w:val="en-US" w:eastAsia="en-US" w:bidi="ar-SA"/>
        </w:rPr>
        <w:t xml:space="preserve">, VAC argued that the terms of the Hilton HAMA do not warrant a finding of fiduciary duties in this case. For the reasons given above, I cannot agree. </w:t>
      </w:r>
      <w:r>
        <w:rPr>
          <w:rFonts w:ascii="arial" w:eastAsia="arial" w:hAnsi="arial" w:cs="arial"/>
          <w:b/>
          <w:i/>
          <w:color w:val="000000"/>
          <w:sz w:val="20"/>
          <w:lang w:val="en-US" w:eastAsia="en-US" w:bidi="ar-SA"/>
        </w:rPr>
        <w:t>Litwin</w:t>
      </w:r>
      <w:r>
        <w:rPr>
          <w:rFonts w:ascii="arial" w:eastAsia="arial" w:hAnsi="arial" w:cs="arial"/>
          <w:color w:val="000000"/>
          <w:sz w:val="20"/>
          <w:lang w:val="en-US" w:eastAsia="en-US" w:bidi="ar-SA"/>
        </w:rPr>
        <w:t>must be limited to its own facts. The Court of Appeal affirmed the finding of the trial judge that Litwin was not acting as agent for the property investors. Accordingly, the scope of Litwin's discretion was extremely narrow.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Having found that a fiduciary relationship exists, I must identify the specific fiduciary duties owed. As noted earlier, the nature and extent of the particular fiduciary duties owed by VAC rest on the provisions of the Hilton HAMA.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xml:space="preserve">  Regarding the particular fiduciary duties owed, the Privy Council case, on appeal from Bermuda, of </w:t>
      </w:r>
      <w:r>
        <w:rPr>
          <w:rFonts w:ascii="arial" w:eastAsia="arial" w:hAnsi="arial" w:cs="arial"/>
          <w:b/>
          <w:i/>
          <w:color w:val="000000"/>
          <w:sz w:val="20"/>
          <w:lang w:val="en-US" w:eastAsia="en-US" w:bidi="ar-SA"/>
        </w:rPr>
        <w:t>Kelly v. Cooper</w:t>
      </w:r>
      <w:r>
        <w:rPr>
          <w:rFonts w:ascii="arial" w:eastAsia="arial" w:hAnsi="arial" w:cs="arial"/>
          <w:color w:val="000000"/>
          <w:sz w:val="20"/>
          <w:lang w:val="en-US" w:eastAsia="en-US" w:bidi="ar-SA"/>
        </w:rPr>
        <w:t>, [1993] AC 205, [1992] J.C.J. No. 31 [</w:t>
      </w:r>
      <w:r>
        <w:rPr>
          <w:rFonts w:ascii="arial" w:eastAsia="arial" w:hAnsi="arial" w:cs="arial"/>
          <w:b/>
          <w:i/>
          <w:color w:val="000000"/>
          <w:sz w:val="20"/>
          <w:lang w:val="en-US" w:eastAsia="en-US" w:bidi="ar-SA"/>
        </w:rPr>
        <w:t>Kelly</w:t>
      </w:r>
      <w:r>
        <w:rPr>
          <w:rFonts w:ascii="arial" w:eastAsia="arial" w:hAnsi="arial" w:cs="arial"/>
          <w:color w:val="000000"/>
          <w:sz w:val="20"/>
          <w:lang w:val="en-US" w:eastAsia="en-US" w:bidi="ar-SA"/>
        </w:rPr>
        <w:t>] is relevant. In that case a vendor sued its real estate agent for not disclosing that it was also acting as an agent for the vendor of the neighbouring property. The Privy Council held that where a vendor is aware that its agent would be acting for other vendors of comparable properties, there could be no implied or fiduciary duty on the plaintiff to decline to work for rival vendors or to disclose confidential information provided by other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In Article 4.8 of the Hilton Disclosure Statement, VAC did disclose that it owned and operated "a variety of hotels", that it was developing the Marriott, and that it had entered into similar agreements with the purchasers of the Marriot strata lots. Considering VAC's disclosure that it would be acting for other principals, I find that VAC did not owe a fiduciary duty to not work for other principals competing in the same hotel market as the Hilton. I also find that VAC did not owe a duty to the Hilton Owners to disclose information that it had received from its other principals. Rather, the Hilton Owners consented to VAC acting for other principals competing in the same market, and could expect VAC to keep all information it received from each of its principals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VAC argued that in light of the disclosure of similar agreements with the Marriott owners, the Hilton owners could not reasonably expect that VAC would act only in their best interests. However, VAC's fiduciary duties are circumscribed only to the extent disclosure was provided. VAC did not disclose the Marriott guarantee or the difference in management fees, including the management incentive arrangements. Without such disclosure, VAC's fiduciary duty prohibits it from placing itself in a position in which it has an incentive to prefer its own interests over those of the Hilton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Further, in Article 4.11 of the Hilton Disclosure Statement, VAC represented to the Hilton Owners that it was aware of no actual or potential conflicts of interest. As a result, the Hilton Owners were entitled to expect that the Hilton would be managed in the absence of even potential conflicts, not merely that it would be managed in such a way as to avoid actual conflicts.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xml:space="preserve">  Reading Articles 4.8 and 4.11 together, it is fair to conclude that while the Hilton Owners consented to VAC acting as agent for multiple principals, they did not consent to VAC acting as agent for another principal competing in the same market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with respect to whom VAC had a personal interest in favouring.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I find that VAC owes the following fiduciary duties to the Hilton Owners:</w:t>
      </w:r>
      <w:r>
        <w:rPr>
          <w:rFonts w:ascii="arial" w:eastAsia="arial" w:hAnsi="arial" w:cs="arial"/>
          <w:sz w:val="20"/>
          <w:lang w:val="en-US" w:eastAsia="en-US" w:bidi="ar-SA"/>
        </w:rPr>
        <w:cr/>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fiduciary duty to not act for other principals competing in the same market and with respect to whom VAC has a personal interest in favouring.</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fiduciary duty to not act as agent for the Hilton Owners and any third party contracting with them without first making complete disclosure to them and obtaining their consent.</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If the answer to (b)(i) is "yes", do those fiduciary duties conflict with VAC's interests concerning the Airport Marriott Hotel or its duties to the unit owners of that hotel? ((b)(ii))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VAC acts as agent for the Marriott owners as well as for the Hilton Owners. The Hilton and the Marriott compete in the same market. As I have already concluded, although VAC is permitted to act for other principals competing in the same hotel market as the Hilton, it cannot act for other principals with respect to whom VAC has a personal interest in favouring.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The purchasers of strata lots in the Marriott and the Hilton each signed joinder in covenant agreements under which they agreed to be bound by the terms of the respective HAMAs. The parties to both the Hilton and Marriott HAMAs were the same: VAC as owner-developer contracted with VAC as asset manager to manage the respective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Under Article 8.1 of the Hilton HAMA, VAC as asset manager was entitled to a monthly management fee equal to 3% of the gross rental revenue for each month during the term of the Hilton HAMA.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Under Article 7.1 of the Marriott HAMA, VAC as asset manager was entitled to a monthly management fee equal to 5% of the gross rental revenue for each month during the term of the Marriott HAMA. Under Article 7.2 of the Marriott HAMA, VAC was also entitled to an incentive management fee equal to 25% of the amount by which the Owners annual return on investment exceeded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Under Article 4.3(f) of the Marriott Disclosure Statement, VAC guaranteed that the purchasers of Marriott strata lots would, for the first five years of operation of the Marriott, receive an annual return on investment of 12%. No similar guarantee was provided in the Hilton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Because the Marriott did not perform as well as expected during its first five years of operation, VAC paid out approximately $13 million under the Marriott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It is clear that VAC had a personal interest in favouring the Marriott over the Hilton. For every guest that chose the Marriott over the Hilton, VAC's management fee would increase and the amount VAC was required to pay out under the Marriott guarantee would decrease.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I find that for the first five years of operation of the Marriott, VAC had a significant personal interest in favouring the Marriott over the Hilton. Further, although the magnitude of the personal interest is reduced because the Marriott guarantee has run, VAC continues to have a personal interest in favouring the Marriott over the Hilton because of the differences in the management fees for the two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I conclude that VAC's personal interest in favouring the Marriott over the Hilton conflicts with its fiduciary duty to the Hilton Owners to not act for other principals, competing in the same hotel market, with respect to whom VAC has a personal interest in favouring.</w:t>
      </w:r>
      <w:r>
        <w:rPr>
          <w:rFonts w:ascii="arial" w:eastAsia="arial" w:hAnsi="arial" w:cs="arial"/>
          <w:sz w:val="20"/>
          <w:lang w:val="en-US" w:eastAsia="en-US" w:bidi="ar-SA"/>
        </w:rPr>
        <w:cr/>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Has VAC breached its fiduciary duties to the Class? ((b)(iii))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In answering common issue (b)(ii) I concluded that VAC's personal interest in favouring the Marriott over the Hilton conflicts with its fiduciary duty to the Hilton Owners. Unless VAC disclosed this conflict of interest, and obtained fully informed consent from the Hilton Owners to act in those circumstances, it would be in breach of its fiduciary duty by continuing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xml:space="preserve">  The law concerning disclosure of conflicts of interest by agents who owe fiduciary duties to their principals was discussed above: see </w:t>
      </w:r>
      <w:r>
        <w:rPr>
          <w:rFonts w:ascii="arial" w:eastAsia="arial" w:hAnsi="arial" w:cs="arial"/>
          <w:b/>
          <w:i/>
          <w:color w:val="000000"/>
          <w:sz w:val="20"/>
          <w:lang w:val="en-US" w:eastAsia="en-US" w:bidi="ar-SA"/>
        </w:rPr>
        <w:t>Atlanta Industrial Sales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Ocean City Realty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Klana v. Jones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VAC has not established that it obtained the Hilton Owners' fully informed consent. It carried on in a position of conflict of interest, although it could have resolved the conflict by assigning its rights under the Hilton HAMA to an arm's length third party. There is provision for such assignment in Article 3.3 of the Hilton HAMA.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From July 1999 onward, VAC was managing the Marriott as agent for the Marriott Owners, and the Hilton as agent for the Hilton Owners. The Marriott and the Hilton were separate legal entities, although VAC had the legal authority to bind each of them in contract. In particular, the following provisions of the Hilton Disclosure Statement and the Hilton HAMA are relevant to the scope of VAC's authority to bind the Hilton Owners in contract: Article 4.4(b) of the Hilton Disclosure Statement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Asset Manager [i.e. VAC] shall have the right to enter into such agreements and contracts, and to do such acts and things, as the Asset Manager, in its discretion, considers necessary or desirable, including without limitation entering into affiliation, management, reservation, marketing agreements or licensing or franchise agreements with a hotel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Article 3.2 of the Hilton HAMA, titled "Subcontracting by the Asset Manager" provides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Asset Manager [i.e. VAC] has the right to enter into subcontracts or similar agreements with other entities, which may be related to the Asset Manager, for the provision of all or any portion of the services contemplated by this Agreement, including, without limitation, the services of a hotel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Article 4.1 of the Hilton HAMA, titled "Asset Manager's Responsibilities and Powers",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Asset Manager [i.e. VAC] is authorized and empowered to operate, maintain, manage and rent the Hotel Strata Lots and, in so doing, the Asset Manager agrees that it will: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advertise and promote the Hotel including ... entering into, modifying and terminating from time to time Franchise Agreements with hotel chains or reservation and advertising systems ...</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 or contract for such supplies and services as are required to operate the Hotel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Article 4.4 of the Hilton HAMA, titled "General Authority of Asset Manager",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Asset Manager [i.e. VAC] is hereby afforded full power and authority ... to operate, maintain, manage and rent each Strata Lot and to operate the Hotel as a single business entity on behalf of all of the Owners in the manner contemplated by this Agreement, and will have all power and authority to do any act, take any proceeding, make any decision and execute and deliver any instrument, deed, agreement or document as the Asset Manager may deem necessary, incidental or desirable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The above provisions give VAC broad authority to bind the Hilton Owners in contract, but do not expressly provide that VAC is entitled to enter into contracts, on behalf of the Hilton Owners, with other principals for whom VAC is acting as agent. Such authority cannot be found by implication. The agreement of the Hilton Owners that VAC has the power to exercise discretion and judgment in managing the Hilton is quite different from an agreement that VAC can bind them in contract with a third party for whom VAC is also an agent. Clear language would be required to confer such a power on VAC. I find nothing in the Hilton Disclosure Statement or the Hilton HAMA suggesting that that was the intention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Whether the common management of the Hilton and the Marriott has affected the operation of the Hilton to its detriment has not been quantified on the evidence, and need not be quantified at this stage of the proceedings. There is some evidence, however, that the Hilton has been disadvantaged by the common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Pfeifer testified that from 1999 to 2003 the hotel market in Richmond was challenging. The supply of new hotel rooms overwhelmed demand. The competition in Richmond was intense. The Marriott was an obvious competitor of the Hilton, and had obtained a year's head start by the time the Hilton opened. That year gave the Marriott the opportunity to establish prior relationships with corporate and government clients, and gave it a competitive advantage over the Hilton.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The Hilton had to lure clients away from its competitors. At the investors committee meeting of December 6, 2000, senior management of the Hilton advised the investors that "the strategy is to steal from our competitors". Pfeifer made the same point when speaking to a meeting of all of the Hilton Owners on September 4,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For branded hotels such as the Hilton and the Marriott, some of the business is driven by the brand on a national and international level and some of the business is the product of local marketing efforts. One witness, Boyd, estimated that 60% of the Marriott's business was generated by local marketing. Other witnesses suggested an equal division between national/international brand-driven business and local business. On any view, locally negotiated corporate and government accounts are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The Hilton brand was proving weaker than the Marriott brand, and the Hilton needed to improve its position. Senior management of the Hilton recognized the importance of luring away the Marriott's corporate clients. At the investor's committee meeting on December 6, 2000, the committee members were advised that local corporate clients were "comfortable staying at the Marriott" and that is was "difficult to convince them to move to the Hilton". As Pfeifer acknowledged in cross-examination, the position of Hilton's senior management with the Hilton Owners was "we are trying, but it's 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By reason of the common management of the Hilton and the Marriott, the Hilton was somewhat hampered in its efforts to move corporate customers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When Pfeifer first gave evidence on discovery, she accepted that to treat any Marriott customers "off limits" to the Hilton would be a disservice to the Hilton. That remained her view at trial. However, she acknowledged at trial that the Hilton staff was directed not to engage in price competition with the Marriott in an effort to steal its top corporate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xml:space="preserve">  In his evidence, Boyd described the genesis of the price competition policy. It is noteworthy that the policy was the result of a complaint by the Marriott staff that the Hilton sales managers had attempted to win Marriott accounts by undercutting the Marriott room rates. The Marriott staff complained to HMS senior management, and the policy was implemented. Under the policy, both the Hilton and the Marriott were constrained, but the </w:t>
      </w:r>
      <w:r>
        <w:rPr>
          <w:rFonts w:ascii="arial" w:eastAsia="arial" w:hAnsi="arial" w:cs="arial"/>
          <w:i/>
          <w:color w:val="000000"/>
          <w:sz w:val="20"/>
          <w:lang w:val="en-US" w:eastAsia="en-US" w:bidi="ar-SA"/>
        </w:rPr>
        <w:t>status quo</w:t>
      </w:r>
      <w:r>
        <w:rPr>
          <w:rFonts w:ascii="arial" w:eastAsia="arial" w:hAnsi="arial" w:cs="arial"/>
          <w:color w:val="000000"/>
          <w:sz w:val="20"/>
          <w:lang w:val="en-US" w:eastAsia="en-US" w:bidi="ar-SA"/>
        </w:rPr>
        <w:t xml:space="preserve"> favoured the Marriott. It was the Hilton that was trying to close the gap.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Pfeiffer, Mashford, and other senior management asserted that price competition is of little or no benefit in luring local corporate clients away from one hotel to another. I cannot accept that assertion. It was generally accepted that price competition is a fact of life in the hotel business, and average daily rate is a basic measure of hotel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Price competition is a means of luring away corporate accounts. Mashford agreed that in 2000 the Hilton was trying to move Marriott corporate accounts over to the Hilton through price competition. Nesbitt acknowledged that he had, from time to time, dropped the Marriott prices to retain existing accounts. He also testified that room rate was an important aspect of the bid to acquire a lucrative account -- the Oak Bay contract -- from the Delta hotel chain. Price was also a consideration in the bid to acquire the Uniglobe convention account from the Hyatt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The fact is that senior management was capable of placing restrictions on price competition between the two hotels because it managed both hotels. There were no restrictions imposed on price competition for hotels outside the Larco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Although it may not have been perceived as such at the time, the policy was an agreement between the Hilton and the Marriott, with VAC acting as agent for both. Neither the Hilton Disclosure statement nor the Hilton HAMA contemplated VAC entering into agreements with the Marriott Owners on behalf of the Hilton Owners. Further, VAC has not demonstrated that it obtained the fully informed consent of the Hilton Owners before entering into the price competition agreement. It was a breach of VAC's equitable obligation to the Hilton Owners to commit them to the agreement with the Marriott owners in the absence of the consent of the Hilton Owners. As noted earlier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agent cannot arbitrarily decide what would likely influence the conduct of his principal and thus avoid the consequences of non-disclosure. If the information pertains to the transaction with respect to which the agent is engaged, any concern or doubt that the agent may have can be readily resolved by disclosure of all the facts to his principal.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Ocean City Realty</w:t>
      </w:r>
      <w:r>
        <w:rPr>
          <w:rFonts w:ascii="arial" w:eastAsia="arial" w:hAnsi="arial" w:cs="arial"/>
          <w:color w:val="000000"/>
          <w:sz w:val="20"/>
          <w:lang w:val="en-US" w:eastAsia="en-US" w:bidi="ar-SA"/>
        </w:rPr>
        <w:t xml:space="preserve"> at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I emphasize that my conclusion would be the same regardless of whether I accepted that price competition is an effective means of luring corporate clients. Irrespective of the merits of the contract, VAC, as principal for the Hilton Owners, was not, without the fully informed consent of the Hilton Owners, entitled to enter into a contract with another party for whom VAC was also acting as principal.</w:t>
      </w:r>
      <w:r>
        <w:rPr>
          <w:rFonts w:ascii="arial" w:eastAsia="arial" w:hAnsi="arial" w:cs="arial"/>
          <w:sz w:val="20"/>
          <w:lang w:val="en-US" w:eastAsia="en-US" w:bidi="ar-SA"/>
        </w:rPr>
        <w:cr/>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Does HMS, by reason of its appointment under Article 3.2 of the HAMA as VAC's sub-agent, owe the Class the same fiduciary duties as VAC? ((b)(iv))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Article 3.2 of the Hilton HAMA provided that VAC might subcontract all or any of its responsibilities under the HAMA to a hotel manager. VAC did so by its contract with HMS dated January 1, 1999 (the "Management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This common issue considers whether, as a result of entering into the Management Agreement, HMS owes the Hilton Owners the same fiduciary duties that VAC owes the Hilton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As explained above, the primary basis for finding that VAC owed fiduciary duties to the Hilton Owners was that VAC entered into an agency contract with them. There is no express contractual relationship between HMS and the Hilton Owners; the documents in evidence suggest that HMS is merely a subcontractor to VAC. However, although most agency relationships derive from an agreement between the agent and the principal, agency relationships may also arise by implication. Sharbern argued that because HMS is managing the Hilton and has control over the operating account, and because the Hilton Owners knew that management would be subcontracted to HMS by VAC, an agency relationship should be implied between HMS and the Hilton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xml:space="preserve">  An agency may be implied in two circumstances. First, and more commonly, implied agency may arise when the principal makes a representation to a third party which suggests that the agent is authorized to act on behalf of the principal. This "apparent" or "ostensible" authority, which was discussed in the leading case of </w:t>
      </w:r>
      <w:r>
        <w:rPr>
          <w:rFonts w:ascii="arial" w:eastAsia="arial" w:hAnsi="arial" w:cs="arial"/>
          <w:b/>
          <w:i/>
          <w:color w:val="000000"/>
          <w:sz w:val="20"/>
          <w:lang w:val="en-US" w:eastAsia="en-US" w:bidi="ar-SA"/>
        </w:rPr>
        <w:t>Freeman &amp; Lockyer v. Buckhurst Park Properties (Mangal) Ltd.</w:t>
      </w:r>
      <w:r>
        <w:rPr>
          <w:rFonts w:ascii="arial" w:eastAsia="arial" w:hAnsi="arial" w:cs="arial"/>
          <w:color w:val="000000"/>
          <w:sz w:val="20"/>
          <w:lang w:val="en-US" w:eastAsia="en-US" w:bidi="ar-SA"/>
        </w:rPr>
        <w:t>, [1964] 1 All E.R. 630 (C.A.), operates as an estoppel preventing the principal from asserting that it is not bound by the acts of the agent. This type of implied agency is not relevant to the present case. Rather, in this case, Sharbern argued that there was an implied actual agency, which is an agency relationship implied from the circumstances and the relationship between the principal and the alleged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Sharbern provided no case law in which an actual agency was implied between a principal and the subcontractor of an actual agent of the principal. In my view, for the reasons that follow, there is no implied actual agency in this case. Although HMS was mentioned in the Hilton HAMA, it was not made a party to that contract. I infer that the parties intended VAC to be the agent of the Hilton Owners, but that VAC would subcontract certain tasks to HMS. If the Hilton is not managed according to the terms of the HAMA, the Hilton Owners would look to VAC, not HMS, to remedy the situation. Point "D" in the "Preliminary Statement" to the Management Agreement confirms the intention of VAC and HMS in this regard: "[VAC] will be responsible to the [Hilton Owners] to provide hotel management with respect to the [Hilton] and [VAC] desires to engage HMS to assist [VAC] in connection with operation and maintenance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The Hilton Owners have no authority to instruct HMS. VAC, not the Hilton Owners, pay HMS, and HMS reports exclusively to VAC. Although HMS may have the ability to affect the interests of the Hilton Owners, it is VAC who is accountable for the way in which those interests are handled. These are not circumstances in which an agency relationship can be implied between HMS and the Hilton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xml:space="preserve">  Of course, there being no agency relationship between HMS and the Hilton Owners does not preclude there being a fiduciary relationship between them. The proper approach is to evaluate the relationship between HMS and the Hilton Owners using the three general characteristics of fiduciary relationships set out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which I will set out again for convenience:</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 and</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The ability of HMS to exercise power or discretion over the interests of the Hilton Owners depends on the powers HMS obtained under the Management Agreement. At one extreme, if HMS was entrusted only with menial housekeeping duties it would not have discretion to unilaterally influence the financial interests and legal position of the Hilton Owners and clearly no fiduciary relationship would exist. At the other extreme, if VAC had passed all of its rights and powers under the Hilton HAMA on to HMS, then HMS may be held to owe fiduciary duties. Whether HMS owes the Hilton Owners fiduciary duties in this case must be assessed by analysing the terms of the Management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The following identifies key terms of the Management Agreement which determine the role to be played by HMS and the degree to which it has power or discretion to unilaterally affect the Hilton Owner's legal or practical interests.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w:t>
      </w:r>
      <w:r>
        <w:rPr>
          <w:rFonts w:ascii="arial" w:eastAsia="arial" w:hAnsi="arial" w:cs="arial"/>
          <w:b/>
          <w:color w:val="000000"/>
          <w:sz w:val="20"/>
          <w:lang w:val="en-US" w:eastAsia="en-US" w:bidi="ar-SA"/>
        </w:rPr>
        <w:t>Engagement of HMS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[VAC] engages HMS to undertake ... the management and marketing of the Hotel as ... set out and required by the License Agreement [i.e. VAC's franchise agreement with Hilton Inns, Inc.] ... Subject to specific approvals of [VAC] as required herein, HMS shall have full control and discretion in the operation of the Hotel to maximize the best interests of [VAC] and the business of the Hotel. [VAC] and HMS acknowledge and agree that it is a term of this Agreement that HMS shall have the exclusive authority for the day-to-day management of the Hotel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w:t>
      </w:r>
      <w:r>
        <w:rPr>
          <w:rFonts w:ascii="arial" w:eastAsia="arial" w:hAnsi="arial" w:cs="arial"/>
          <w:b/>
          <w:color w:val="000000"/>
          <w:sz w:val="20"/>
          <w:lang w:val="en-US" w:eastAsia="en-US" w:bidi="ar-SA"/>
        </w:rPr>
        <w:t>General Management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HMS agrees to perform ... all appropriate and necessary management services ... including but not limited to:</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organization of the Hotel;</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development and implementation of sales, advertising, personnel, purchasing and maintenance programs ...;</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implementation of administrative accounting, budgeting, and operational policies ...</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of the conduct of hotel operations ...</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the approval of Hilton Inns, Inc. selection and employment of a general manager and such other personnel as are necessary ...;</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establishment and supervision of HMS accounting and inventory control systems, based on the HMS standard;</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arrangement for the furnishing to the Hotel of all services as are necessary ...;</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establishment of all prices, charges and rates ...;</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determination of the Hotel's purchasing policy ...;</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negotiation and execution of contacts which are normally entered into within the scope of hotel operations ...;</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determination of credit practices applicable to suppliers and to the Hotel clientele ...;</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recommending to [VAC] that it institute any lawsuits or other legal actions having a direct link with the operations of the Hotel ...;</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supervision and control of the activities of guests, tenants, concessionaires and holders of privileges... During the Term, [VAC] will negotiate leases, licenses and concession agreements covering the Retail Space, on such terms and conditions as is customary for a Tourist-Class Hotel and in compliance with the License Agreement;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w:t>
      </w:r>
      <w:r>
        <w:rPr>
          <w:rFonts w:ascii="arial" w:eastAsia="arial" w:hAnsi="arial" w:cs="arial"/>
          <w:b/>
          <w:color w:val="000000"/>
          <w:sz w:val="20"/>
          <w:lang w:val="en-US" w:eastAsia="en-US" w:bidi="ar-SA"/>
        </w:rPr>
        <w:t>Maintenance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HMS agrees ... to cause the Hotel to be maintained ... in good operating condition and repair ... HMS shall make no expenditures for the repair and replacement of the Furniture, Fixtures and Equipment or for maintenance and repair which would result in or cause a change in the general character of interior or exterior of the Hotel, without the prior consent of [VAC].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w:t>
      </w:r>
      <w:r>
        <w:rPr>
          <w:rFonts w:ascii="arial" w:eastAsia="arial" w:hAnsi="arial" w:cs="arial"/>
          <w:b/>
          <w:color w:val="000000"/>
          <w:sz w:val="20"/>
          <w:lang w:val="en-US" w:eastAsia="en-US" w:bidi="ar-SA"/>
        </w:rPr>
        <w:t>Changes and Alternations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HMS may make ... reasonable changes and alterations to the Hotel, or any part thereof, subject however in all cases to the following:</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change or alteration shall be made which would:</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 the general character or design of the Hotel;</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[sic] involve excavation of any portion of the Hotel; or</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[sic] include alteration of, or result in increasing the burden upon the foundation of, the Hotel;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without the prior consent of [VAC].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change or alteration involves an estimated cost of more than $75,000 HMS agrees to obtain the specific approval ... of [VAC]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w:t>
      </w:r>
      <w:r>
        <w:rPr>
          <w:rFonts w:ascii="arial" w:eastAsia="arial" w:hAnsi="arial" w:cs="arial"/>
          <w:b/>
          <w:color w:val="000000"/>
          <w:sz w:val="20"/>
          <w:lang w:val="en-US" w:eastAsia="en-US" w:bidi="ar-SA"/>
        </w:rPr>
        <w:t>Capital Expenditures</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the continued operation of the Hotel as a Tourist-Class Hotel, [VAC] agrees to make necessary Capital Expenditures required to maintain the Hotel ...</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HMS is authorized to make Capital Expenditures only in accordance with the terms of the then current Operating Plan and Budget, except where required in an emergency to preserve the safety of persons in or about the Hotel.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w:t>
      </w:r>
      <w:r>
        <w:rPr>
          <w:rFonts w:ascii="arial" w:eastAsia="arial" w:hAnsi="arial" w:cs="arial"/>
          <w:b/>
          <w:color w:val="000000"/>
          <w:sz w:val="20"/>
          <w:lang w:val="en-US" w:eastAsia="en-US" w:bidi="ar-SA"/>
        </w:rPr>
        <w:t>Operating Plan and Budget</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before November 30 of each Operating Year, HMS agrees to prepare and deliver to [VAC] a preliminary Operating Plan and Budget for the following Operating Year ...</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Operating Plan and Budget is subject to the approval of [VAC] ... [VAC] and HMS shall endeavour both acting reasonably, to resolve any such differences between them ...</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HMS agrees to use its best efforts to operate the Hotel within the final Operating Plan and Budget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w:t>
      </w:r>
      <w:r>
        <w:rPr>
          <w:rFonts w:ascii="arial" w:eastAsia="arial" w:hAnsi="arial" w:cs="arial"/>
          <w:b/>
          <w:color w:val="000000"/>
          <w:sz w:val="20"/>
          <w:lang w:val="en-US" w:eastAsia="en-US" w:bidi="ar-SA"/>
        </w:rPr>
        <w:t>Books, Records, Financial Statements</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HMS agrees on behalf of [VAC], to keep books of account ... All books of account and other records are the property of [VAC] and will be available to [VAC] at all reasonable times ...</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before the 20th day of each month, HMS agrees to furnish to [VAC], reasonably detailed financial statements of the previous month ...</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thirty (31) days after the end of each Operating Year, HMS agrees to cause to be prepared on behalf of [VAC], reasonably detailed financial statements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HMS agrees on behalf of [VAC] to make distributions and forward financial statements, to Hotel Strata Lot Owners in the manner and by the dates contemplated in the [Hilton HAMA]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w:t>
      </w:r>
      <w:r>
        <w:rPr>
          <w:rFonts w:ascii="arial" w:eastAsia="arial" w:hAnsi="arial" w:cs="arial"/>
          <w:b/>
          <w:color w:val="000000"/>
          <w:sz w:val="20"/>
          <w:lang w:val="en-US" w:eastAsia="en-US" w:bidi="ar-SA"/>
        </w:rPr>
        <w:t>Personnel and Employees</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hiring, promoting and discharging of the general manager and any other personnel ... shall be at the sole discretion of HMS, provided that [VAC] and Hilton Inns, Inc. shall have the right to approve the general manager appointed from time to time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personnel and employees, including the general manager ... shall be employees of [VAC] notwithstanding that they may, in some cases, appear on the HMS payroll.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5.10 </w:t>
      </w:r>
      <w:r>
        <w:rPr>
          <w:rFonts w:ascii="arial" w:eastAsia="arial" w:hAnsi="arial" w:cs="arial"/>
          <w:b/>
          <w:color w:val="000000"/>
          <w:sz w:val="20"/>
          <w:lang w:val="en-US" w:eastAsia="en-US" w:bidi="ar-SA"/>
        </w:rPr>
        <w:t>Performance of HMS's Services</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its management of the Hotel ... HMS may purchase goods, supplies and services from or through any of its Affiliates so long as the prices and terms are competitive with the prices and terms of goods and services of equal quality available from others.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5.11 </w:t>
      </w:r>
      <w:r>
        <w:rPr>
          <w:rFonts w:ascii="arial" w:eastAsia="arial" w:hAnsi="arial" w:cs="arial"/>
          <w:b/>
          <w:color w:val="000000"/>
          <w:sz w:val="20"/>
          <w:lang w:val="en-US" w:eastAsia="en-US" w:bidi="ar-SA"/>
        </w:rPr>
        <w:t>Meetings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[VAC] and HMS agree to meet not less frequently than quarterly ... to discuss general Hotel operating procedures, the Operating Plan and Budget for an Operating Year, results of an Operating Year, or any other matter of concern.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5.15 </w:t>
      </w:r>
      <w:r>
        <w:rPr>
          <w:rFonts w:ascii="arial" w:eastAsia="arial" w:hAnsi="arial" w:cs="arial"/>
          <w:b/>
          <w:color w:val="000000"/>
          <w:sz w:val="20"/>
          <w:lang w:val="en-US" w:eastAsia="en-US" w:bidi="ar-SA"/>
        </w:rPr>
        <w:t>Agency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performing its duties during the Term, HMS shall act solely for the account of [VAC]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w:t>
      </w:r>
      <w:r>
        <w:rPr>
          <w:rFonts w:ascii="arial" w:eastAsia="arial" w:hAnsi="arial" w:cs="arial"/>
          <w:b/>
          <w:color w:val="000000"/>
          <w:sz w:val="20"/>
          <w:lang w:val="en-US" w:eastAsia="en-US" w:bidi="ar-SA"/>
        </w:rPr>
        <w:t>Hotel Bank Accounts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[VAC] has the right to designate the banks with which the Hotel shall conduct its various banking affairs ... [The] accounts shall be under the irrevocable control of HMS. All Hotel bank accounts are the property of [VAC] and [VAC] may not more frequently than monthly direct HMS to distribute to [VAC] ... funds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w:t>
      </w:r>
      <w:r>
        <w:rPr>
          <w:rFonts w:ascii="arial" w:eastAsia="arial" w:hAnsi="arial" w:cs="arial"/>
          <w:b/>
          <w:color w:val="000000"/>
          <w:sz w:val="20"/>
          <w:lang w:val="en-US" w:eastAsia="en-US" w:bidi="ar-SA"/>
        </w:rPr>
        <w:t>Payment of Hotel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at any time during the Term the funds available from Hotel operations for the payment of any of the costs of the Hotel ... shall be insufficient to pay the same as they became due and payable, [VAC] shall ... deposit sufficient finds in the Hotel bank accounts to make such payments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Having regard to the entire Management Agreement, and the sections listed above in particular, I have concluded there is no fiduciary relationship between HMS and the Hilton Owners. The ability of HMS to unilaterally exercise power and discretion to affect the Hilton Owners' legal or practical interests is limited by the Management Agreement which provides that VAC is to supervise HMS and approve major decisions. VAC did not pass on to HMS the broad and general powers it obtained under the Hilton HAMA. For example, VAC did not pass on the power to initiate legal action on behalf of the Hilton Owners. Rather, under s. 5.2(12) of the management Agreement, HMS can only recommend that VAC initiate actions. Further, under the Management Agreement, HMS is required to report to VAC monthly and annually regarding management of the Hilton, and meetings are held quarterly to review operating procedures and other matters. VAC approves the Operating Plan and Budget which controls the spending of HMS. Although HMS selects its staff, they are employees of VAC and the general manager of the Hilton is subject to approval by VAC.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xml:space="preserve">  While the Management Agreement clearly gives HMS some latitude in managing the Hilton, I am satisfied that the degree of unilateral power and discretion held by HMS is not sufficient to constitute a fiduciary relationship. As noted by McLachlin J. (as she then was) in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127: "The difficulty lies in determining what measure of confidence and trust are sufficient to give rise to a fiduciary obligation." The Hilton Owners have put their trust and confidence in VAC, not in HMS. The Hilton Owners are not at the "mercy"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xml:space="preserve"> at para. 129) of the discretion of HMS as they are at the discretion of VAC. VAC, as it is entitled to do, delegated operational tasks to HMS and VAC is accountable to the Hilton Owners for the acts of HMS. There is neither a contractual relationship nor a fiduciary relationship between the Hilton Owners and HMS.</w:t>
      </w:r>
      <w:r>
        <w:rPr>
          <w:rFonts w:ascii="arial" w:eastAsia="arial" w:hAnsi="arial" w:cs="arial"/>
          <w:sz w:val="20"/>
          <w:lang w:val="en-US" w:eastAsia="en-US" w:bidi="ar-SA"/>
        </w:rPr>
        <w:cr/>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If the answer to (b)(iv) is "yes", do those fiduciary duties conflict with the interests of HMS concerning the Airport Marriott Hotel or its duties to the unit owners of that hotel? ((b)(v))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Since common issue (b)(iv) was answered in the negative, this question need not be answered.</w:t>
      </w:r>
      <w:r>
        <w:rPr>
          <w:rFonts w:ascii="arial" w:eastAsia="arial" w:hAnsi="arial" w:cs="arial"/>
          <w:sz w:val="20"/>
          <w:lang w:val="en-US" w:eastAsia="en-US" w:bidi="ar-SA"/>
        </w:rPr>
        <w:cr/>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Has HMS breached its fiduciary duties to the Class? ((b)(vi))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Since common issue (b)(iv) was answered in the negative, this question need not be 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The following is a summary of my conclusions:</w:t>
      </w:r>
      <w:r>
        <w:rPr>
          <w:rFonts w:ascii="arial" w:eastAsia="arial" w:hAnsi="arial" w:cs="arial"/>
          <w:sz w:val="20"/>
          <w:lang w:val="en-US" w:eastAsia="en-US" w:bidi="ar-SA"/>
        </w:rPr>
        <w:cr/>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Representations concerning the Financial Projections:</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HVS: the occupancy and ADR projections of HVS were not negligent misrepresentations; and</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 the investment return projections of VAC were not negligent misrepresentations.</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Representations of VAC concerning Conflicts of Interest: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VAC negligently misrepresented the absence of conflicts of interest and the nature of the agreements governing VAC and the Marriott Owners.</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The </w:t>
      </w:r>
      <w:r>
        <w:rPr>
          <w:rFonts w:ascii="arial" w:eastAsia="arial" w:hAnsi="arial" w:cs="arial"/>
          <w:b/>
          <w:i/>
          <w:color w:val="000000"/>
          <w:sz w:val="20"/>
          <w:lang w:val="en-US" w:eastAsia="en-US" w:bidi="ar-SA"/>
        </w:rPr>
        <w:t>Real Estate Act</w:t>
      </w:r>
      <w:r>
        <w:rPr>
          <w:rFonts w:ascii="arial" w:eastAsia="arial" w:hAnsi="arial" w:cs="arial"/>
          <w:i/>
          <w:color w:val="000000"/>
          <w:sz w:val="20"/>
          <w:lang w:val="en-US" w:eastAsia="en-US" w:bidi="ar-SA"/>
        </w:rPr>
        <w:t xml:space="preserve"> Issues:</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members of the Class, including Tevan, are deemed to have relied on the impugned representations pursuant to s. 75(2).</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repeal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has no effect on Sharbern's claims.</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Fiduciary and Trust Issues:</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 is a trustee of the revenues collected on behalf of the Class.</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Fiduciary issues:</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 owes the Class fiduciary duties in respect of the operation of the Hotel;</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fiduciary duties conflict with VAC's interest concerning the Marriott; and</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 has breached its fiduciary duties to the Class;</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HMS does not owe fiduciary duties to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WEDGE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 - Common Issues</w:t>
      </w:r>
      <w:r>
        <w:rPr>
          <w:rFonts w:ascii="arial" w:eastAsia="arial" w:hAnsi="arial" w:cs="arial"/>
          <w:sz w:val="20"/>
          <w:lang w:val="en-US" w:eastAsia="en-US" w:bidi="ar-SA"/>
        </w:rPr>
        <w:cr/>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Trust Relationship: VAC and HMS</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VAC constituted a trustee for the Class of the revenues collected pursuant to s. 7.1 of the Hotel Asset Management Agreement (the "HAMA")?</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(i) is "yes", what is the scope of VAC's obligation to account for the trust funds received and expended in the management of the Airport Hilton Hotel (the "Hotel")?</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HMS, by reason of its appointment by VAC under s. 3.2 of the HAMA as its sub-agent, constituted a trustee for the Class of the funds in the operating account?</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(iii) is "yes", what is the scope of the obligation of HMS to account for the trust funds received and expended in the management of the Hotel?</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Fiduciary Duties: VAC and HMS</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VAC owe the Class fiduciary duties in respect of the operation of the Hotel?</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(i) is "yes", do those fiduciary duties conflict with VAC's interests concerning the Airport Marriott Hotel or its duties to the unit owners of that hotel?</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VAC breached its fiduciary duties to the Class?</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HMS, by reason of its appointment under s. 3.2 of the HAMA as VAC's sub-agent, owe the Class the same fiduciary duties as VAC?</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(iv) is "yes", do those fiduciary duties conflict with the interests of HMS concerning the Airport Marriott Hotel or its duties to the unit owners of that hotel?</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HMS breached its fiduciary duties to that Class?</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Misrepresentation: VAC</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VAC owe a duty of care to the Class in respect of the representations contained in the Offering Memorandum?</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Offering Memorandum misrepresent the conflict of interest and the agreements between VAC and the unit owners of the Airport Marriott Hotel as alleged in the amended statement of claim?</w:t>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Offering Memorandum misrepresent that the financial projections contained in the Offering Memorandum were based on reasonable assumptions that were derived by VAC, as alleged in the amended statement of claim?</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Offering Memorandum misrepresent that VAC had consulted with MM&amp;R in the preparation of the financial projections and that the unit owners could rely on the projections by reason of MM&amp;R's involvement in their preparation, as alleged in the amended statement of claim?</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representations described in (ii), (iii) and (iv) (the "impugned representations") material?</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impugned representations were material, was VAC fraudulent or negligent?</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members of the Class deemed to have relied on the impugned representations of VAC pursuant to s. 75(2)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w:t>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purchase by Tevan Trading Ltd. of nine (9) units in the Hotel, is VAC exempt from Part 2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w:t>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the effect, if any, of the repeal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on the misrepresentation claims of the Class against VAC?</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the effect, if any, of s. 22 of the </w:t>
      </w:r>
      <w:r>
        <w:rPr>
          <w:rFonts w:ascii="arial" w:eastAsia="arial" w:hAnsi="arial" w:cs="arial"/>
          <w:b/>
          <w:i/>
          <w:color w:val="000000"/>
          <w:sz w:val="20"/>
          <w:lang w:val="en-US" w:eastAsia="en-US" w:bidi="ar-SA"/>
        </w:rPr>
        <w:t>Real Estate Development Marketing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41</w:t>
      </w:r>
      <w:r>
        <w:rPr>
          <w:rFonts w:ascii="arial" w:eastAsia="arial" w:hAnsi="arial" w:cs="arial"/>
          <w:color w:val="000000"/>
          <w:sz w:val="20"/>
          <w:lang w:val="en-US" w:eastAsia="en-US" w:bidi="ar-SA"/>
        </w:rPr>
        <w:t xml:space="preserve"> on the misrepresentation claims of the Class against VAC?</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Misrepresentation: MM&amp;R:</w:t>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MM&amp;R owe a duty of care to the Class in respect of the representations contained in the Offering Memorandum?</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MM&amp;R represent to the Class that the projected occupancy rates and average daily room rates were reasonable?</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MM&amp;R's representations material?</w:t>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MM&amp;R negligent?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9"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Spencer v. Popham, [2010] B.C.J. No. 893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09-0843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893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683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969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1221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Melanie Spencer, Plaintiff, and Rex Popham and Claudia Scherer, Defendants Subject to Rule 66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0"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1" w:name="Keywords_38"/>
      <w:bookmarkEnd w:id="251"/>
      <w:r>
        <w:rPr>
          <w:rFonts w:ascii="arial" w:eastAsia="arial" w:hAnsi="arial" w:cs="arial"/>
          <w:b/>
          <w:color w:val="000000"/>
          <w:sz w:val="20"/>
          <w:lang w:val="en-US" w:eastAsia="en-US" w:bidi="ar-SA"/>
        </w:rPr>
        <w:t>Civil litigation — Civil procedure — Costs — Assessment or fixing of costs — Considerations — Tariffs — Particular circumstances — Determination of costs — Plaintiff suffered soft tissue injuries in low-velocity collision — Plaintiff commenced claim in Supreme Court, but settled claim for amount within Small Claim Court jurisdiction — At time plaintiff filed claim, knew claim could have exceeded small claims court jurisdiction, but exact degree of injuries and amount of special damages and past wage loss unknown — Issues raised by defendant, namely liability, causation and extent of plaintiff's loss, increased complexity of claim and plaintiff's need for counsel — Plaintiff entitled to costs as there was sufficient reason to bring action in Supreme Court — Rules of Court, Rules 57(10) and 66.</w:t>
      </w:r>
    </w:p>
    <w:p>
      <w:pPr>
        <w:jc w:val="both"/>
        <w:rPr>
          <w:rFonts w:ascii="arial" w:eastAsia="arial" w:hAnsi="arial" w:cs="arial"/>
          <w:sz w:val="20"/>
          <w:lang w:val="en-US" w:eastAsia="en-US" w:bidi="ar-SA"/>
        </w:rPr>
      </w:pPr>
      <w:bookmarkStart w:id="252" w:name="Legislation Cited_26"/>
      <w:bookmarkEnd w:id="2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1"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57(10), Rule 66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3" w:name="Counsel_38"/>
      <w:bookmarkEnd w:id="2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2"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S.L. Klinger.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M.J. Lawless.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4" w:name="Judgment_38"/>
      <w:bookmarkEnd w:id="254"/>
      <w:r>
        <w:pict>
          <v:line id="_x0000_s1213"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5" w:name="R.D. PUNNETT J."/>
            <w:bookmarkEnd w:id="255"/>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Melanie Spencer commenced her action in Supreme Court but then settled her claim for an amount within the Small Claim Court's jurisdiction. Nevertheless, is she entitled to costs in this Court? Was there "sufficient reason" for her to commence the claim in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June 14, 2007, the plaintiff, Melanie Spencer, stopped at a red light and was rear-ended by the defendant Claudia Scherer. Ms. Spencer states in her affidavit that some pain immediately developed at the base of her neck, between her shoulder blades and in her right shoulder. She missed seven days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She developed pain in her low back and hips. Her ability to bend over and do housework was impaired. She attended massage therapy and chiropractic treatment for the remainder of 2007. Her low back pain continued and, in the spring of 2008, she attended an exercise rehabilitation program. By the fall of 2008, she had improved although she was still suffering from stiffness and pain in her lower back in January 2009 when a second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position prior to the plaintiff filing the writ of summons on February 25, 2009, was that her claim was a low velocity impact claim. The statement of defence, filed April 29, 2009, denied liability, alleged that the plaintiff was liable for the accident, pleaded a number of the usual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denied that the plaintiff suffered any loss, pleaded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denied causation, alleged pre-existing conditions and accidents, and alleged a failure to mitigate. In total, the statement of defence was 12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appears that at the time the action was commenced, the plaintiff had not obtained any medical records or medical opinions. Previous counsel apparently relied on the plaintiff's evidence alone in electing to commence the action in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action was subsequently amended to a Rule 66 proceeding in May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settled the claim for $13,500.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Rule 57(10)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who recovers a sum within the jurisdiction of the Provincial Court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is not entitled to costs, other than disbursements, unless the court finds that there was sufficient reason for bringing the proceeding in the Supreme Court and so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This rule encourages persons to bring actions in Small Claims Court when a claim falls within that court's monetary jurisdiction. It is an example of "proportionality"; the judicial process should match the amount in dispute. However, the court must also respect a party's "legitimate choice" of forum: </w:t>
      </w:r>
      <w:r>
        <w:rPr>
          <w:rFonts w:ascii="arial" w:eastAsia="arial" w:hAnsi="arial" w:cs="arial"/>
          <w:i/>
          <w:color w:val="000000"/>
          <w:sz w:val="20"/>
          <w:lang w:val="en-US" w:eastAsia="en-US" w:bidi="ar-SA"/>
        </w:rPr>
        <w:t>Reimann v. Aziz</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2007 BCCA 448</w:t>
        </w:r>
      </w:hyperlink>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286 D.L.R. (4th) 330</w:t>
        </w:r>
      </w:hyperlink>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burden is on claimants to evaluate their claims prior to commencement and to justify their decision if they recover less than the Small Claims Court limit, currently $25,000: </w:t>
      </w:r>
      <w:r>
        <w:rPr>
          <w:rFonts w:ascii="arial" w:eastAsia="arial" w:hAnsi="arial" w:cs="arial"/>
          <w:i/>
          <w:color w:val="000000"/>
          <w:sz w:val="20"/>
          <w:lang w:val="en-US" w:eastAsia="en-US" w:bidi="ar-SA"/>
        </w:rPr>
        <w:t>Reimann</w:t>
      </w:r>
      <w:r>
        <w:rPr>
          <w:rFonts w:ascii="arial" w:eastAsia="arial" w:hAnsi="arial" w:cs="arial"/>
          <w:color w:val="000000"/>
          <w:sz w:val="20"/>
          <w:lang w:val="en-US" w:eastAsia="en-US" w:bidi="ar-SA"/>
        </w:rPr>
        <w:t xml:space="preserve"> at para. 38. If plaintiffs fail to sufficiently investigate and assess their claims prior to commencement, they risk not recovering costs. In a personal injury action this may require plaintiffs to obtain medical records and medical reports, to gather evidence to support claims for loss of earnings and earning capacity, and to assess the evidence in support of the claims being advanced before commencing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However, as noted by Justice Savage in </w:t>
      </w:r>
      <w:r>
        <w:rPr>
          <w:rFonts w:ascii="arial" w:eastAsia="arial" w:hAnsi="arial" w:cs="arial"/>
          <w:i/>
          <w:color w:val="000000"/>
          <w:sz w:val="20"/>
          <w:lang w:val="en-US" w:eastAsia="en-US" w:bidi="ar-SA"/>
        </w:rPr>
        <w:t>Gradek v. DaimlerChrysler Financial Services Canada Inc</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2010 BCSC 356</w:t>
        </w:r>
      </w:hyperlink>
      <w:r>
        <w:rPr>
          <w:rFonts w:ascii="arial" w:eastAsia="arial" w:hAnsi="arial" w:cs="arial"/>
          <w:color w:val="000000"/>
          <w:sz w:val="20"/>
          <w:lang w:val="en-US" w:eastAsia="en-US" w:bidi="ar-SA"/>
        </w:rPr>
        <w:t xml:space="preserve"> at para. 19, R. 57(10) contemplates the possibility that factors other than quantum must be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proviso in Rule 57(10) is "unless the court finds that there was sufficient reason for bringing the proceeding in Supreme Court and so orders". The Rule does not define "sufficient reason". There is nothing in the Rule that limits the extension of the term "sufficient reason" to matters relating to the quantum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Factors that can give rise to "sufficient reason" were set out in </w:t>
      </w:r>
      <w:r>
        <w:rPr>
          <w:rFonts w:ascii="arial" w:eastAsia="arial" w:hAnsi="arial" w:cs="arial"/>
          <w:i/>
          <w:color w:val="000000"/>
          <w:sz w:val="20"/>
          <w:lang w:val="en-US" w:eastAsia="en-US" w:bidi="ar-SA"/>
        </w:rPr>
        <w:t>Kuehne v. Probstl,</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2004 BCSC 865</w:t>
        </w:r>
      </w:hyperlink>
      <w:r>
        <w:rPr>
          <w:rFonts w:ascii="arial" w:eastAsia="arial" w:hAnsi="arial" w:cs="arial"/>
          <w:color w:val="000000"/>
          <w:sz w:val="20"/>
          <w:lang w:val="en-US" w:eastAsia="en-US" w:bidi="ar-SA"/>
        </w:rPr>
        <w:t xml:space="preserve"> at para. 22, and accepted in </w:t>
      </w:r>
      <w:r>
        <w:rPr>
          <w:rFonts w:ascii="arial" w:eastAsia="arial" w:hAnsi="arial" w:cs="arial"/>
          <w:i/>
          <w:color w:val="000000"/>
          <w:sz w:val="20"/>
          <w:lang w:val="en-US" w:eastAsia="en-US" w:bidi="ar-SA"/>
        </w:rPr>
        <w:t>Icecorp International Cargo Express Corp. v. Nicolaus</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2007 BCCA 97</w:t>
        </w:r>
      </w:hyperlink>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38 C.P.C. (6th) 26</w:t>
        </w:r>
      </w:hyperlink>
      <w:r>
        <w:rPr>
          <w:rFonts w:ascii="arial" w:eastAsia="arial" w:hAnsi="arial" w:cs="arial"/>
          <w:color w:val="000000"/>
          <w:sz w:val="20"/>
          <w:lang w:val="en-US" w:eastAsia="en-US" w:bidi="ar-SA"/>
        </w:rPr>
        <w:t xml:space="preserve"> at para. 27. They include:</w:t>
      </w:r>
      <w:r>
        <w:rPr>
          <w:rFonts w:ascii="arial" w:eastAsia="arial" w:hAnsi="arial" w:cs="arial"/>
          <w:sz w:val="20"/>
          <w:lang w:val="en-US" w:eastAsia="en-US" w:bidi="ar-SA"/>
        </w:rPr>
        <w:cr/>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or factual complexity of the case;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discovery of documents and examinations for discovery;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a judgment enforceable outside of British Columbia;</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preference for a jury trial;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 to the summary trial procedure available in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factors can be the need for the plaintiff to have legal counsel (</w:t>
      </w:r>
      <w:r>
        <w:rPr>
          <w:rFonts w:ascii="arial" w:eastAsia="arial" w:hAnsi="arial" w:cs="arial"/>
          <w:i/>
          <w:color w:val="000000"/>
          <w:sz w:val="20"/>
          <w:lang w:val="en-US" w:eastAsia="en-US" w:bidi="ar-SA"/>
        </w:rPr>
        <w:t>Faedo v. Dowell</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2007 BCSC 1985</w:t>
        </w:r>
      </w:hyperlink>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Ostovic v. Foggin,</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2009 BCSC 58</w:t>
        </w:r>
      </w:hyperlink>
      <w:r>
        <w:rPr>
          <w:rFonts w:ascii="arial" w:eastAsia="arial" w:hAnsi="arial" w:cs="arial"/>
          <w:color w:val="000000"/>
          <w:sz w:val="20"/>
          <w:lang w:val="en-US" w:eastAsia="en-US" w:bidi="ar-SA"/>
        </w:rPr>
        <w:t xml:space="preserve"> at para. 42; </w:t>
      </w:r>
      <w:r>
        <w:rPr>
          <w:rFonts w:ascii="arial" w:eastAsia="arial" w:hAnsi="arial" w:cs="arial"/>
          <w:i/>
          <w:color w:val="000000"/>
          <w:sz w:val="20"/>
          <w:lang w:val="en-US" w:eastAsia="en-US" w:bidi="ar-SA"/>
        </w:rPr>
        <w:t>Gradek</w:t>
      </w:r>
      <w:r>
        <w:rPr>
          <w:rFonts w:ascii="arial" w:eastAsia="arial" w:hAnsi="arial" w:cs="arial"/>
          <w:color w:val="000000"/>
          <w:sz w:val="20"/>
          <w:lang w:val="en-US" w:eastAsia="en-US" w:bidi="ar-SA"/>
        </w:rPr>
        <w:t xml:space="preserve"> at para. 43), and the defendant's denial of liability, causation, and injury or loss and allegations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pre-existing conditions, previous causes and a failure to mitigate (</w:t>
      </w:r>
      <w:r>
        <w:rPr>
          <w:rFonts w:ascii="arial" w:eastAsia="arial" w:hAnsi="arial" w:cs="arial"/>
          <w:i/>
          <w:color w:val="000000"/>
          <w:sz w:val="20"/>
          <w:lang w:val="en-US" w:eastAsia="en-US" w:bidi="ar-SA"/>
        </w:rPr>
        <w:t>Ostovic</w:t>
      </w:r>
      <w:r>
        <w:rPr>
          <w:rFonts w:ascii="arial" w:eastAsia="arial" w:hAnsi="arial" w:cs="arial"/>
          <w:color w:val="000000"/>
          <w:sz w:val="20"/>
          <w:lang w:val="en-US" w:eastAsia="en-US" w:bidi="ar-SA"/>
        </w:rPr>
        <w:t xml:space="preserve"> at paras. 39-40; </w:t>
      </w:r>
      <w:r>
        <w:rPr>
          <w:rFonts w:ascii="arial" w:eastAsia="arial" w:hAnsi="arial" w:cs="arial"/>
          <w:i/>
          <w:color w:val="000000"/>
          <w:sz w:val="20"/>
          <w:lang w:val="en-US" w:eastAsia="en-US" w:bidi="ar-SA"/>
        </w:rPr>
        <w:t>Gradek</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Therefore, a plaintiff's evaluation of his or her claim, can also involve an assessment of these factors. Even if the plaintiff assesses the claim to be within the jurisdiction of the Small Claims Court, the plaintiff can rely on these other reasons to commence the action in Supreme Court: </w:t>
      </w:r>
      <w:r>
        <w:rPr>
          <w:rFonts w:ascii="arial" w:eastAsia="arial" w:hAnsi="arial" w:cs="arial"/>
          <w:i/>
          <w:color w:val="000000"/>
          <w:sz w:val="20"/>
          <w:lang w:val="en-US" w:eastAsia="en-US" w:bidi="ar-SA"/>
        </w:rPr>
        <w:t>Johannson v. National Car Rental (Canada) Inc.</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2009 BCSC 1284</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opinion, a plaintiff's simple desire to retain counsel is not in and of itself a sufficient reason for commencing the action in Supreme Court. Other factors, such as those noted above, determine whether retaining counsel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Faedo</w:t>
      </w:r>
      <w:r>
        <w:rPr>
          <w:rFonts w:ascii="arial" w:eastAsia="arial" w:hAnsi="arial" w:cs="arial"/>
          <w:color w:val="000000"/>
          <w:sz w:val="20"/>
          <w:lang w:val="en-US" w:eastAsia="en-US" w:bidi="ar-SA"/>
        </w:rPr>
        <w:t>, the plaintiff was in a low impact collision and suffered a soft tissue injury to her neck and back. Justice Vickers found that the case was not that complex and plaintiff's counsel could not have considered ICBC's original dispute of liability a serious threat to recovery. However, Justice Vickers concluded that it was reasonable for the plaintiff to have brought her claim in Supreme Court for two reasons: (1) when the action was commenced, the plaintiff believed she was suffering from the accident and her pleadings included a claim for loss of earning capacity and disruption of the ability to earn income; and (2) ICBC put her credibility seriously in issue when it took the position that she had not suffered from any injury or any significant injury. Justice Vickers continued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 I observed this plaintiff to be very nervous in court. She had no previous experience in court and in my opinion when she was confronted with a case where the defendant represented by counsel was suggesting that she hadn't been injured at all and this was a low impact accident in which it was suggested she wouldn't be injured, that the plaintiff reasonably required counsel to represent her and reasonably started an action in the Supreme Court where she could hope to recover some of the cost of retaining that counsel which was necessary for her to properly put her case to get the compensation I have found her entitled to. Furthermore, an offer to settle such as the plaintiff made in this case puts very little pressure upon a defendant to settle where there is no exposure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Ostovic</w:t>
      </w:r>
      <w:r>
        <w:rPr>
          <w:rFonts w:ascii="arial" w:eastAsia="arial" w:hAnsi="arial" w:cs="arial"/>
          <w:color w:val="000000"/>
          <w:sz w:val="20"/>
          <w:lang w:val="en-US" w:eastAsia="en-US" w:bidi="ar-SA"/>
        </w:rPr>
        <w:t>, another case arising out of a low impact accident, Justice Savage noted that because the defendant denied liability, causation and special damages, the plaintiff had to prove these issues in court. Because of this, the plaintiff needed to avail himself of pre-trial discovery, which provided important evidence of the speed of impact, the consequences of impact and concern over the plaintiff's condition. In addition, Justice Savage found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There is the additional factor that, as in </w:t>
      </w:r>
      <w:r>
        <w:rPr>
          <w:rFonts w:ascii="arial" w:eastAsia="arial" w:hAnsi="arial" w:cs="arial"/>
          <w:i/>
          <w:color w:val="000000"/>
          <w:sz w:val="20"/>
          <w:lang w:val="en-US" w:eastAsia="en-US" w:bidi="ar-SA"/>
        </w:rPr>
        <w:t>Faedo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Kanani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Misiurna</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2008 BCSC 1274</w:t>
        </w:r>
      </w:hyperlink>
      <w:r>
        <w:rPr>
          <w:rFonts w:ascii="arial" w:eastAsia="arial" w:hAnsi="arial" w:cs="arial"/>
          <w:color w:val="000000"/>
          <w:sz w:val="20"/>
          <w:lang w:val="en-US" w:eastAsia="en-US" w:bidi="ar-SA"/>
        </w:rPr>
        <w:t>], the Plaintiff faced an institutional defendant which, in the ordinary course, has counsel. To obtain any recovery the Plaintiff is forced to go to court, where he is facing counsel and counsel is reasonably required, but in Provincial Court there is no way of recovering the costs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Gradek</w:t>
      </w:r>
      <w:r>
        <w:rPr>
          <w:rFonts w:ascii="arial" w:eastAsia="arial" w:hAnsi="arial" w:cs="arial"/>
          <w:color w:val="000000"/>
          <w:sz w:val="20"/>
          <w:lang w:val="en-US" w:eastAsia="en-US" w:bidi="ar-SA"/>
        </w:rPr>
        <w:t xml:space="preserve">, before the issuance of the writ, the defendants' insurers had informed the plaintiffs that their position was the accident did not result in any compensable injury. In their pleadings, the defendants denied liability and injury or loss and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existence of a pre-existing injury and previous causes, and a failure to mitigate. There was a broad range of findings possible respecting liability. The plaintiff, Henryk Gradek, was a Polish immigrant who spoke halting English. Justice Savage found at para. 42 that "he would have had extraordinary difficulty presenting a case on his own" and would have been "out-matched" by either a lawyer or an ICBC adjustor. The plaintiff needed counsel to obtain a just result and, therefore, had sufficient reason to begin the action in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Plaintiffs do not have an ongoing duty to reassess their claims as the matter proceeds: </w:t>
      </w:r>
      <w:r>
        <w:rPr>
          <w:rFonts w:ascii="arial" w:eastAsia="arial" w:hAnsi="arial" w:cs="arial"/>
          <w:i/>
          <w:color w:val="000000"/>
          <w:sz w:val="20"/>
          <w:lang w:val="en-US" w:eastAsia="en-US" w:bidi="ar-SA"/>
        </w:rPr>
        <w:t>Reimann</w:t>
      </w:r>
      <w:r>
        <w:rPr>
          <w:rFonts w:ascii="arial" w:eastAsia="arial" w:hAnsi="arial" w:cs="arial"/>
          <w:color w:val="000000"/>
          <w:sz w:val="20"/>
          <w:lang w:val="en-US" w:eastAsia="en-US" w:bidi="ar-SA"/>
        </w:rPr>
        <w:t xml:space="preserve"> at para. 44. Thus, the court must assess whether a plaintiff had "sufficient reason" to bring the action in Supreme Court when the plaintiff started the action: </w:t>
      </w:r>
      <w:r>
        <w:rPr>
          <w:rFonts w:ascii="arial" w:eastAsia="arial" w:hAnsi="arial" w:cs="arial"/>
          <w:i/>
          <w:color w:val="000000"/>
          <w:sz w:val="20"/>
          <w:lang w:val="en-US" w:eastAsia="en-US" w:bidi="ar-SA"/>
        </w:rPr>
        <w:t>Ostovic</w:t>
      </w:r>
      <w:r>
        <w:rPr>
          <w:rFonts w:ascii="arial" w:eastAsia="arial" w:hAnsi="arial" w:cs="arial"/>
          <w:color w:val="000000"/>
          <w:sz w:val="20"/>
          <w:lang w:val="en-US" w:eastAsia="en-US" w:bidi="ar-SA"/>
        </w:rPr>
        <w:t xml:space="preserve"> at para. 35. This analysis is necessarily done with the benefit of hindsight since it only occurs after trial or settlement, but the court must be careful not to use that hindsight in deciding what was reasonable: </w:t>
      </w:r>
      <w:r>
        <w:rPr>
          <w:rFonts w:ascii="arial" w:eastAsia="arial" w:hAnsi="arial" w:cs="arial"/>
          <w:i/>
          <w:color w:val="000000"/>
          <w:sz w:val="20"/>
          <w:lang w:val="en-US" w:eastAsia="en-US" w:bidi="ar-SA"/>
        </w:rPr>
        <w:t>Faedo</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also must be remembered R. 57(10) "does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involve an exercise of </w:t>
      </w:r>
      <w:r>
        <w:rPr>
          <w:rFonts w:ascii="arial" w:eastAsia="arial" w:hAnsi="arial" w:cs="arial"/>
          <w:color w:val="000000"/>
          <w:sz w:val="20"/>
          <w:u w:val="single"/>
          <w:lang w:val="en-US" w:eastAsia="en-US" w:bidi="ar-SA"/>
        </w:rPr>
        <w:t>discretion</w:t>
      </w:r>
      <w:r>
        <w:rPr>
          <w:rFonts w:ascii="arial" w:eastAsia="arial" w:hAnsi="arial" w:cs="arial"/>
          <w:color w:val="000000"/>
          <w:sz w:val="20"/>
          <w:lang w:val="en-US" w:eastAsia="en-US" w:bidi="ar-SA"/>
        </w:rPr>
        <w:t xml:space="preserve">." Rather, "the court must make a </w:t>
      </w:r>
      <w:r>
        <w:rPr>
          <w:rFonts w:ascii="arial" w:eastAsia="arial" w:hAnsi="arial" w:cs="arial"/>
          <w:color w:val="000000"/>
          <w:sz w:val="20"/>
          <w:u w:val="single"/>
          <w:lang w:val="en-US" w:eastAsia="en-US" w:bidi="ar-SA"/>
        </w:rPr>
        <w:t>finding</w:t>
      </w:r>
      <w:r>
        <w:rPr>
          <w:rFonts w:ascii="arial" w:eastAsia="arial" w:hAnsi="arial" w:cs="arial"/>
          <w:color w:val="000000"/>
          <w:sz w:val="20"/>
          <w:lang w:val="en-US" w:eastAsia="en-US" w:bidi="ar-SA"/>
        </w:rPr>
        <w:t xml:space="preserve"> that there was sufficient reason for bringing the action in the Supreme Court" (emphasis added): </w:t>
      </w:r>
      <w:r>
        <w:rPr>
          <w:rFonts w:ascii="arial" w:eastAsia="arial" w:hAnsi="arial" w:cs="arial"/>
          <w:i/>
          <w:color w:val="000000"/>
          <w:sz w:val="20"/>
          <w:lang w:val="en-US" w:eastAsia="en-US" w:bidi="ar-SA"/>
        </w:rPr>
        <w:t>Reimann</w:t>
      </w:r>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concedes that when she filed the writ of summons, the exact degree of her soft tissue injuries was not known. Plaintiff's counsel had neither its own medical-legal report nor the CL19 Medical Report generally obtained by ICBC. They did not know the amount of special damages or past wage loss. However, they were aware that the defendants denied the accident caused any compensable injury since the defendants had categorized the claim as a low velocity impact claim. Therefore, prior to issuing the writ, plaintiff's counsel was aware of the probable form the defence would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asserts that at the time of commencement, presumably based on her own evidence, the claim could have exceeded $25,000. If that was likely, then costs are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argue that the plaintiff lacked the necessary medical evidence to make such an assessment. They also submit that the settlement offers and settlement amount support their position that the claim was always within the jurisdiction of the Small Claims Court. However, offers of settlement made after the commencement of the action do not necessarily relate to what was known at the commencement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Arguably, at the time the action was started, the claim could have exceeded $25,000. The plaintiff knew her injuries, from which it took her 18 months to substantially recover, caused her pain at work, disturbed her sleep, made her unable to do housework, and decreased her leisure activities. She had missed seven days of work and required numerous visits to a chiropractor and massage therapist. There is no evidence that the plaintiff misled counsel or that her complaints lacked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Further, even if it was clear that the claim would fall within the Small Claims Court's jurisdiction, the issues raised by the defendant increased the complexity of the claim and the plaintiff's need for counsel. By denying liability, causation and that the plaintiff suffered any loss, the plaintiff would have been required to prove these elements at trial. Also, although unnecessary because the matter settled, discovery of the defendant, which had been arranged, could have been important to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taking the position that this was a low velocity impact claim the defendants created the situation giving rise to this motion. Their pleadings raised a multitude of issues in their defence. Those issues raised complex questions of fact and law. It is unlikely that a lay person could address them competently. Therefore, I find that there was sufficient reason for the plaintiff to bring the action in Supreme Court regardless of the quantum at the time of commencement.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shall recover her costs pursuant to Rule 66 and the costs of this motion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4"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Strata Plan BCS 1348 v. Travelers Guarantee Co. of Canada, [2014] B.C.J. No. 2027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B.I. Cohen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17-18, June 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S114225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2027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1468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2320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244 A.C.W.S. (3d) 576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69 B.C.L.R. (5th) 341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BCS 1348, Plaintiff, and Travelers Guarantee Company of Canada La Compagnie Travelers Garantie Du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6" w:name="Keywords_39"/>
      <w:bookmarkEnd w:id="256"/>
      <w:r>
        <w:rPr>
          <w:rFonts w:ascii="arial" w:eastAsia="arial" w:hAnsi="arial" w:cs="arial"/>
          <w:b/>
          <w:color w:val="000000"/>
          <w:sz w:val="20"/>
          <w:lang w:val="en-US" w:eastAsia="en-US" w:bidi="ar-SA"/>
        </w:rPr>
        <w:t>Civil litigation — Civil procedure — Trials — Summary trials — Application by plaintiff for summary trial declaration that coverage provided in common property warranty applied to defects in hotel dismissed — Plaintiff notified defendant of defects in hotel, but defendant denied coverage because relevant structure was built before hotel — Plaintiff alleged that defendant breached warranty — Defendant issued third party notice against parties that were involved in building hotel — Litigating in slices was live issue, given complexity of issues, incomplete factual record and multitude of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New home warranty plans — Purchaser — Protections — Breach of warranty — Application by plaintiff for summary trial declaration that coverage provided in common property warranty applied to defects in hotel dismissed — Plaintiff notified defendant of defects in hotel, but defendant denied coverage because relevant structure was built before hotel — Plaintiff alleged that defendant breached warranty — Defendant issued third party notice against parties that were involved in building hotel — Litigating in slices was live issue, given complexity of issues, incomplete factual record and multitude of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Proceedings — Practice and procedure — Application by plaintiff for summary trial declaration that coverage provided in common property warranty applied to defects in hotel dismissed — Plaintiff notified defendant of defects in hotel, but defendant denied coverage because relevant structure was built before hotel — Plaintiff alleged that defendant breached warranty — Defendant issued third party notice against parties that were involved in building hotel — Litigating in slices was live issue, given complexity of issues, incomplete factual record and multitude of parties.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7" w:name="Case Summary_34"/>
            <w:bookmarkEnd w:id="2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a summary trial declaration that the coverage provided in a common property warranty applied to certain defects in a hotel. The plaintiff owned a strata-title hotel that was built beside an extant development. The strata plans for the hotel and the other development were interlocking. The plaintiff notified the defendant warranty provider of building envelope defects in part of the hotel, but the defendant denied coverage because the relevant structure was built before the hotel. The plaintiff alleged that the defendant breached the warranty. The defendant issued a third party notice against various other parties that were involved in building the hotel.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8" w:name="Holdings of Court_28"/>
            <w:bookmarkEnd w:id="25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Litigating in slices was a very live issue, given the complexity of the issues, the incomplete factual record and the multitude of parties. The issues raised in the application interrelated with the issues that would be dealt with at the full trial. The plaintiff invited the court to determine the issues based on who built certain elements of the relevant structure, but admitted that the evidence on which it relied was somewhat speculative. The third parties had an obvious interest in the determination of who was responsible, likely had access to far more evidence and had a very real, substantial interest in establishing that there was no defect to which the warranty applied. The determination could pre-judge the issue of whether the alleged problems were defects, which was not before the court. The determination would not promote settlement.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9" w:name="Legislation Cited_27"/>
      <w:bookmarkEnd w:id="2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6"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Homeowner Protection Act, </w:t>
      </w:r>
      <w:r>
        <w:rPr>
          <w:rFonts w:ascii="arial" w:eastAsia="arial" w:hAnsi="arial" w:cs="arial"/>
          <w:i/>
          <w:color w:val="000000"/>
          <w:sz w:val="20"/>
          <w:lang w:val="en-US" w:eastAsia="en-US" w:bidi="ar-SA"/>
        </w:rPr>
        <w:t>SBC 1998, CHAPTER 31</w:t>
      </w:r>
      <w:r>
        <w:rPr>
          <w:rFonts w:ascii="arial" w:eastAsia="arial" w:hAnsi="arial" w:cs="arial"/>
          <w:color w:val="000000"/>
          <w:sz w:val="20"/>
          <w:lang w:val="en-US" w:eastAsia="en-US" w:bidi="ar-SA"/>
        </w:rPr>
        <w:t>, "new home, 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Homeowner Protection Act Regulation, </w:t>
      </w:r>
      <w:hyperlink r:id="rId742" w:history="1">
        <w:r>
          <w:rPr>
            <w:rFonts w:ascii="arial" w:eastAsia="arial" w:hAnsi="arial" w:cs="arial"/>
            <w:i/>
            <w:color w:val="0077CC"/>
            <w:sz w:val="20"/>
            <w:u w:val="single"/>
            <w:shd w:val="clear" w:color="auto" w:fill="FFFFFF"/>
            <w:lang w:val="en-US" w:eastAsia="en-US" w:bidi="ar-SA"/>
          </w:rPr>
          <w:t>B.C. Reg. 29/99, s. 1</w:t>
        </w:r>
      </w:hyperlink>
      <w:r>
        <w:rPr>
          <w:rFonts w:ascii="arial" w:eastAsia="arial" w:hAnsi="arial" w:cs="arial"/>
          <w:color w:val="000000"/>
          <w:sz w:val="20"/>
          <w:lang w:val="en-US" w:eastAsia="en-US" w:bidi="ar-SA"/>
        </w:rPr>
        <w:t>(2), s. 2(1), s. 10(1)(b), s. 10(2)(c)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743" w:history="1">
        <w:r>
          <w:rPr>
            <w:rFonts w:ascii="arial" w:eastAsia="arial" w:hAnsi="arial" w:cs="arial"/>
            <w:i/>
            <w:color w:val="0077CC"/>
            <w:sz w:val="20"/>
            <w:u w:val="single"/>
            <w:shd w:val="clear" w:color="auto" w:fill="FFFFFF"/>
            <w:lang w:val="en-US" w:eastAsia="en-US" w:bidi="ar-SA"/>
          </w:rPr>
          <w:t>RSBC 1996, CHAPTER 333,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1-3</w:t>
      </w:r>
      <w:r>
        <w:rPr>
          <w:rFonts w:ascii="arial" w:eastAsia="arial" w:hAnsi="arial" w:cs="arial"/>
          <w:color w:val="000000"/>
          <w:sz w:val="20"/>
          <w:lang w:val="en-US" w:eastAsia="en-US" w:bidi="ar-SA"/>
        </w:rPr>
        <w:t>, Rule 3-5(14),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0" w:name="Counsel_39"/>
      <w:bookmarkEnd w:id="26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Mendes.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Laudan.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1" w:name="Judgment_39"/>
      <w:bookmarkEnd w:id="261"/>
      <w:r>
        <w:pict>
          <v:line id="_x0000_s1218" style="position:absolute;z-index:251852800"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Ruling on Summary Trial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 COHEN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The Owners, Strata Plan BCS 1348, is a strata corporation whose members own a strata-title hotel in Whistler, BC, known as the Pan Pacific Whistler Village Centre ("Pan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Pan Pacific was developed and built in 2004-05 by WVC Phase III Limited Partnership ("WVC") beside an extant development built in the mid-1990s known as the Whistler Village Centre. Construction of the Pan Pacific was completed in or around June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strata plans for the Whistler Village Centre (LMS 1847) and the Pan Pacific (BCS 1348) are interlocking. The Pan Pacific is built above an underground parkade whose first level (P1) forms part of the Pan Pacific while the bottom three levels (P2-P4) form part of the Whistler Village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When it opened in the mid-nineties, the Holiday Inn Hotel ("Holiday Inn") used part of an adjacent three story building ("the original structure") as its lobby. The first story of this building included retail businesses and was situated within the Whistler Village Centre's strata plan. The second and third stories formed part of the air space parcel in which the Pan Pacific is now situated. The second story was used as the Holiday Inn lobby and as space for a car rental business. The third story was unfinished space open to the roof attic.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the Pan Pacific was built, the second and third stories of the original structure became part of its strata plan ("South Wing"). The second floor was divided into a lobby for the Holiday Inn (strata lot 5) and two Pan Pacific meeting rooms (strata lots 6 and 7). A ceiling and walls were added to the third floor to create three suites (strata lots 34, 36 and 37). The South Wing is annexed to the main tower of the Pan Pacific by a connecting corridor.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Parking for the Pan Pacific's suites consists of 80 parking strata lots on level P4 of the underground parkade ("Parking Stalls"). The Parking Stalls are owned by 623693 B.C. Ltd., a company incorporated by WVC ("Nominee Company"). On July 6, 2005, the sole share of the Nominee Company was transferred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 Travelers Guarantee Company of Canada ("Travelers"), is a federally incorporated company registered as an extra-provincial company under BC laws. At all material times, it carried on business as a warranty provider under the </w:t>
      </w:r>
      <w:r>
        <w:rPr>
          <w:rFonts w:ascii="arial" w:eastAsia="arial" w:hAnsi="arial" w:cs="arial"/>
          <w:i/>
          <w:color w:val="000000"/>
          <w:sz w:val="20"/>
          <w:lang w:val="en-US" w:eastAsia="en-US" w:bidi="ar-SA"/>
        </w:rPr>
        <w:t>Homeowner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Travelers required WVC to provide it with a copy of the disclosure statements it delivered to purchasers. Paragraph 5.2 of the disclosure statement advised that purchasers in the Pan Pacific would receive a 2-5-10 year warranty, in accordance with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applicable manufacturer's warranties, and a one year warranty from WVC on the construction and finishing of the development. The disclosure statement advised that the developer's one year warranty would not cover the underground parkade or other pre-existing structures, but it was silent on whether the Travelers' warranty would apply to these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Amended disclosure statements delivered to purchasers advised that WVC would deliver a report on the South Wing condition to the purchasers of strata lots 34, 36 and 37. This report informed purchasers that there would be "major modifications to elements of the [South Wing]". Travelers and WVC did not provide purchasers with details about these modifications.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Travelers issued a common property warranty to the plaintiff on August 10, 2006 ("Warranty"). The civic address in the warranty certificate is the South Wing. Travelers also issued strata lot warranties to the South Wing third floor suite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May 7, 2008 and June 22, 2010 before the five-year deadline for giving notice contained in the Warranty expired, the plaintiff notified Travelers of building envelope defects in the South Wing. Travelers denied all claims for coverage for the South Wing because the structure was built before the Pan Pacific was constructed; therefore Travelers said it was not covered under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its Amended Notice of Civil Claim issued September 12, 2012, the plaintiff sets out alleged defects in the materials, workmanship and design of the below and above grade structure in the parking garage, the main Pan Pacific tower and the South Wing. Simply put, the plaintiff alleges that Travelers breached the Warranty resulting in loss and damage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seeks,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 declaration that Travelers must pay and make good to the plaintiff and owners the losses they sustained in accordance with the Warranty provisions and specific performance of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a parallel action, the plaintiff issued a Notice of Civil Claim dated April 30, 2014, claiming against,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WVC, WVC's general partner, and contractors WVC retained, including the architects, engineers, roofers, and installers of doors, windows and concrete. The plaintiff set out alleged defects and claims a breach of contract and a breach of duty of care by the defendants resulting in loss and damage to the plaintiff and seeking,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general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the instant action, Travelers issued an Amended Third Party Notice against WVC and the various professionals, consultants and trades involved in the development, design, construction, supply of materials and inspection of the Pan Pacific. Travelers seeks,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judgment against the Third Parties for any amount that may be found due from Travelers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seeks a declaration that:</w:t>
      </w:r>
      <w:r>
        <w:rPr>
          <w:rFonts w:ascii="arial" w:eastAsia="arial" w:hAnsi="arial" w:cs="arial"/>
          <w:sz w:val="20"/>
          <w:lang w:val="en-US" w:eastAsia="en-US" w:bidi="ar-SA"/>
        </w:rPr>
        <w:cr/>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South Wing is included in the definition of "new home" in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Homeowner Protection Act Regulation</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B.C. Reg. 29/99</w:t>
        </w:r>
      </w:hyperlink>
      <w:r>
        <w:rPr>
          <w:rFonts w:ascii="arial" w:eastAsia="arial" w:hAnsi="arial" w:cs="arial"/>
          <w:color w:val="000000"/>
          <w:sz w:val="20"/>
          <w:lang w:val="en-US" w:eastAsia="en-US" w:bidi="ar-SA"/>
        </w:rPr>
        <w:t xml:space="preserve"> ("Regulation"); and the Warranty;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parking stalls are included in the definition of "new home" in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and are within the coverage for structural defects in Part A, s. 3.0 of the Warranty;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exclusions in Part D, ss. 1.1 (j) and (q) of the Warranty do not limit the coverage applicable to the South wing or Parking Stalls. These exclusions provide: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Defect in, or caused by, materials or work supplied by anyone other than the Builder or its employees, agents, or sub-contractors ("exclusion (j)")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commercial use area and any construction associated with a commercial use area ("exclusion (q)")...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relying most heavily on the recent decision of the Supreme Court of Canada in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submits that it is appropriate to grant the order sought by it under Rule 9-7 n Summary Trial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The Defenant's Response to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Travelers submits that this matter is not suitable for disposition by way of a summary trial. In sum, it asserts:</w:t>
      </w:r>
      <w:r>
        <w:rPr>
          <w:rFonts w:ascii="arial" w:eastAsia="arial" w:hAnsi="arial" w:cs="arial"/>
          <w:sz w:val="20"/>
          <w:lang w:val="en-US" w:eastAsia="en-US" w:bidi="ar-SA"/>
        </w:rPr>
        <w:cr/>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"litigating in slices";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nature of the specific defects has not yet been fully articulated and is not before the Court via admissible evidence; and</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applicability and extent of certain statutory exclusions should not be determined without the factual matrix of the actual defects alleged being fully articulated and adjudicated.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Travelers argues that since defences would still remain at trial for all of the plaintiff's claims, the order the plaintiff seeks would not result in concluding the matter quicker, or the substantial implication of it, as the same evidence would still be required at trial. Moreover, the order the plaintiff seeks would tie the trial judge's hands on one of the case's major issues. Indeed, the order could complicate rather than simplify the case, so this Court should not grant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submits that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mandated warranty coverage must be construed in light of its objectives, including strengthening consumer protection and improving residential construction quality. It says that the Warranty terms should be interpreted generously in the plaintiff's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refers to s. 1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that defines a "new home" as including the "common property, common facilities and other assets of a strata corporation". The plaintiff says that the exterior of the South Wing's building envelope is common property and is therefore covered by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notes that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authorizes the Lieutenant Governor to make regulations "exempting...a portion of a building or the common property, common facilities and other assets of a strata corporation" from its definition of "new home". But the plaintiff says that no regulations allow warranty providers to exempt portions of common property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also notes that s. 2.1 of the Warranty provides that if a strata plan includes a new home, all of its common property is covered. This section states, "If a New Home is included in a Strata Plan, Travelers Insurance Company of Canada will provide Warranty coverage for...(a) the New Home comprising the strata lot; (b) the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says that Strata Plan BCS 1348 includes many new homes as Travelers issued warranty certificates for all of its hotel suites. Therefore, the plaintiff submits that all of the Pan Pacific's common property is covered, including the appurtenant to the South 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also refers to s. 1(2) of the Regulation that further defines a "new home" as including "a non-residential building, or portion thereof, converted to use for residential occupancy and sale". The plaintiff says that the South Wing is covered by the Warranty as it was a non-residential building that was converted to residential occupancy by the Pan Pacific project. Furthermore, s. 2(1) of the Regulation includes strata-title hotels within the definition of a "new home". Therefore, the plaintiff says that the South Wing is covered by the Warranty as part of a strata-title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mentioned,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definition of "new home" includes "common property, common facilities and other assets of a strata corporation". The "common assets" of a strata corporation include:</w:t>
      </w:r>
      <w:r>
        <w:rPr>
          <w:rFonts w:ascii="arial" w:eastAsia="arial" w:hAnsi="arial" w:cs="arial"/>
          <w:sz w:val="20"/>
          <w:lang w:val="en-US" w:eastAsia="en-US" w:bidi="ar-SA"/>
        </w:rPr>
        <w:cr/>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property held by or on behalf of a strata corporation; and/or</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land held in the name of or on behalf of a strata corporation that is: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shown on the strata plan; or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shown as a strata lot on the strata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contends that its interest in the Parking Stalls through the Nominee Company is a common asset; therefore the parking stalls are part of the "new home" covered by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notes that the Parking Stalls had a commercial use before the Pan Pacific construction as pay parking for public use. However, they are now used as parking and as part of the elevator area for the Pan Pacific hotel suites, and those suites are designated as residential in Strata Plan BCS 1348. The plaintiff says that the Parking Stalls are therefore within the converted building definition of new home in s. 1(2) of the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also notes that ss. 10(1)(b) and 10(2)(c) of the Regulation and exclusion (p) in Part D, s. 1.1 of the Warranty indicate that only detached parking structures may be excluded from warranty coverage. The plaintiff says that the Parking Stalls are located in an underground parkade that is attached to the Pan Pacific building, and they are therefore covered by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argues that a reasonable warranty provider and owner - reviewing the Warranty, WVC's disclosure statements and the report on the South Wing condition - would conclude that the South Wing and the Parking Stalls were covered by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With respect to the exclusions, Part D, s. 1.1(j) of the Warranty excludes coverage for "any Defect in, or caused by, materials or work supplied by anyone other than the Builder or its employees, agents, or sub-contractors". The plaintiff says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and the Warranty require this exclusion to be interpreted narrowly. The plaintiff submits that, properly interpreted, this exclusion applies to builders who are responsible for "substantially all" of a new home's construction. And properly interpreted, the exclusion would apply to an owner who hires a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licensed builder to build a new home who then hires a second builder to do a small part of the work, e.g., to install cabinets, who does not offer warranty insurance. The plaintiff says that any defect performed by the second builder would be excluded under the warranty because the work is such a small part of the new home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also submits that a broad interpretation of exclusion (j) would be contrary to the legislative intent evident in the Regulation for heritage building provisions. The plaintiff says that if exclusion (j) were interpreted broadly, then any component of a heritage building that is not altered by a licensed builder would be excluded from coverage. The plaintiff says that the Regulation, however, allows components of heritage buildings converted from commercial to residential use to be excluded only if they have heritage value and do not conform to the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also says that exclusions should not be interpreted in a manner that nullifies coverage for heritage buildings, other buildings converted from non-residential uses, and common property appurtenant to existing structures incorporated into new strata developments.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submits that even if this exclusion could apply to the developer's work in the Whistler Village Centre, the South Wing was extensively renovated during the Pan Pacific project. The plaintiff says that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could not have intended that its consumer warranty be applied in a piecemeal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exclusion (q), the plaintiff submits it has no application to common property that all owners own (including owners of the hotel suites) as tenants in common; additionally, it does not apply to a building envelope that is not a commercial use area or construction associated with a commercial use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exclusion (p) in Part D, s. 1.1 of the Warranty, which provides that non-residential structures may be excluded from coverage only if they are not attached to or do not form an integral part of a multi-unit building or a new home, the plaintiff submits the South Wing is attached to and is an integral part of a multi-unit building, namely the Pan Pacific. Therefore, coverage cannot be excluded for any portion of the South Wing that is non-residential.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Travelers submits that it is common ground that the Warranty applies to the Pan Pacific structure and the South Wing, but the coverage is subject to various exclusions permitted by statute and included in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Travelers notes that the Amended and Reformatted Disclosure Statement for purchasers of suites in the development, dated May 19, 2005, provides that WVC will obtain home warranty coverage for the Pan Pacific hotel lots and common property and that WVC will provide a warranty as to the construction and finishing for one year. Section 5.2 also provides that, "The underground parkade structure and any other pre-existing structure or pre-existing mechanical, electrical or other utility systems or equipment is not warranted by the Developer [the Builder] and any deficiencies in respect thereof are not rectifiable by the Developer." Travelers says that no statement demonstrates that warranty coverage of any kind is extended to the South 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Travelers notes that WVC did undertake certain specific work on the South Wing during the Pan Pacific Project, namely, and most significantly, replacing the South Wing windows and certain interior upgrades. Travelers says that nothing suggests that the defects that form part of the existing claims are defects in WVC's limited, certain, specific work in the South 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respect to the Parking Stalls, the Pan Pacific provides parking for hotel guests on the 4th level of the underground parkade. Importantly, the 4th level is not located in the strata development; in fact, the Parking Stalls are entirely within Strata Plan LMS 1847, the Whistler Village Centre. Travelers says that the Parking Stalls (80 in number) are individual strata units owned by the Nominee Company, the sole share of which the plaintiff owns. It claims that, unlike the Pan Pacific structure and the South Wing, the Parking Stalls do not fall within the definition of "new home". Therefore, they are not the subject of a grant of coverage under the Warranty because the plaintiff does not legally or beneficially own them; rather, the Nominee Company, a separate legal entity, owns them. Further, even if coverage does extend prima facie to the Parking Stalls, they are subject to the exclusions.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Travelers also argues that nothing in the present case justifies departing from exclusion (j)'s grammatical and ordinary meaning, as the plaintiff submitted, to only apply to work done only by contracting owners. Moreover, the exclusion for heritage buildings coexists with exclusion (j) in the grammatical and ordinary meaning of both provisions. Finally, nothing in the Warranty,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or the Regulation provides that exclusion (q) applies only to commercial strata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the applicability of r. 9-7, the plaintiff argues: that nothing in the evidence before the Court conflicts; that the issues presented in the application are not so complex that they are unsuited for determination; and that no additional evidence is required to determine whether the South Wing and the Parking Stalls are a "new home" or if the coverage available under the Warranty for these structures is limited by exclusions (j) or (q). In sum, the plaintiff claims that if the Court can find all facts necessary to decide the issues, it should grant it judgment unless Travelers can demonstrate that it would be unjust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also submits that the Court should not readily refrain from deciding a single issue simply because other issues will be decided at the trial. The plaintiff contends that the ruling it seeks is likely to assist the parties in mediating their dispute. Indeed, a settlement is unlikely while one party takes the position that the South Wing and the Parking Stalls are covered while the other maintains that there is absolutely no coverage for those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Moreover, the plaintiff submits that a ruling on the coverage issue for the South Wing will not affect the other issues for trial; Travelers will remain free to argue that the conditions arising from the plaintiff's claims under the Warranty are not defects and that the plaintiff has failed to comply with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 contends that BC courts have adopted a strict approach to summary trial applications often citing the decision of Southin J.A. in </w:t>
      </w:r>
      <w:r>
        <w:rPr>
          <w:rFonts w:ascii="arial" w:eastAsia="arial" w:hAnsi="arial" w:cs="arial"/>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Bacchus Agents</w:t>
      </w:r>
      <w:r>
        <w:rPr>
          <w:rFonts w:ascii="arial" w:eastAsia="arial" w:hAnsi="arial" w:cs="arial"/>
          <w:color w:val="000000"/>
          <w:sz w:val="20"/>
          <w:lang w:val="en-US" w:eastAsia="en-US" w:bidi="ar-SA"/>
        </w:rPr>
        <w:t xml:space="preserve">] wherein the Court cautioned against litigating in slices. But the plaintiff reminds the Court of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1989 CanLII 2728</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wherein the Court followed a more liberal approach ruling that a chambers judge "should also consider, if a critical issue in the case can be decided whether that may assist the parties to reach an accommodation on other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insists that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which the plaintiff says would be characterized in this jurisdiction as a case of litigating in slices, marks a clear departure from the course charted in </w:t>
      </w:r>
      <w:r>
        <w:rPr>
          <w:rFonts w:ascii="arial" w:eastAsia="arial" w:hAnsi="arial" w:cs="arial"/>
          <w:i/>
          <w:color w:val="000000"/>
          <w:sz w:val="20"/>
          <w:lang w:val="en-US" w:eastAsia="en-US" w:bidi="ar-SA"/>
        </w:rPr>
        <w:t>Bacchus Agents</w:t>
      </w:r>
      <w:r>
        <w:rPr>
          <w:rFonts w:ascii="arial" w:eastAsia="arial" w:hAnsi="arial" w:cs="arial"/>
          <w:color w:val="000000"/>
          <w:sz w:val="20"/>
          <w:lang w:val="en-US" w:eastAsia="en-US" w:bidi="ar-SA"/>
        </w:rPr>
        <w:t xml:space="preserve">. While acknowledging that it may not always be appropriate to grant judgment on an issue, the plaintiff notes that Karakatsanis J. in </w:t>
      </w:r>
      <w:r>
        <w:rPr>
          <w:rFonts w:ascii="arial" w:eastAsia="arial" w:hAnsi="arial" w:cs="arial"/>
          <w:i/>
          <w:color w:val="000000"/>
          <w:sz w:val="20"/>
          <w:lang w:val="en-US" w:eastAsia="en-US" w:bidi="ar-SA"/>
        </w:rPr>
        <w:t>Hyrniak</w:t>
      </w:r>
      <w:r>
        <w:rPr>
          <w:rFonts w:ascii="arial" w:eastAsia="arial" w:hAnsi="arial" w:cs="arial"/>
          <w:color w:val="000000"/>
          <w:sz w:val="20"/>
          <w:lang w:val="en-US" w:eastAsia="en-US" w:bidi="ar-SA"/>
        </w:rPr>
        <w:t xml:space="preserve"> exhorted courts to consider whether granting judgment would advance access to justice: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The "interest of justice" inquiry goes further, and also considers the consequences of the motion in the context of the litigation as a whole. For example, if some of the claims against some of the parties will proceed to trial in any event, it may not be in the interest of justice to use the new fact-finding powers to grant summary judgment against a single defendant. Such partial summary judgment may run the risk of duplicative proceedings or inconsistent findings of fact and therefore the use of the powers may not be in the interest of justice. </w:t>
      </w:r>
      <w:r>
        <w:rPr>
          <w:rFonts w:ascii="arial" w:eastAsia="arial" w:hAnsi="arial" w:cs="arial"/>
          <w:color w:val="000000"/>
          <w:sz w:val="20"/>
          <w:u w:val="single"/>
          <w:lang w:val="en-US" w:eastAsia="en-US" w:bidi="ar-SA"/>
        </w:rPr>
        <w:t>On the other hand, the resolution of an important claim against a key party could significantly advance access to justice, and be the most proportionate, timely and cost effective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notes that despite the large number of warranties issued since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came into effect in 1999, only one coverage claim reached a conventional trial: </w:t>
      </w:r>
      <w:r>
        <w:rPr>
          <w:rFonts w:ascii="arial" w:eastAsia="arial" w:hAnsi="arial" w:cs="arial"/>
          <w:i/>
          <w:color w:val="000000"/>
          <w:sz w:val="20"/>
          <w:lang w:val="en-US" w:eastAsia="en-US" w:bidi="ar-SA"/>
        </w:rPr>
        <w:t>Aspen Enterprises Ltd. v. Quiding</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2008 BCSC 1870</w:t>
        </w:r>
      </w:hyperlink>
      <w:r>
        <w:rPr>
          <w:rFonts w:ascii="arial" w:eastAsia="arial" w:hAnsi="arial" w:cs="arial"/>
          <w:color w:val="000000"/>
          <w:sz w:val="20"/>
          <w:lang w:val="en-US" w:eastAsia="en-US" w:bidi="ar-SA"/>
        </w:rPr>
        <w:t xml:space="preserve">. Therefore, it claims that the likelihood of a conventional trial in the present case is modest. Additionally, the plaintiff says the prospect of a conventional trial receded even further with Travelers' decision to join approximately 20 third parties to the action. The plaintiff notes that a recent application to have similar third party claims in a home warranty action tried separately against the warranty provider was declined: </w:t>
      </w:r>
      <w:r>
        <w:rPr>
          <w:rFonts w:ascii="arial" w:eastAsia="arial" w:hAnsi="arial" w:cs="arial"/>
          <w:i/>
          <w:color w:val="000000"/>
          <w:sz w:val="20"/>
          <w:lang w:val="en-US" w:eastAsia="en-US" w:bidi="ar-SA"/>
        </w:rPr>
        <w:t>The Owners, Strata Plan BCS 2854 v. Travelers Guarantee</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2013 BCSC 2428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Strata Plan BCS 2854</w:t>
      </w:r>
      <w:r>
        <w:rPr>
          <w:rFonts w:ascii="arial" w:eastAsia="arial" w:hAnsi="arial" w:cs="arial"/>
          <w:color w:val="000000"/>
          <w:sz w:val="20"/>
          <w:lang w:val="en-US" w:eastAsia="en-US" w:bidi="ar-SA"/>
        </w:rPr>
        <w:t>]. The plaintiff says that a conventional trial in the present case will therefore involve a multitude of parties and likely take months to complete, and the cost of such a trial would discourage most parties from seeking its procedural advantages.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also says that Travelers disputes none of the evidence on which the plaintiff relies, and post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jurisprudence indicates that such applications are eminently suitable for summary adjudication. The plaintiff says further that the issues of whether the South Wing and the Parking Stalls are a "new home" and whether coverage for these structures is limited by the exclusions are not intertwined with the third party claims, so a ruling on these issues does therefore not "run the risk of duplicative proceedings or inconsistent findings of fact":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at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submits that concerns over third party claims should not prevail in this application because if another party's interest in a summary trial were sufficient grounds for declining judgment, then any respondent could defeat a summary trial application by adding a third party to the lawsuit. Moreover, r. 3-5(14) acknowledges that third party proceedings should be conducted in a manner that minimizes prejudice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Travelers argues that the plaintiff's application is a clear case of litigating in slices that the Court should avoid. It says the plaintiff is inviting the Court to resolve what is necessarily a complex, multi-party claim of potentially significant value where the relief sought is only a partial interpretation of the plaintiff's coverage under the Warranty. But this complex issue is not suitable for partial interpretation, and it will require a full interpretation at trial based on a significantly broader factual matrix involving other parties and issues that affect other parties: </w:t>
      </w:r>
      <w:r>
        <w:rPr>
          <w:rFonts w:ascii="arial" w:eastAsia="arial" w:hAnsi="arial" w:cs="arial"/>
          <w:i/>
          <w:color w:val="000000"/>
          <w:sz w:val="20"/>
          <w:lang w:val="en-US" w:eastAsia="en-US" w:bidi="ar-SA"/>
        </w:rPr>
        <w:t>The Owners, Strata Plan LMS 4443 v. Travelers Guarantee Company of Canada</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2013 BCSC 296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Strata Plan LMS 4443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Coast Foundation v. Currie</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Owners, Strata Plan VIS 3815 v. Polo Pacific</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2003 BCSC 1811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response to the plaintiff's argument that a full conventional trial will be cumbersome and costly given the number of parties involved in the lawsuit, Travelers notes that the plaintiff itself has raised the issues and involved the parties in the litigation. First, it made serious claims that resulted in these parties, the ones actually responsible for any loss, being added as third parties. And, second, it created the situation by suing them in a separate parallel action that reasonably ought to be consolidated with the present action. Travelers says that the plaintiff is seeking resolution of an inherently complex and multifaceted claim, and although the claim has not been quantified, it seems likely to be for a considerable sum. Its resolution, even its partial resolution, necessarily cannot be simplified into a quick, summarily decided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Travelers refers to the words of Steeves J. in </w:t>
      </w:r>
      <w:r>
        <w:rPr>
          <w:rFonts w:ascii="arial" w:eastAsia="arial" w:hAnsi="arial" w:cs="arial"/>
          <w:i/>
          <w:color w:val="000000"/>
          <w:sz w:val="20"/>
          <w:lang w:val="en-US" w:eastAsia="en-US" w:bidi="ar-SA"/>
        </w:rPr>
        <w:t>Strata BCS 2854</w:t>
      </w:r>
      <w:r>
        <w:rPr>
          <w:rFonts w:ascii="arial" w:eastAsia="arial" w:hAnsi="arial" w:cs="arial"/>
          <w:color w:val="000000"/>
          <w:sz w:val="20"/>
          <w:lang w:val="en-US" w:eastAsia="en-US" w:bidi="ar-SA"/>
        </w:rPr>
        <w:t xml:space="preserve"> wherein His Lordship said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it is clear that the events giving rise to the two actions here have set in train complicated and extensive damage to the plaintiffs property. I am unable to find a way to make the adjudication and assessment of that damage a simple and short process. Complex litigation is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central theme of the plaintiff's argument is one of access to justice for the Pan Pacific unit owners. The plaintiff insists that the present admonition over litigating in slices often applied in this jurisdiction should fall into disrepute; indeed a ruling by the Court on the issues raised in this application would substantially advance access to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asks rhetorically: what will happen if the Court rejects the plaintiff's application? It answers the question by stating that a full conventional trial will be out of reach for most of the owners, and it will involve a mega trial where the relief sought will engage a long, costly and unaffordable set of proceedings. Thus, the plaintiff argues that unless the Court is willing to permit the owners to bring a summary trial application to seek relief on the issue at hand, they will be left with no reasonable access to justice, and the warranty provider will be in charge of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On the other hand, Travelers argues that the relief sought in the plaintiff's application will not alleviate the need for a trial. At the heart of this case is whether defects exist that engage the warranty, and that issue will not be resolved in this application. This pertinent fact, says Travelers, is a significant distinction from the circumstances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agree with the plaintiff that Karakatsanis J.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noted that the traditional balance struck by a full conventional trial requires re-adjustment. At para. 28, Her Ladyship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requires a shift in culture. The principal goal remains the same: a fair process that results in a just adjudication of disputes. A fair and just process must permit a judge to find the facts necessary to resolve the dispute and to apply the relevant legal principles to the facts as found. However, that process is illusory unless it is also accessible -- proportionate, timely and affordable. The proportionality principle means that the best forum for resolving a dispute is not always that with the most painstaking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However, my agreement with the plaintiff's position can only go so far. With respect, I do not agree with the plaintiff's assertion that </w:t>
      </w:r>
      <w:r>
        <w:rPr>
          <w:rFonts w:ascii="arial" w:eastAsia="arial" w:hAnsi="arial" w:cs="arial"/>
          <w:i/>
          <w:color w:val="000000"/>
          <w:sz w:val="20"/>
          <w:lang w:val="en-US" w:eastAsia="en-US" w:bidi="ar-SA"/>
        </w:rPr>
        <w:t>Hyrniak</w:t>
      </w:r>
      <w:r>
        <w:rPr>
          <w:rFonts w:ascii="arial" w:eastAsia="arial" w:hAnsi="arial" w:cs="arial"/>
          <w:color w:val="000000"/>
          <w:sz w:val="20"/>
          <w:lang w:val="en-US" w:eastAsia="en-US" w:bidi="ar-SA"/>
        </w:rPr>
        <w:t>'s influence in this jurisdiction is as great as it is in Ontario, for two main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First, as Griffin J. noted in </w:t>
      </w:r>
      <w:r>
        <w:rPr>
          <w:rFonts w:ascii="arial" w:eastAsia="arial" w:hAnsi="arial" w:cs="arial"/>
          <w:i/>
          <w:color w:val="000000"/>
          <w:sz w:val="20"/>
          <w:lang w:val="en-US" w:eastAsia="en-US" w:bidi="ar-SA"/>
        </w:rPr>
        <w:t>Century Services Inc. v. LeRoy</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2014 BCSC 702</w:t>
        </w:r>
      </w:hyperlink>
      <w:r>
        <w:rPr>
          <w:rFonts w:ascii="arial" w:eastAsia="arial" w:hAnsi="arial" w:cs="arial"/>
          <w:color w:val="000000"/>
          <w:sz w:val="20"/>
          <w:lang w:val="en-US" w:eastAsia="en-US" w:bidi="ar-SA"/>
        </w:rPr>
        <w:t xml:space="preserve"> at paras. 82-91, Ontario and BC have markedly different rules pertaining to summary judgment and summary trial. In sum:</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B.C. has a summary trial rule; Ontario does not.</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Ontario does not have a summary trial rule, the Ontario summary judgment rule gives more power to motion's judges than the BC summary judgment rule does: Ontario permits assessing and weighing conflicting evidence, even viva voce evidence, while BC does not permit any weighing of the facts on summary judgment. In BC, a court's role on summary judgment is to decide the ultimate question of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Ontario does not have a summary trial process, thus the Ontario summary judgment rule is essentially a blend of BC's summary judgment and summary trial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And, at paras. 89-90 Griffin J. notes the difficulty of applying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without restraint in 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Interestingly, however, the Supreme Court of Canada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did comment on an aspect of these summary applications which does resonate in British Columbia and on this application in particular. In British Columbia, the courts often caution against granting summary judgment or summary trial on only a portion of a party's claim, giving rise to a problem aptly described by Madam Justice Southin as litigating in slices: see </w:t>
      </w:r>
      <w:r>
        <w:rPr>
          <w:rFonts w:ascii="arial" w:eastAsia="arial" w:hAnsi="arial" w:cs="arial"/>
          <w:i/>
          <w:color w:val="000000"/>
          <w:sz w:val="20"/>
          <w:lang w:val="en-US" w:eastAsia="en-US" w:bidi="ar-SA"/>
        </w:rPr>
        <w:t>Coquitlam School District No. 43 v. Clement</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1999 BCCA 164</w:t>
        </w:r>
      </w:hyperlink>
      <w:r>
        <w:rPr>
          <w:rFonts w:ascii="arial" w:eastAsia="arial" w:hAnsi="arial" w:cs="arial"/>
          <w:color w:val="000000"/>
          <w:sz w:val="20"/>
          <w:lang w:val="en-US" w:eastAsia="en-US" w:bidi="ar-SA"/>
        </w:rPr>
        <w:t xml:space="preserve"> at para. 45; </w:t>
      </w:r>
      <w:r>
        <w:rPr>
          <w:rFonts w:ascii="arial" w:eastAsia="arial" w:hAnsi="arial" w:cs="arial"/>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at para. 7. The problem with applications for determination of only part of a claim or defence is that they can give rise to multiple appeals within one action, they risk findings being made without the court being aware of the full factual context, and they risk inconsistent findings at later stages of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similar caution was mentioned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at para. 60, albeit in the context of proceeding with a claim against one of several parties only: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"interest of justice" inquiry goes further, and also considers the consequences of the motion in the context of the litigation as a whole. For example, if some of the claims against some of the parties will proceed to trial in any event, it may not be in the interest of justice to use the new fact-finding powers to grant summary judgment against a single defendant. Such partial summary judgment may run the risk of duplicative proceedings or inconsistent findings of fact and therefore the use of the powers may not be in the interest of justice. On the other hand, the resolution of an important claim against a key party could significantly advance access to justice, and be the most proportionate, timely and cost effective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Second, </w:t>
      </w:r>
      <w:r>
        <w:rPr>
          <w:rFonts w:ascii="arial" w:eastAsia="arial" w:hAnsi="arial" w:cs="arial"/>
          <w:i/>
          <w:color w:val="000000"/>
          <w:sz w:val="20"/>
          <w:lang w:val="en-US" w:eastAsia="en-US" w:bidi="ar-SA"/>
        </w:rPr>
        <w:t>Bacchus Agents</w:t>
      </w:r>
      <w:r>
        <w:rPr>
          <w:rFonts w:ascii="arial" w:eastAsia="arial" w:hAnsi="arial" w:cs="arial"/>
          <w:color w:val="000000"/>
          <w:sz w:val="20"/>
          <w:lang w:val="en-US" w:eastAsia="en-US" w:bidi="ar-SA"/>
        </w:rPr>
        <w:t xml:space="preserve"> is still the governing law in BC. In that case, at para. 7, Southin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however, as in this case, the rule is invoked to try "an issue" rather than the whole case - what I have often characterized as "litigating in slices" - it may become a hindrance to the "just, speedy and inexpensive determination" of the dispute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On whether </w:t>
      </w:r>
      <w:r>
        <w:rPr>
          <w:rFonts w:ascii="arial" w:eastAsia="arial" w:hAnsi="arial" w:cs="arial"/>
          <w:i/>
          <w:color w:val="000000"/>
          <w:sz w:val="20"/>
          <w:lang w:val="en-US" w:eastAsia="en-US" w:bidi="ar-SA"/>
        </w:rPr>
        <w:t>Bacchus Agents</w:t>
      </w:r>
      <w:r>
        <w:rPr>
          <w:rFonts w:ascii="arial" w:eastAsia="arial" w:hAnsi="arial" w:cs="arial"/>
          <w:color w:val="000000"/>
          <w:sz w:val="20"/>
          <w:lang w:val="en-US" w:eastAsia="en-US" w:bidi="ar-SA"/>
        </w:rPr>
        <w:t xml:space="preserve"> is still the governing law in BC, the plaintiff submits: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has come to adopt a strict approach to summary trials seeking judgment on an issue. The Court of Appeal originally followed a more liberal approach, ruling in 1989 that a chambers Judges "should also consider, if a critical issue in the case can be decided, whether that may assist the parties to reach an accommodation on other questions."[10] But in </w:t>
      </w:r>
      <w:r>
        <w:rPr>
          <w:rFonts w:ascii="arial" w:eastAsia="arial" w:hAnsi="arial" w:cs="arial"/>
          <w:i/>
          <w:color w:val="000000"/>
          <w:sz w:val="20"/>
          <w:lang w:val="en-US" w:eastAsia="en-US" w:bidi="ar-SA"/>
        </w:rPr>
        <w:t>Bacchus Agents (1981) Ltd. v. Philippe Dandurand Wines Ltd</w:t>
      </w:r>
      <w:r>
        <w:rPr>
          <w:rFonts w:ascii="arial" w:eastAsia="arial" w:hAnsi="arial" w:cs="arial"/>
          <w:color w:val="000000"/>
          <w:sz w:val="20"/>
          <w:lang w:val="en-US" w:eastAsia="en-US" w:bidi="ar-SA"/>
        </w:rPr>
        <w:t>. Madam Justice Southin cautioned against "litigating in slices". Since Bacchus Agents, many summary trial applications have been dismissed because of this concern.</w:t>
      </w:r>
    </w:p>
    <w:p>
      <w:pPr>
        <w:numPr>
          <w:numId w:val="1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Hryniak is a clear departure from the course charted by Bacchus Agents. While acknowledging that it may not always be appropriate to grant judgment on an issue, the Supreme Court of Canada exhorted Courts to consider whether granting judgment would advance access to justice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For the reasons enunciated by Griffin J. and Ehrcke J. in </w:t>
      </w:r>
      <w:r>
        <w:rPr>
          <w:rFonts w:ascii="arial" w:eastAsia="arial" w:hAnsi="arial" w:cs="arial"/>
          <w:i/>
          <w:color w:val="000000"/>
          <w:sz w:val="20"/>
          <w:lang w:val="en-US" w:eastAsia="en-US" w:bidi="ar-SA"/>
        </w:rPr>
        <w:t>N.J. v. Aitken Estate</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2014 BCSC 419</w:t>
        </w:r>
      </w:hyperlink>
      <w:r>
        <w:rPr>
          <w:rFonts w:ascii="arial" w:eastAsia="arial" w:hAnsi="arial" w:cs="arial"/>
          <w:color w:val="000000"/>
          <w:sz w:val="20"/>
          <w:lang w:val="en-US" w:eastAsia="en-US" w:bidi="ar-SA"/>
        </w:rPr>
        <w:t>, I reject the plaintiff's submission on this point. Similarly to Griffin J., Ehrcke J. said at paras. 34-38: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It must be remembered that </w:t>
      </w:r>
      <w:r>
        <w:rPr>
          <w:rFonts w:ascii="arial" w:eastAsia="arial" w:hAnsi="arial" w:cs="arial"/>
          <w:i/>
          <w:color w:val="000000"/>
          <w:sz w:val="20"/>
          <w:u w:val="single"/>
          <w:lang w:val="en-US" w:eastAsia="en-US" w:bidi="ar-SA"/>
        </w:rPr>
        <w:t>Hyrniak v. Mauldin</w:t>
      </w:r>
      <w:r>
        <w:rPr>
          <w:rFonts w:ascii="arial" w:eastAsia="arial" w:hAnsi="arial" w:cs="arial"/>
          <w:color w:val="000000"/>
          <w:sz w:val="20"/>
          <w:u w:val="single"/>
          <w:lang w:val="en-US" w:eastAsia="en-US" w:bidi="ar-SA"/>
        </w:rPr>
        <w:t xml:space="preserve"> was dealing with the Ontario rules, which are different from our rules in British Columbia</w:t>
      </w:r>
      <w:r>
        <w:rPr>
          <w:rFonts w:ascii="arial" w:eastAsia="arial" w:hAnsi="arial" w:cs="arial"/>
          <w:color w:val="000000"/>
          <w:sz w:val="20"/>
          <w:lang w:val="en-US" w:eastAsia="en-US" w:bidi="ar-SA"/>
        </w:rPr>
        <w:t xml:space="preserve">. In particular, at para. 68, the Court stressed the fact that under Ontario Rule 20.04(2) "The court </w:t>
      </w:r>
      <w:r>
        <w:rPr>
          <w:rFonts w:ascii="arial" w:eastAsia="arial" w:hAnsi="arial" w:cs="arial"/>
          <w:color w:val="000000"/>
          <w:sz w:val="20"/>
          <w:u w:val="single"/>
          <w:lang w:val="en-US" w:eastAsia="en-US" w:bidi="ar-SA"/>
        </w:rPr>
        <w:t>shall</w:t>
      </w:r>
      <w:r>
        <w:rPr>
          <w:rFonts w:ascii="arial" w:eastAsia="arial" w:hAnsi="arial" w:cs="arial"/>
          <w:color w:val="000000"/>
          <w:sz w:val="20"/>
          <w:lang w:val="en-US" w:eastAsia="en-US" w:bidi="ar-SA"/>
        </w:rPr>
        <w:t xml:space="preserve"> grant summary judgment if, (a) the court is satisfied that there is no genuine issue requiring a trial . . ." In contrast, our Rule 9-7(15) uses the word "may" rather than "shall". I therefore do not take </w:t>
      </w:r>
      <w:r>
        <w:rPr>
          <w:rFonts w:ascii="arial" w:eastAsia="arial" w:hAnsi="arial" w:cs="arial"/>
          <w:i/>
          <w:color w:val="000000"/>
          <w:sz w:val="20"/>
          <w:lang w:val="en-US" w:eastAsia="en-US" w:bidi="ar-SA"/>
        </w:rPr>
        <w:t>Hyrniak v. Mauldin</w:t>
      </w:r>
      <w:r>
        <w:rPr>
          <w:rFonts w:ascii="arial" w:eastAsia="arial" w:hAnsi="arial" w:cs="arial"/>
          <w:color w:val="000000"/>
          <w:sz w:val="20"/>
          <w:lang w:val="en-US" w:eastAsia="en-US" w:bidi="ar-SA"/>
        </w:rPr>
        <w:t xml:space="preserve"> to derogate from the proposition that in British Columbia, the question of whether a matter is suitable for summary determination is within the discretion of the trial judge, provided, of course, that that discretion must be exercised judicially.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even in the context of the Ontario rules, the Supreme Court of Canada recognized that not all cases are suitable for summary trial determination. Thus, at para. 50 the Court noted: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These principles are interconnected and all speak to whether summary judgment will provide a fair and just adjudication. When a summary judgment motion allows the judge to find the necessary facts and resolve the dispute, proceeding to trial would generally not be proportionate, timely or cost effective. Similarly, </w:t>
      </w:r>
      <w:r>
        <w:rPr>
          <w:rFonts w:ascii="arial" w:eastAsia="arial" w:hAnsi="arial" w:cs="arial"/>
          <w:color w:val="000000"/>
          <w:sz w:val="20"/>
          <w:u w:val="single"/>
          <w:lang w:val="en-US" w:eastAsia="en-US" w:bidi="ar-SA"/>
        </w:rPr>
        <w:t>a process that does not give a judge confidence in her conclusions can never be the proportionate way to resolve a dispute</w:t>
      </w:r>
      <w:r>
        <w:rPr>
          <w:rFonts w:ascii="arial" w:eastAsia="arial" w:hAnsi="arial" w:cs="arial"/>
          <w:color w:val="000000"/>
          <w:sz w:val="20"/>
          <w:lang w:val="en-US" w:eastAsia="en-US" w:bidi="ar-SA"/>
        </w:rPr>
        <w:t xml:space="preserve">. It bears reiterating that the standard for fairness is not whether the procedure is as exhaustive as a trial, but whether it gives the judge confidence that she can find the necessary facts and apply the relevant legal principles so as to resolve the dispute. [Emphasis in </w:t>
      </w:r>
      <w:r>
        <w:rPr>
          <w:rFonts w:ascii="arial" w:eastAsia="arial" w:hAnsi="arial" w:cs="arial"/>
          <w:i/>
          <w:color w:val="000000"/>
          <w:sz w:val="20"/>
          <w:lang w:val="en-US" w:eastAsia="en-US" w:bidi="ar-SA"/>
        </w:rPr>
        <w:t>Aitkin Estate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para. 59 the Court reiterated that a summary trial is only appropriate if it is in the interest of justice, and at para. 60, it </w:t>
      </w:r>
      <w:r>
        <w:rPr>
          <w:rFonts w:ascii="arial" w:eastAsia="arial" w:hAnsi="arial" w:cs="arial"/>
          <w:color w:val="000000"/>
          <w:sz w:val="20"/>
          <w:u w:val="single"/>
          <w:lang w:val="en-US" w:eastAsia="en-US" w:bidi="ar-SA"/>
        </w:rPr>
        <w:t>recognized that a summary trial may not be in the interest of justice if it results in what has sometimes been called, "litigation by slices"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[59] In practice, whether it is against the "interest of justice" to use the new fact-finding powers will often coincide with whether there is a "genuine issue requiring a trial". It is logical that, when the use of the new powers would enable a judge to fairly and justly adjudicate a claim, it will generally not be against the interest of justice to do so. What is fair and just turns on the nature of the issues, the nature and strength of the evidence and what is the proportional procedure.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The "interest of justice" inquiry goes further, and also considers the consequences of the motion in the context of the litigation as a whole. For example, </w:t>
      </w:r>
      <w:r>
        <w:rPr>
          <w:rFonts w:ascii="arial" w:eastAsia="arial" w:hAnsi="arial" w:cs="arial"/>
          <w:color w:val="000000"/>
          <w:sz w:val="20"/>
          <w:u w:val="single"/>
          <w:lang w:val="en-US" w:eastAsia="en-US" w:bidi="ar-SA"/>
        </w:rPr>
        <w:t>if some of the claims against some of the parties will proceed to trial in any event, it may not be in the interest of justice to use the new fact-finding powers to grant summary judgment against a single defendant. Such partial summary judgment may run the risk of duplicative proceedings or inconsistent findings of fact and therefore the use of the powers may not be in the interest of justice</w:t>
      </w:r>
      <w:r>
        <w:rPr>
          <w:rFonts w:ascii="arial" w:eastAsia="arial" w:hAnsi="arial" w:cs="arial"/>
          <w:color w:val="000000"/>
          <w:sz w:val="20"/>
          <w:lang w:val="en-US" w:eastAsia="en-US" w:bidi="ar-SA"/>
        </w:rPr>
        <w:t xml:space="preserve">. On the other hand, the resolution of an important claim against a key party could significantly advance access to justice, and be the most proportionate, timely and cost effective approach. [Emphasis in </w:t>
      </w:r>
      <w:r>
        <w:rPr>
          <w:rFonts w:ascii="arial" w:eastAsia="arial" w:hAnsi="arial" w:cs="arial"/>
          <w:i/>
          <w:color w:val="000000"/>
          <w:sz w:val="20"/>
          <w:lang w:val="en-US" w:eastAsia="en-US" w:bidi="ar-SA"/>
        </w:rPr>
        <w:t>Aitkin Estate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at para. 68 the Court endorsed the proposition that even though the Ontario rules use the mandatory word "shall" (rather than "may" as in British Columbia), trial judges still retain a discretion, and they should be mindful of the risks posed by unmeritorious motions for summary judgment: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While summary judgment must be granted if there is no genuine issue requiring a trial, the decision to use either the expanded fact-finding powers or to call oral evidence is discretionary. The discretionary nature of this power gives the judge some flexibility in deciding the appropriate course of action. This discretion can act as a safety valve in cases where the use of such powers would clearly be inappropriate. </w:t>
      </w:r>
      <w:r>
        <w:rPr>
          <w:rFonts w:ascii="arial" w:eastAsia="arial" w:hAnsi="arial" w:cs="arial"/>
          <w:color w:val="000000"/>
          <w:sz w:val="20"/>
          <w:u w:val="single"/>
          <w:lang w:val="en-US" w:eastAsia="en-US" w:bidi="ar-SA"/>
        </w:rPr>
        <w:t>There is always the risk that clearly unmeritorious motions for summary judgment could be abused and used tactically to add time and expense. In such cases, the motion judge may choose to decline to exercise her discretion to use those powers and dismiss the motion for summary judgment, without engaging in the full inquiry delineated above</w:t>
      </w:r>
      <w:r>
        <w:rPr>
          <w:rFonts w:ascii="arial" w:eastAsia="arial" w:hAnsi="arial" w:cs="arial"/>
          <w:color w:val="000000"/>
          <w:sz w:val="20"/>
          <w:lang w:val="en-US" w:eastAsia="en-US" w:bidi="ar-SA"/>
        </w:rPr>
        <w:t xml:space="preserve">. [Emphasis in </w:t>
      </w:r>
      <w:r>
        <w:rPr>
          <w:rFonts w:ascii="arial" w:eastAsia="arial" w:hAnsi="arial" w:cs="arial"/>
          <w:i/>
          <w:color w:val="000000"/>
          <w:sz w:val="20"/>
          <w:lang w:val="en-US" w:eastAsia="en-US" w:bidi="ar-SA"/>
        </w:rPr>
        <w:t>Aitkin Estate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I am satisfied that trial courts in British Columbia are still to be guided by the existing jurisprudence from our Court of Appeal and by the wording of Rule 9-7 itself in determining whether a case is suitable for summary trial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Plaintiff's counsel invited me to depart from this reasoning because of how the BC Court of Appeal applied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Spring Hill Farms Limited Partnership v. Nose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Spring Hill Farms</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2014 BCCA 66</w:t>
        </w:r>
      </w:hyperlink>
      <w:r>
        <w:rPr>
          <w:rFonts w:ascii="arial" w:eastAsia="arial" w:hAnsi="arial" w:cs="arial"/>
          <w:color w:val="000000"/>
          <w:sz w:val="20"/>
          <w:lang w:val="en-US" w:eastAsia="en-US" w:bidi="ar-SA"/>
        </w:rPr>
        <w:t xml:space="preserve">. The plaintiff implies that </w:t>
      </w:r>
      <w:r>
        <w:rPr>
          <w:rFonts w:ascii="arial" w:eastAsia="arial" w:hAnsi="arial" w:cs="arial"/>
          <w:i/>
          <w:color w:val="000000"/>
          <w:sz w:val="20"/>
          <w:lang w:val="en-US" w:eastAsia="en-US" w:bidi="ar-SA"/>
        </w:rPr>
        <w:t>Spring Hill Farms</w:t>
      </w:r>
      <w:r>
        <w:rPr>
          <w:rFonts w:ascii="arial" w:eastAsia="arial" w:hAnsi="arial" w:cs="arial"/>
          <w:color w:val="000000"/>
          <w:sz w:val="20"/>
          <w:lang w:val="en-US" w:eastAsia="en-US" w:bidi="ar-SA"/>
        </w:rPr>
        <w:t xml:space="preserve"> marks a departure from </w:t>
      </w:r>
      <w:r>
        <w:rPr>
          <w:rFonts w:ascii="arial" w:eastAsia="arial" w:hAnsi="arial" w:cs="arial"/>
          <w:i/>
          <w:color w:val="000000"/>
          <w:sz w:val="20"/>
          <w:lang w:val="en-US" w:eastAsia="en-US" w:bidi="ar-SA"/>
        </w:rPr>
        <w:t>Bacchus Agents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With respect, I do not agree. </w:t>
      </w:r>
      <w:r>
        <w:rPr>
          <w:rFonts w:ascii="arial" w:eastAsia="arial" w:hAnsi="arial" w:cs="arial"/>
          <w:i/>
          <w:color w:val="000000"/>
          <w:sz w:val="20"/>
          <w:lang w:val="en-US" w:eastAsia="en-US" w:bidi="ar-SA"/>
        </w:rPr>
        <w:t>Spring Hill Farms</w:t>
      </w:r>
      <w:r>
        <w:rPr>
          <w:rFonts w:ascii="arial" w:eastAsia="arial" w:hAnsi="arial" w:cs="arial"/>
          <w:color w:val="000000"/>
          <w:sz w:val="20"/>
          <w:lang w:val="en-US" w:eastAsia="en-US" w:bidi="ar-SA"/>
        </w:rPr>
        <w:t xml:space="preserve"> was a summary trial judgment appeal involving a breach of a settlement agreement. One of the main grounds of appeal (three existed) was that the learned chambers judge did not permit enough oral evidence. At trial, Kloegman J. found that the respondent breached the settlement agreement it made with the respondent. The summary trial began on November 2, 2012 (before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was decided). The Court of Appeal agreed that the case was suitable for summary determination as most of the essential facts were not in dispute. And, to the extent that evidentiary conflicts arose, Kloegman J. could exercise her discretion to apply the principles that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set out in para. 56 of that decision regarding cross-examination. And Kloegman J. did in fact exercise her discretion: she granted leave to both parties to adduce further evidence through cross-examination. Therefore, she was in a position to decide all the necessary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note in passing that McEachern CJ's reasons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were almost prophetic of what the Court would say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At para. 56 of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the Chief Justice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But even if there is a conflict of evidence which cannot easily be resolved on affidavits, as is often the case, the chambers judge is still not required to remit the case to the trial list. </w:t>
      </w:r>
      <w:r>
        <w:rPr>
          <w:rFonts w:ascii="arial" w:eastAsia="arial" w:hAnsi="arial" w:cs="arial"/>
          <w:color w:val="000000"/>
          <w:sz w:val="20"/>
          <w:u w:val="single"/>
          <w:lang w:val="en-US" w:eastAsia="en-US" w:bidi="ar-SA"/>
        </w:rPr>
        <w:t>He could, for example, adjourn the</w:t>
      </w:r>
      <w:r>
        <w:rPr>
          <w:rFonts w:ascii="arial" w:eastAsia="arial" w:hAnsi="arial" w:cs="arial"/>
          <w:color w:val="000000"/>
          <w:sz w:val="20"/>
          <w:lang w:val="en-US" w:eastAsia="en-US" w:bidi="ar-SA"/>
        </w:rPr>
        <w:t xml:space="preserve"> application and order cross-examination on one or more affidavits, or he could order the deponents to appear to be cross-examined before him or another judge after which time it may be possible to find the facts necessary to give judgment. The chambers judge also has the option of employing any of the other procedures included in Rule 18A (5) instead of remitting the case to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read the above quote and now r. 9-7 to invite the same approach that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invites trial judges to entertain in summary proceedings: weigh evidence if it conflicts; invite oral evidence where needed; and, do not shy away from doing either practice, albeit it in a summary trial context. In </w:t>
      </w:r>
      <w:r>
        <w:rPr>
          <w:rFonts w:ascii="arial" w:eastAsia="arial" w:hAnsi="arial" w:cs="arial"/>
          <w:i/>
          <w:color w:val="000000"/>
          <w:sz w:val="20"/>
          <w:lang w:val="en-US" w:eastAsia="en-US" w:bidi="ar-SA"/>
        </w:rPr>
        <w:t>Spring Hill Farms</w:t>
      </w:r>
      <w:r>
        <w:rPr>
          <w:rFonts w:ascii="arial" w:eastAsia="arial" w:hAnsi="arial" w:cs="arial"/>
          <w:color w:val="000000"/>
          <w:sz w:val="20"/>
          <w:lang w:val="en-US" w:eastAsia="en-US" w:bidi="ar-SA"/>
        </w:rPr>
        <w:t>, Kloegman J. followed this approach and the Court of Appeal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Spring Hill Farms</w:t>
      </w:r>
      <w:r>
        <w:rPr>
          <w:rFonts w:ascii="arial" w:eastAsia="arial" w:hAnsi="arial" w:cs="arial"/>
          <w:color w:val="000000"/>
          <w:sz w:val="20"/>
          <w:lang w:val="en-US" w:eastAsia="en-US" w:bidi="ar-SA"/>
        </w:rPr>
        <w:t xml:space="preserve">, in finding that Kloegman J. admitted the necessary evidence, the Court of Appeal mentioned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If Mr. Nose had any additional evidence he ought to have brought it forward in an affidavit and, if it gave rise to a conflict in the evidence sufficient to raise a legitimate question about the suitability of a summary determination, the summary trial judge would have then been in the position to deal with the issue. The trial judge, in fact, gave an opportunity to adduce additional evidence. That opportunity was not taken. </w:t>
      </w:r>
      <w:r>
        <w:rPr>
          <w:rFonts w:ascii="arial" w:eastAsia="arial" w:hAnsi="arial" w:cs="arial"/>
          <w:color w:val="000000"/>
          <w:sz w:val="20"/>
          <w:u w:val="single"/>
          <w:lang w:val="en-US" w:eastAsia="en-US" w:bidi="ar-SA"/>
        </w:rPr>
        <w:t xml:space="preserve">As it is, the decision of the summary trial judge to proceed to deal with this matter on a summary basis exemplifies the principles justifying the importance of summary determination as a tool to improve access to justice that was recently discussed by the Supreme Court of Canada in </w:t>
      </w:r>
      <w:r>
        <w:rPr>
          <w:rFonts w:ascii="arial" w:eastAsia="arial" w:hAnsi="arial" w:cs="arial"/>
          <w:i/>
          <w:color w:val="000000"/>
          <w:sz w:val="20"/>
          <w:u w:val="single"/>
          <w:lang w:val="en-US" w:eastAsia="en-US" w:bidi="ar-SA"/>
        </w:rPr>
        <w:t>Hryniak v Mauldin,</w:t>
      </w:r>
      <w:r>
        <w:rPr>
          <w:rFonts w:ascii="arial" w:eastAsia="arial" w:hAnsi="arial" w:cs="arial"/>
          <w:color w:val="000000"/>
          <w:sz w:val="20"/>
          <w:u w:val="single"/>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u w:val="single"/>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From the above quote, the Court only mentioned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to bolster Kloegman J.'s conclusion that the case was suitable for summary trial determination. In other words, the Court's comment, with great respect to the plaintiff's argument, did not in any way comment upon or analyze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's effect on BC's summary proceeding rules. Rather the Court's comment, as I read it in context, noted that the previous BC civil procedure practices that rr. 1-3 and 9-7 codified and that McEachern CJ noted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are congruent with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's overarching aim: reminding the judiciary to always find the most proportionate, speedy and just mechanism to determine issues on their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While </w:t>
      </w:r>
      <w:r>
        <w:rPr>
          <w:rFonts w:ascii="arial" w:eastAsia="arial" w:hAnsi="arial" w:cs="arial"/>
          <w:i/>
          <w:color w:val="000000"/>
          <w:sz w:val="20"/>
          <w:lang w:val="en-US" w:eastAsia="en-US" w:bidi="ar-SA"/>
        </w:rPr>
        <w:t>Spring Hill Farms</w:t>
      </w:r>
      <w:r>
        <w:rPr>
          <w:rFonts w:ascii="arial" w:eastAsia="arial" w:hAnsi="arial" w:cs="arial"/>
          <w:color w:val="000000"/>
          <w:sz w:val="20"/>
          <w:lang w:val="en-US" w:eastAsia="en-US" w:bidi="ar-SA"/>
        </w:rPr>
        <w:t xml:space="preserve"> did involve conflicting evidence, it did not involve adjudicating just one complex issue, the so-called litigating in slices. Thus, on that basis, it has no impact on either </w:t>
      </w:r>
      <w:r>
        <w:rPr>
          <w:rFonts w:ascii="arial" w:eastAsia="arial" w:hAnsi="arial" w:cs="arial"/>
          <w:i/>
          <w:color w:val="000000"/>
          <w:sz w:val="20"/>
          <w:lang w:val="en-US" w:eastAsia="en-US" w:bidi="ar-SA"/>
        </w:rPr>
        <w:t>Century Services, Aitken Estate</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Walker v. Doe</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2014 BCSC 746</w:t>
        </w:r>
      </w:hyperlink>
      <w:r>
        <w:rPr>
          <w:rFonts w:ascii="arial" w:eastAsia="arial" w:hAnsi="arial" w:cs="arial"/>
          <w:color w:val="000000"/>
          <w:sz w:val="20"/>
          <w:lang w:val="en-US" w:eastAsia="en-US" w:bidi="ar-SA"/>
        </w:rPr>
        <w:t xml:space="preserve"> and their comments on litigating in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short, I do not accede to the argument urged upon me by the plaintiff that </w:t>
      </w:r>
      <w:r>
        <w:rPr>
          <w:rFonts w:ascii="arial" w:eastAsia="arial" w:hAnsi="arial" w:cs="arial"/>
          <w:i/>
          <w:color w:val="000000"/>
          <w:sz w:val="20"/>
          <w:lang w:val="en-US" w:eastAsia="en-US" w:bidi="ar-SA"/>
        </w:rPr>
        <w:t>Spring Hill Farms</w:t>
      </w:r>
      <w:r>
        <w:rPr>
          <w:rFonts w:ascii="arial" w:eastAsia="arial" w:hAnsi="arial" w:cs="arial"/>
          <w:color w:val="000000"/>
          <w:sz w:val="20"/>
          <w:lang w:val="en-US" w:eastAsia="en-US" w:bidi="ar-SA"/>
        </w:rPr>
        <w:t xml:space="preserve"> marks a departure in this jurisdiction from the Court of Appeal's direction in </w:t>
      </w:r>
      <w:r>
        <w:rPr>
          <w:rFonts w:ascii="arial" w:eastAsia="arial" w:hAnsi="arial" w:cs="arial"/>
          <w:i/>
          <w:color w:val="000000"/>
          <w:sz w:val="20"/>
          <w:lang w:val="en-US" w:eastAsia="en-US" w:bidi="ar-SA"/>
        </w:rPr>
        <w:t>Bacchus Agents</w:t>
      </w:r>
      <w:r>
        <w:rPr>
          <w:rFonts w:ascii="arial" w:eastAsia="arial" w:hAnsi="arial" w:cs="arial"/>
          <w:color w:val="000000"/>
          <w:sz w:val="20"/>
          <w:lang w:val="en-US" w:eastAsia="en-US" w:bidi="ar-SA"/>
        </w:rPr>
        <w:t xml:space="preserve"> concerning litigating in slices. Litigating in slices remains a concern that can arise in certain contexts, and I find in the context of the present case, as Travelers correctly notes in my view, it is a very live issue for a variety of reasons, namely the complexity of the issues being litigated, the incomplete factual record and the multitude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Travelers rely upon </w:t>
      </w:r>
      <w:r>
        <w:rPr>
          <w:rFonts w:ascii="arial" w:eastAsia="arial" w:hAnsi="arial" w:cs="arial"/>
          <w:i/>
          <w:color w:val="000000"/>
          <w:sz w:val="20"/>
          <w:lang w:val="en-US" w:eastAsia="en-US" w:bidi="ar-SA"/>
        </w:rPr>
        <w:t>The Owners, Strata Plan LMS 4443 v. Travelers Guarantee Company of Canada</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2013 BCSC 296</w:t>
        </w:r>
      </w:hyperlink>
      <w:r>
        <w:rPr>
          <w:rFonts w:ascii="arial" w:eastAsia="arial" w:hAnsi="arial" w:cs="arial"/>
          <w:color w:val="000000"/>
          <w:sz w:val="20"/>
          <w:lang w:val="en-US" w:eastAsia="en-US" w:bidi="ar-SA"/>
        </w:rPr>
        <w:t xml:space="preserve"> [Strata Plan LMS 4443]. In that case, Pearlman J. was dealing with a very similar issue regarding a warranty coverage determination. The plaintiffs sought summary trial pursuant to Rule 9-7. His Lordship also relied on the same factors as the plaintiff relies upon from </w:t>
      </w:r>
      <w:r>
        <w:rPr>
          <w:rFonts w:ascii="arial" w:eastAsia="arial" w:hAnsi="arial" w:cs="arial"/>
          <w:i/>
          <w:color w:val="000000"/>
          <w:sz w:val="20"/>
          <w:lang w:val="en-US" w:eastAsia="en-US" w:bidi="ar-SA"/>
        </w:rPr>
        <w:t>RC Hotel Ventures Ltd v. Meristar Sub 2C, L.L.C.,</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2008 BCSC 918</w:t>
        </w:r>
      </w:hyperlink>
      <w:r>
        <w:rPr>
          <w:rFonts w:ascii="arial" w:eastAsia="arial" w:hAnsi="arial" w:cs="arial"/>
          <w:color w:val="000000"/>
          <w:sz w:val="20"/>
          <w:lang w:val="en-US" w:eastAsia="en-US" w:bidi="ar-SA"/>
        </w:rPr>
        <w:t xml:space="preserve"> at para. 13. His Lordship also helpfully canvassed previous jurisprudence that addressed summary trial and construction/warranty issues. And at para. 62, he addressed the litigating in slices issue,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Factors for the Court to consider in determining whether it would be unjust to grant relief by summary trial include the amount involved, the complexity of the matter, its urgency, any prejudice likely to arise by reason of delay, the cost of taking the case forward to a conventional trial in relation to the amount involved, the course of the proceedings and any other matters arising for consideration: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(1989), 36 B.C.L.R. (2nd) 202</w:t>
        </w:r>
      </w:hyperlink>
      <w:r>
        <w:rPr>
          <w:rFonts w:ascii="arial" w:eastAsia="arial" w:hAnsi="arial" w:cs="arial"/>
          <w:color w:val="000000"/>
          <w:sz w:val="20"/>
          <w:lang w:val="en-US" w:eastAsia="en-US" w:bidi="ar-SA"/>
        </w:rPr>
        <w:t xml:space="preserve"> at para. 48. Rule 9-7 permits the court to grant judgment "either on an issue or generally." However, there are numerous judgments of this Court and the Court of Appeal emphasizing that the Court must exercise caution in determining whether it ought to give judgment on a single issue. </w:t>
      </w:r>
      <w:r>
        <w:rPr>
          <w:rFonts w:ascii="arial" w:eastAsia="arial" w:hAnsi="arial" w:cs="arial"/>
          <w:color w:val="000000"/>
          <w:sz w:val="20"/>
          <w:u w:val="single"/>
          <w:lang w:val="en-US" w:eastAsia="en-US" w:bidi="ar-SA"/>
        </w:rPr>
        <w:t>Litigating "in slices" should be avoided, particularly where the issue raised on a summary trial application is intertwined with other issues that will be left for determination at trial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Coast Foundation v. Currie</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xml:space="preserve"> at paras. 13-18; </w:t>
      </w:r>
      <w:r>
        <w:rPr>
          <w:rFonts w:ascii="arial" w:eastAsia="arial" w:hAnsi="arial" w:cs="arial"/>
          <w:i/>
          <w:color w:val="000000"/>
          <w:sz w:val="20"/>
          <w:lang w:val="en-US" w:eastAsia="en-US" w:bidi="ar-SA"/>
        </w:rPr>
        <w:t>Bacchus Agents (1981) Ltd. v. Phillipe Dandurand Wines Ltd.</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Prevost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paras. 63-65, His Lordship noted multiple points apposite the application in the present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 the Owners apply for a declaration that would provide a </w:t>
      </w:r>
      <w:r>
        <w:rPr>
          <w:rFonts w:ascii="arial" w:eastAsia="arial" w:hAnsi="arial" w:cs="arial"/>
          <w:color w:val="000000"/>
          <w:sz w:val="20"/>
          <w:u w:val="single"/>
          <w:lang w:val="en-US" w:eastAsia="en-US" w:bidi="ar-SA"/>
        </w:rPr>
        <w:t>partial interpretation of the Warranty.</w:t>
      </w:r>
      <w:r>
        <w:rPr>
          <w:rFonts w:ascii="arial" w:eastAsia="arial" w:hAnsi="arial" w:cs="arial"/>
          <w:color w:val="000000"/>
          <w:sz w:val="20"/>
          <w:lang w:val="en-US" w:eastAsia="en-US" w:bidi="ar-SA"/>
        </w:rPr>
        <w:t xml:space="preserve"> The relief sought will not resolve the litigation, nor will it determine Travelers' liability to the plaintiff. </w:t>
      </w:r>
      <w:r>
        <w:rPr>
          <w:rFonts w:ascii="arial" w:eastAsia="arial" w:hAnsi="arial" w:cs="arial"/>
          <w:color w:val="000000"/>
          <w:sz w:val="20"/>
          <w:u w:val="single"/>
          <w:lang w:val="en-US" w:eastAsia="en-US" w:bidi="ar-SA"/>
        </w:rPr>
        <w:t>By embarking upon a partial determination of one aspect of coverage, the court would be "litigating in slices". The issue raised on this application is intertwined with the interpretation and application of the Warranty as a whole, including its notice requirements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Court should not be asked to make a determination regarding coverage under the Warranty in the absence of all of the facts relating to the application of the Warranty to the specific claims made by the plaintiff</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determination of the narrow issue raised on this application is unlikely to materially reduce the time required for the trial of this action</w:t>
      </w:r>
      <w:r>
        <w:rPr>
          <w:rFonts w:ascii="arial" w:eastAsia="arial" w:hAnsi="arial" w:cs="arial"/>
          <w:color w:val="000000"/>
          <w:sz w:val="20"/>
          <w:lang w:val="en-US" w:eastAsia="en-US" w:bidi="ar-SA"/>
        </w:rPr>
        <w:t>. Regardless of the result, the Owners will still be required to present their expert and lay evidence relating to the condition of the building envelope, its alleged defects, proof of material damage, the interpretation and application of the Warranty, the damages they claim from Travelers and their claims against all of the other defendants in this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And at para. 68, Pearlman J. noted a point that rests on all fours with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significance of the issue raised on this application to both parties, it is virtually certain that the unsuccessful party on a summary trial would appeal, resulting in loss of the current trial date. </w:t>
      </w:r>
      <w:r>
        <w:rPr>
          <w:rFonts w:ascii="arial" w:eastAsia="arial" w:hAnsi="arial" w:cs="arial"/>
          <w:color w:val="000000"/>
          <w:sz w:val="20"/>
          <w:u w:val="single"/>
          <w:lang w:val="en-US" w:eastAsia="en-US" w:bidi="ar-SA"/>
        </w:rPr>
        <w:t>In these circumstances, resolution of the issue by summary trial would be unlikely to promote or assist the settlement of this litigation before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Karakatsanis J. gave useful advice that is apposite to the instant application that accords with Pearlman J.'s comments in the above quote. At paras. 58, 60 and 73 Her Ladyship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inquiry into the interest of justice is, by its nature, comparative. Proportionality is assessed in relation to the full trial. It may require the motion judge to assess the relative efficiencies of proceeding by way of summary judgment, as opposed to trial. This would involve a comparison of, among other things, the cost and speed of both procedures. (Although summary judgment may be expensive and time consuming, as in this case, a trial may be even more expensive and slower.) It may also involve a comparison of the evidence that will be available at trial and on the motion as well as the opportunity to fairly evaluate it. (Even if the evidence available on the motion is limited, there may be no reason to think better evidence would be available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"interest of justice" inquiry goes further, and also considers the consequences of the motion in the context of the litigation as a whole. For example, if some of the claims against some of the parties will proceed to trial in any event, it may not be in the interest of justice to use the new fact-finding powers to grant summary judgment against a single defendant. Such partial summary judgment may run the risk of duplicative proceedings or inconsistent findings of fact and therefore the use of the powers may not be in the interest of justice. On the other hand, the resolution of an important claim against a key party could significantly advance access to justice, and be the most proportionate, timely and cost effective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motion for summary judgment will not always be the most proportionate way to dispose of an action. For example, an early date may be available for a short trial, or the parties may be prepared to proceed with a summary trial. Counsel should always be mindful of the most proportionate procedure for their client and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does not set the default for BC trial judges to summary trial. In some circumstances, trying an issue via a summary trial proceeding will be appropriate, but in other circumstances, for example where there are multiple parties or where the factual matrix is incomplete, the conclusion may be that the issue cannot be resolved expeditiously without a full conventional trial with the latter outcome being the most just and proportional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present case, I am entirely persuaded by Travelers' argument that the plaintiff's application is not appropriate for summary trial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view, this case is the very kind of case that the authorities suggest would not be a suitable candidate for a summary trial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the issues raised in the plaintiff's application interrelate with the issues that will be dealt with at the full trial. As Travelers points out, the plaintiff invites the Court to make a determination of the issues based upon who in fact built certain elements of the South Wing. The plaintiff admits that the evidence it relies upon is somewhat speculative, but the evidence it provides is the best it can do in the circumstances. Travelers notes that it is in the same position as it was not involved in overseeing the project's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Travelers argues, and I agree, that the Third Parties have an obvious interest in the determination of whether a significant proportion of the South Wing construction was WVC's responsibility on the one hand, or those involved in the original construction on the other. Indeed, that determination would likely resolve the allocation of liability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Travelers also makes the valid point that those parties would likely have access to far more documentation and evidence surrounding the issues; therefore findings of fact at the full trial based on such evidence are not necessarily going to be the same as findings of fact made at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Moreover, Travelers points out that the relief sought by it in the Third Party proceedings includes a declaration that WVC is bound to indemnify it under the Builder Agreement and Indemnity Agreement for any amount that may be found due from Travelers to the plaintiff. And Travelers is entitled to a declaration for contribution and indemnity from each of the Third Parties pursuant to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It is also entitled to judgment against the Third Parties for any amount that may be found due from Travelers to the plaintiff. Thus, as Travelers points out, the Third Parties have a very real, substantial interest, on this ground, in establishing that there is no defect to which the Warranty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Travelers also correctly points out that, in the disclosure statement, WVC is not responsible for existing buildings. However, if Travelers is found liable on the Warranty, then because of the indemnity Travelers has from WVC, WVC will be responsible in any event. Therefore, WVC also has a very direct interest in whether Travelers will be successful in asserting its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Travelers makes other points that are most compelling in favour of dismissing the plaintiff's application as not being suitable for determination under r. 9-7. But at this point, I am already convinced, and I will only briefly address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As Travelers submits, the plaintiff must establish that the allegations made by it are in fact "defects". Travelers points out that a defect, under the statutory definition, requires either a breach of the building code or a requirement for repair or replacement because of WVC's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person for whom WVC is legally responsible. As Travelers noted, this determination is a similar question to the one that the plaintiff seeks to resolve in this application. If the whole of the South Wing is WVC's responsibility, in particular on the basis that its failure to undertake repairs of the South Wing might be blameworthy, then this determination tends to prejudge an issue that is not before the Court, namely whether the alleged problems in the South Wing are in fact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agree with Travelers' point that such findings would tend to tie the hands of the trial judge at the full trial, or, at the very least, they would give rise to potentially inconsistent results based on different evidence being reviewed at the summary and full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Finally, Travelers makes the point that in the action itself, the plaintiff is seeking damages for Travelers' breach of coverage for certain alleged defects in the South Wing. It is not, as the objective of the action, and the issue that the Court is actually called upon to decide, merely seeking to comfort itself that it has coverage for the South Wing and the Pan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determining the issue in the action, the plaintiff has the onus of bringing itself within the Warranty's coverage on a balance of probabilities. The onus then shifts to Travelers to prove that an exclusion applies: </w:t>
      </w:r>
      <w:r>
        <w:rPr>
          <w:rFonts w:ascii="arial" w:eastAsia="arial" w:hAnsi="arial" w:cs="arial"/>
          <w:i/>
          <w:color w:val="000000"/>
          <w:sz w:val="20"/>
          <w:lang w:val="en-US" w:eastAsia="en-US" w:bidi="ar-SA"/>
        </w:rPr>
        <w:t>Canadian National Railway v. Royal &amp; Sun Alliance Insurance Co. of Canada</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2008 SCC 66</w:t>
        </w:r>
      </w:hyperlink>
      <w:r>
        <w:rPr>
          <w:rFonts w:ascii="arial" w:eastAsia="arial" w:hAnsi="arial" w:cs="arial"/>
          <w:color w:val="000000"/>
          <w:sz w:val="20"/>
          <w:lang w:val="en-US" w:eastAsia="en-US" w:bidi="ar-SA"/>
        </w:rPr>
        <w:t xml:space="preserve">, at paras. 5, 31 and 34; </w:t>
      </w:r>
      <w:r>
        <w:rPr>
          <w:rFonts w:ascii="arial" w:eastAsia="arial" w:hAnsi="arial" w:cs="arial"/>
          <w:i/>
          <w:color w:val="000000"/>
          <w:sz w:val="20"/>
          <w:lang w:val="en-US" w:eastAsia="en-US" w:bidi="ar-SA"/>
        </w:rPr>
        <w:t>Progressive Homes Ltd. v. Lombard General Insurance</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xml:space="preserve">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Travelers points out that the plaintiff is asking the Court to adjudicate whether the exclusion clauses apply before it has established that it can bring itself within the initial grant of coverage for its actual claims. No onus has yet shifted to Travelers, but the plaintiff seeks to shift the onus by seeking declaratory relief on the applicability of the exclusions on the assumption that it will bring its claims within the initial grant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Whether the defects the plaintiff alleged fall within the coverage provided under the Warranty is in dispute, and as Travelers notes, the plaintiff has provided no direct evidence of the defects. The Court does not have the full evidence in the plaintiff's case regarding the defects, and I agree with Travelers that the threshold question in the plaintiff's case is whether it can bring itself within the grant of coverage. And in short, it has not yet established that point either factually or legally.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addition, I do not see how deciding the single issue raised by the plaintiff in this application would somehow promote settlement. Rather, I consider the present case to be close to the circumstances faced by Pearlman J. in </w:t>
      </w:r>
      <w:r>
        <w:rPr>
          <w:rFonts w:ascii="arial" w:eastAsia="arial" w:hAnsi="arial" w:cs="arial"/>
          <w:i/>
          <w:color w:val="000000"/>
          <w:sz w:val="20"/>
          <w:lang w:val="en-US" w:eastAsia="en-US" w:bidi="ar-SA"/>
        </w:rPr>
        <w:t>Strata Plan LMS 4443</w:t>
      </w:r>
      <w:r>
        <w:rPr>
          <w:rFonts w:ascii="arial" w:eastAsia="arial" w:hAnsi="arial" w:cs="arial"/>
          <w:color w:val="000000"/>
          <w:sz w:val="20"/>
          <w:lang w:val="en-US" w:eastAsia="en-US" w:bidi="ar-SA"/>
        </w:rPr>
        <w:t xml:space="preserve">. In my view, deciding the issue raised by this application will not secure the just, speedy and inexpensive determination of the proceeding on its merits given the importance of the issue in dispute and the complexity of the proceeding. As Karakatsanis J. noted at para. 60 of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"A motion for summary judgment will not always be the most proportionate way to dispose of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result, the plaintiff's application to hear and decide the issue pursuant to Rule 9-7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9"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Strata Plan LMS 3851 v. Homer Street Development Limited Partnership, [2008] B.C.J. No. 1618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2-5, 10-13, 16-20, 23-27 and 30 - May 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7-9, June 26-29, July 16-20 and 27, August 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7 and October 9-12 and 15-19,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S76792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1618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1160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171 A.C.W.S. (3d) 752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3851, and others, Plaintiffs, and Homer Street Development Limited Partnership, Formerly Cressey (Homer) Limited Partnership, and others, Defendants, and O'Neill Hotels &amp; Resorts Ltd. and others,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0"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2" w:name="Keywords_40"/>
      <w:bookmarkEnd w:id="262"/>
      <w:r>
        <w:rPr>
          <w:rFonts w:ascii="arial" w:eastAsia="arial" w:hAnsi="arial" w:cs="arial"/>
          <w:b/>
          <w:color w:val="000000"/>
          <w:sz w:val="20"/>
          <w:lang w:val="en-US" w:eastAsia="en-US" w:bidi="ar-SA"/>
        </w:rPr>
        <w:t>Real property law — Condominiums — Developers — Obligations of — Disclosure statement — Revised disclosure statements — Action by plaintiff investors in hotel strata lots, alleging breaches of duty in the Disclosure Statement, allowed — Developers and their Directors liable for not providing the decreased expected average occupancy rates in an amended Disclosure Statement and for attributing the statement "tourism is the number one growth industry in Vancouver" to Hospitality Valuation Services, Canada (HVS) — HVS negligently formulated the projected occupancy rates and the Developers and OHR made negligent representations of the objective reasonableness of the projections — Developer and Directors failed to disclose a budget which had been accepted by the Developers — Real Estate Act, 1996, s. 73, s. 75 — Real Estate Act, 1979, s. 56, s. 59.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Securities regulation — Prospectus distributions — Requirement to amend — Prospectus forms and content — Forecasts — Action by plaintiff investors in hotel strata lots, alleging breaches of duty in the Disclosure Statement, allowed — Developers and their Directors liable for not providing the decreased expected average occupancy rates in an amended Disclosure Statement and for attributing the statement "tourism is the number one growth industry in Vancouver" to Hospitality Valuation Services, Canada (HVS) — HVS negligently formulated the projected occupancy rates and the Developers and OHR made negligent representations of the objective reasonableness of the projections — Developer and Directors failed to disclose a budget which had been accepted by the Developers — Real Estate Act, 1996, s. 73, s. 75 — Real Estate Act, 1979, s. 56, s. 59.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Securities regulation — Civil liability — Misrepresentation in prospectus — Persons liable — Issuer — Directors — Persons who signed the prospectus — Persons who consent to disclosure — Action by plaintiff investors in hotel strata lots, alleging breaches of duty in the Disclosure Statement, allowed — Developers and their Directors liable for not providing the decreased expected average occupancy rates in an amended Disclosure Statement and for attributing the statement "tourism is the number one growth industry in Vancouver" to Hospitality Valuation Services, Canada (HVS) — HVS negligently formulated the projected occupancy rates and the Developers and OHR made negligent representations of the objective reasonableness of the projections — Developer and Directors failed to disclose a budget which had been accepted by the Developers — Real Estate Act, 1996, s. 73, s. 75 — Real Estate Act, 1979, s. 56, s. 59.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3" w:name="Case Summary_35"/>
            <w:bookmarkEnd w:id="2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investors in strata lots in a hotel (the Investors), alleging breaches of the duty of care in the disclosure statements, by the defendant developers (the Developers) and the directors thereof (the Directors), Hospitality Valuation Services, Canada (HVS) and O'Neil Hotels &amp; Resorts Ltd. (OHR). The Developers provided the Investors with a Disclosure Statement dated November 8, 1996 (the Disclosure Statement), which attached and incorporated a number of other documents including an Auditor's Report on Financial Projection (Exhibit M) and an HVS opinion letter of November 8, 1996 (Exhibit N). Note 2(a) to the Notes of Financial Projection in Exhibit M provided that the hotel occupancy rates were projected to be 72.1 per cent in 1999, 76.7 per cent in 2000 and 80 per cent for the three years thereafter. The HVS opinion letter at Exhibit N stated that HVS was of the considered opinion that the hotel's operating projections were reasonable and achievable. Section 6.7 of the Disclosure Statement p rovided that HVS had advised the Developers that "tourism is the number one growth industry in Vancouver"; it was the evidence of HVS that HVS was never consulted on this matter and never advised the Developers as stated. OHR presented a draft business plan to the Developers on November 6, 1998, which concluded that the hotel was expected to perform at only 80 to 90 per cent of the Disclosure Statement projections; the draft plan contained a detailed operating budget for 1999. On January 21, 1999, HVS sent a draft report to OHR which showed lower occupancies than initially projected in the years 2001 and following. On March 19, 1999, the Developers issued an amendment to the Disclosure Statement (the Amended Disclosure Statement) which contained the same expected average occupancy rates as the Disclosure Statement and did not contain the 1999 budget, which had been accepted by the Developers. The Sale Agreements between the Investors and the Developers were completed on April 13, 1999.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4" w:name="Holdings of Court_29"/>
            <w:bookmarkEnd w:id="26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Developers and Directors were liable to make compensation to the Investors for the material false statements regarding the expected average occupancy rates and attributing "tourism is the number one growth industry in Vancouver" to HVS. HVS negligently formulated the projected occupancy rates and the Developers and OHR made negligent representations of the objective reasonableness of the projections. The Developer and Directors made a false declaration in the Amended Disclosure Statement in not disclosing the 1999 budget which had been accepted by the Developers.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5" w:name="Legislation Cited_28"/>
      <w:bookmarkEnd w:id="2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1"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Act, </w:t>
      </w:r>
      <w:r>
        <w:rPr>
          <w:rFonts w:ascii="arial" w:eastAsia="arial" w:hAnsi="arial" w:cs="arial"/>
          <w:i/>
          <w:color w:val="000000"/>
          <w:sz w:val="20"/>
          <w:lang w:val="en-US" w:eastAsia="en-US" w:bidi="ar-SA"/>
        </w:rPr>
        <w:t>RSBC 1996, CHAPTER 124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Estate Act, RSBC 1996, CHAPTER 397, S. 66, s. 73, s.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Estate Act, 1979, c. 356, s. 50, s. 50.1, s. 53, s. 54, s. 55, s. 56, s. 59, s.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Securities Act, </w:t>
      </w:r>
      <w:r>
        <w:rPr>
          <w:rFonts w:ascii="arial" w:eastAsia="arial" w:hAnsi="arial" w:cs="arial"/>
          <w:i/>
          <w:color w:val="000000"/>
          <w:sz w:val="20"/>
          <w:lang w:val="en-US" w:eastAsia="en-US" w:bidi="ar-SA"/>
        </w:rPr>
        <w:t>RSBC 1996, CHAPTER 418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6" w:name="Counsel_40"/>
      <w:bookmarkEnd w:id="2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B.W. Dixon and S.T.C. Warnett.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Homer Street Development Limited Partnership and others: D.C. Harbottle and G.N.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MM&amp;R Valuation Services Inc. dba HVS Hospitality Valuation Services, Canada: G.M. Nijman and H. Bromley.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O'Neill Hotels &amp; Resorts. Ltd., OHR Grand Management Ltd., Robert F. O'Neill, and John C. O'Neill: D.G.S. Rae, Q.C. and A.D. Borrell.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7" w:name="Judgment_40"/>
      <w:bookmarkEnd w:id="267"/>
      <w:r>
        <w:pict>
          <v:line id="_x0000_s1223"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Second 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Disclosure Statement of November 8, 1996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Master Agreement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1996-1999 Overview</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 of "Projections"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Attribution of the Financial Projection to OHR in the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Disclosure Statement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Material False Statements and s. 59 of the </w:t>
      </w:r>
      <w:r>
        <w:rPr>
          <w:rFonts w:ascii="arial" w:eastAsia="arial" w:hAnsi="arial" w:cs="arial"/>
          <w:i/>
          <w:color w:val="000000"/>
          <w:sz w:val="20"/>
          <w:lang w:val="en-US" w:eastAsia="en-US" w:bidi="ar-SA"/>
        </w:rPr>
        <w:t>Real Estate</w:t>
      </w:r>
    </w:p>
    <w:p>
      <w:p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Act</w:t>
      </w:r>
      <w:r>
        <w:rPr>
          <w:rFonts w:ascii="arial" w:eastAsia="arial" w:hAnsi="arial" w:cs="arial"/>
          <w:sz w:val="20"/>
          <w:lang w:val="en-US" w:eastAsia="en-US" w:bidi="ar-SA"/>
        </w:rPr>
        <w:cr/>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Note 2(a) of the Notes to Financial Projection</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6.7 of the Disclosure Statement</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False Representations at Common Law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Note 2(a)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Duty of Care with respect to the Projections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Standard of care with respect to the Projections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Representation of objective reasonableness by the Developer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OHR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Evidence of Ms. MacDonald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Expert Evidence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Kleinschmidt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Flood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Rosen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on the expert evidence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Investors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HVS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OHR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Developers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Investors Reply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Discussion and Analysis of the Reasonableness of the Occupancy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Projections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Consistency between Penetration Analysis and Month by Month</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Analysis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1995 Segment Penetration Rates used for 1999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Missing Information in the HVS Opinion Letter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Failure to ensure the exchange of relevant information between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OHR and HVS and collaborate on the projections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Projections of Expenses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Rooms Expenses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Energy Expenses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Operations and Maintenance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Disclosure Declarations in 1996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1999 Alleged False Representations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Amendment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Who benefits from the Second Amendment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Alleged non-disclosure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Schedule "D" to the HMA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OHR Grand the alter ego of OHR?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 of Findings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8" w:name="J.D. TRUSCOTT J._0"/>
            <w:bookmarkEnd w:id="268"/>
            <w:r>
              <w:rPr>
                <w:rFonts w:ascii="arial" w:eastAsia="arial" w:hAnsi="arial" w:cs="arial"/>
                <w:b/>
                <w:color w:val="000000"/>
                <w:sz w:val="30"/>
                <w:lang w:val="en-US" w:eastAsia="en-US" w:bidi="ar-SA"/>
              </w:rPr>
              <w:t>J.D. 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individual plaintiffs (the Investors), apart from the strata corporation, are owners of strata lots in a hotel in downtown Vancouver, British Columbia, known as the Westin Grand Hotel (the Westin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Investors purchased their interests in the Westin Grand through Offers to Purchase and Agreements of Sale (the Sale Agreements) following the receipt of a Disclosure Statement of November 8, 1996 issued under the authority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1979, ch. 356, and the </w:t>
      </w:r>
      <w:r>
        <w:rPr>
          <w:rFonts w:ascii="arial" w:eastAsia="arial" w:hAnsi="arial" w:cs="arial"/>
          <w:b/>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 418</w:t>
      </w:r>
      <w:r>
        <w:rPr>
          <w:rFonts w:ascii="arial" w:eastAsia="arial" w:hAnsi="arial" w:cs="arial"/>
          <w:color w:val="000000"/>
          <w:sz w:val="20"/>
          <w:lang w:val="en-US" w:eastAsia="en-US" w:bidi="ar-SA"/>
        </w:rPr>
        <w:t xml:space="preserve">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Investors claim is against: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Homer Street Development Limited Partnership, formerly Cressey (Homer) Limited Partnership, Trilogy Robson Development Limited Partnership and 455322 British Columbia Ltd., carrying on business as The Grand Development Partnership (the Developer or Developers). The Developers are sued as responsible for the issuance of the Disclosure Statement, the sale of all the strata lots in the Westin Grand to the Investors, the Amendments to the Disclosure Statement, and delivery of the Hotel Management Agreement ("HMA") to the Investors in April 1999 for execution.</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Cressey Development Corporation (Cressey) as the general partner of Homer Street Development Limited Partnership and alleged as such to be responsible for its debts and liabilities.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Norman Cressey and Joan Cressey as officers and directors of Cressey (the Cressey directors).</w:t>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511953 British Columbia Ltd., formerly Trilogy Pacific Enterprises Corporation (Trilogy) as the general partner of Trilogy Robson Development Limited Partnership and alleged as such to be responsible for its debts and liabilities.</w:t>
      </w:r>
    </w:p>
    <w:p>
      <w:pPr>
        <w:numPr>
          <w:numId w:val="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John deC. Evans, Jonathon Wener and Douglas Pascal, as officers and directors of Trilogy (the Trilogy directors).</w:t>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Norman Cressey, Scott Cressey, John deC. Evans and Jonathon Wener as officers and directors of 455322 British Columbia Limited (the 455322 directors).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MM&amp;R Valuation Services, Inc. doing business as HVS Hospitality Valuation Services, Canada (HVS). HVS is sued over its opinion letter of November 8, 1996 on the Westin Grand's annual operating projections for the initial five years, included in the Disclosure Statement.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O'Neill Hotels &amp; Resorts Ltd. (OHR). OHR is also sued as responsible for the Westin Grand's annual operating projections included in the Disclosure Statement, and as responsible for any liability of OHR Grand Management Ltd. (OHR Grand).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OHR Grand is sued over presentment in April 1999 of the HMA for execution by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Cressey directors, the Trilogy directors and the 455322 directors are collectively referred to herein as "the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Investors and the strata corporation also claim against some or all of the defendants with respect to the operation of the Westin Grand after it opened, but on my orders this trial was restricted to the issues of whether there were any breaches of duties of care to the Investors through representations by any of the defendants in the original Disclosure Statement, or in amendments to the Disclosure Statement, or in the delivery of the HMA for execution in April 1999 (all as defined in the Second 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These issues included the issue of the duty of any of the defendants to disclose updated financial information to the Investors before the opening of the Westin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Specifically the trial did not include the issue of whether any Investor had in fact reasonably relied upon any misrepresentation made to that investor, nor if so, what loss if any that Investor may have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All issues other than those involved in this trial were reserved for determination until after the resolution of the issues involved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Second 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Second Further Amended Statement of Claim filed October 6, 2006 alleges that the Developers were obliged by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Securities Act</w:t>
      </w:r>
      <w:r>
        <w:rPr>
          <w:rFonts w:ascii="arial" w:eastAsia="arial" w:hAnsi="arial" w:cs="arial"/>
          <w:color w:val="000000"/>
          <w:sz w:val="20"/>
          <w:lang w:val="en-US" w:eastAsia="en-US" w:bidi="ar-SA"/>
        </w:rPr>
        <w:t xml:space="preserve"> to file and deliver to each prospective Investor a Disclosure Statement containing prescribed information, and to amend that Disclosure Statement if a change occurred with respect to any matter that would have the affect of rendering a statement in the Disclosure Statement false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It is alleged that pursuant to s. 59 of the 1979 edition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or s. 75 of the 1996 edition, the Investors are deemed to have relied on any representations made in the Disclosure Statement and the Developers and their Directors are liable under those sections to compensate the Investors for any loss or damage they have sustained as a result of any material false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Further it is alleged that by the Disclosure Statement the Developers and Directors as well as OHR expressly or impliedly represented and warranted to the Investors that:</w:t>
      </w:r>
      <w:r>
        <w:rPr>
          <w:rFonts w:ascii="arial" w:eastAsia="arial" w:hAnsi="arial" w:cs="arial"/>
          <w:sz w:val="20"/>
          <w:lang w:val="en-US" w:eastAsia="en-US" w:bidi="ar-SA"/>
        </w:rPr>
        <w:cr/>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return on investment would be sufficient to cover each Investor's assumed 75% mortgage plus cash returns on an assumed 25% down payment of 11.5% in 1999, 10.4% in 2000, 13.1% in 2001, 11.5% in 2002, and 11.5% in 2003 (the "Projections");</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undisclosed material facts that would, or might, prevent the Projections from being realized or seriously undermine the accuracy of the Projections;</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assumptions and hypotheses on which the Projections were based were reasonable and reflected circumstances that were likely to exist;</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Projections had been prepared in good faith, using reasonable care and skill, objectively and independently and had not been prepared or adjusted so as to unreasonably or artificially increase the projected returns to Investors;</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Projections were based on room revenues that assumed hotel occupancy rates equal to the expected average occupancy rates for downtown Vancouver hotels of similar quality except for 1999 and 2000 which were assumed at 92.5% and 97.5% of the average, respectively, recognizing the start-up nature of the operation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Representations and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alleged that the Projections were prepared in whole or in part by OHR and reviewed, approved and published to the Investors by the Developers and the Directors through the Disclosure Statement. It is alleged that OHR knew and intended that the Projections would be published to the Investors for the purpose of inducing entry into the Sale Agreements and the HMA.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also alleged the Developers and the Directors expressly or impliedly represented and warranted to the Investors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Developers had consulted with HVS and had been advised that:</w:t>
      </w:r>
    </w:p>
    <w:p>
      <w:pPr>
        <w:numPr>
          <w:numId w:val="1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occupancy rate in Vancouver last year (1995) was as high as 78%;</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demand for downtown luxurious hotels is more than supply; and</w:t>
      </w:r>
    </w:p>
    <w:p>
      <w:pPr>
        <w:numPr>
          <w:numId w:val="1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tourism is the number one growth industry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alleged that HVS was retained by the Developers to review and comment on the Projections and prepare an opinion letter dated November 8, 1996 (the "HVS Opinion letter"), that to its knowledge its opinion letter was intended to and did form part of the Disclosure Statement and its letter, opined that the Projections were "reasonable and achievable" and the Hotel would "perform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alleged that HVS impliedly represented that the assumptions on which the Projections were based were accurately described in the Disclosure Statement, that its opinion was prepared with reasonable care and skill and that there were no undisclosed material facts that would, or might, prevent the Projections from being reasonable and achievable or prevent the Westin Grand from performing well (the "HVS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alleged that the Disclosure Statement was incorporated by reference into each Sale Agreement that the Investors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alleged that the Representations and Warranties, the Projections and the HVS Representations were made negligently in that:</w:t>
      </w:r>
      <w:r>
        <w:rPr>
          <w:rFonts w:ascii="arial" w:eastAsia="arial" w:hAnsi="arial" w:cs="arial"/>
          <w:sz w:val="20"/>
          <w:lang w:val="en-US" w:eastAsia="en-US" w:bidi="ar-SA"/>
        </w:rPr>
        <w:cr/>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the Directors, OHR and HVS knew or ought to have known that the Projections would not, or could not, be achieved;</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the Directors, OHR and HVS knew or ought to have known that the assumptions and hypotheses on which the Projections were based were unreasonable and reflected circumstances that were not likely to exist;</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the Directors, OHR and HVS knew or ought to have known that the rooms revenues in the Projections were based on occupancy rates above the expected average occupancy rates for downtown hotels of similar quality in Vancouver in 1999 to 2003;</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and the Directors knew or ought to have known that HVS had not advised and it was not true that:</w:t>
      </w:r>
    </w:p>
    <w:p>
      <w:pPr>
        <w:numPr>
          <w:numId w:val="19"/>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occupancy rate in Vancouver last year (1995) was as high as 78%;</w:t>
      </w:r>
    </w:p>
    <w:p>
      <w:pPr>
        <w:numPr>
          <w:numId w:val="20"/>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demand for downtown luxurious hotels is more than supply; and</w:t>
      </w:r>
    </w:p>
    <w:p>
      <w:pPr>
        <w:numPr>
          <w:numId w:val="21"/>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tourism is the number one growth industry in Vancouver.</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alternatively, the Developers, the Directors, OHR and HVS failed to review and change the Projections before the Investors completed their purchases to reflect changes in circumstances that they knew or ought to have known made the Projections unreliable or increased the risk that they would not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alleged against OHR Grand and the Developers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 about April, 1999, by delivery for execution of a form of HMA containing the same projected operating results that formed the basis for the Projections, OHR Grand and the Developers expressly or impliedly represented to the Investors and each of them that, as of that time, the projected operating results and the Projections derived therefrom:</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represented the best judgment of OHR Grand as to the most probable set of economic conditions and the planned course of action for the hotel operations;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sound and reasonable and were prepared by OHR Grand in good faith, using reasonable care and skill;</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believed by OHR Grand and the Developers to be reasonable and OHR Grand and the Developers were not aware of any undisclosed facts tending to seriously undermine their accuracy.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(collectively the "April 1999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alleged that OHR Grand and the Developers intended that the HMA, containing the same projected operating results that formed the basis for the Projections, be delivered to the Investors for the purpose of inducing their completion of the Sale Agreements and entry into the HMA and that by the terms of the HMA, OHR Grand represented that Schedule D, containing the projected operating results that formed the basis of the Projections, was the Operating Plan and Budget for the first Operating Year, as defined in the HMA.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alleged that these April 1999 representations were made by the Developers and OHR Grand knowing them to be false, without belief in their truth or recklessly not caring whether they were true or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alleged that the Projections, the Representations and Warranties, the HVS Representations and the April 1999 Representations were false, inaccurate and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alleged the Projections were never achievable or, alternatively, were achievable only in circumstances that were unlikely to exist, as the defendants knew or ought to have known. It is alleged the Projections had not been prepared in good faith, using reasonable care and skill, objectively and independently, but had been adjusted to induce the Investors to make their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Alternatively, it is alleged the Projections were not achievable because of changes in circumstances that were foreseen or foreseeable by the defendants, and which should have been, but were not, disclosed to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Against the Developers only it is alleged that the First Amendment to the Disclosure Statement dated July 22, 1997 and the Second Amendment dated March 19, 1999 did not include notification of any changes to the Projections and at the time of the Second Amendment the Developers knew or ought to have known that the assumptions underlying the Projections in the original Disclosure Statement had been fundamentally changed and failed to disclose this to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Disclosure Statement of November 8,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order to contract with the Investors through the Sale Agreements the Developers had to first prepare and file with the Superintendent of Real Estate a Disclosure Statement as required by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and provide that Disclosure Statement to each prospective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Disclosure Statement in total is a very lengthy and detailed document and attaches and incorporates a number of other documents which themselves are quite lengthy and detailed. These attached documents are deemed to be included in and form an integral part of the Disclosure Statement by the wording of the Disclosure Statement itself. Such attached documents include the Sale Agreement to be executed by each Investor at Exhibit G, the HMA to be executed between each Investor and OHR at Exhibit K, an Auditor's Report on Financial Projection with accompanying Financial Projection at Exhibit M and the HVS opinion letter of November 8, 1996 at Exhibit 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Disclosure Statement informed the Investors in s. 7.1 that they would be required to enter into the Sale Agreement. The Sale Agreement required the Investor to acknowledge receipt of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Disclosure Statement informed the investors in s. 6.3 that OHR would be managing the Hotel and they would each be required to enter into the HMA.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Article 5.1(1) of the HMA stated that the Operating Plan and Budget for the first operating year had been prepared by the manager (OHR) as set forth in Schedule D to that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Operating Plan and Budget in Schedule D to the HMA set out revenue and expense figures, and operating income and net income figures for the years ending December 31, 1999 through December 31, 2003 in a one page document that referenced a number of notes to the line items, although no notes were found in Schedule D or appeared anywhere else in the HMA.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Article 5.1(2) of the HMA stated that after the first operating year the manager would prepare a preliminary operating plan and budget for the following year and review it with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"Operating year" was defined in Article 1.1 of the HMA as the period from the commencement date (which itself was defined as the date that the Hotel opened to the general public for business as a hotel) to and including December 31 in the year after the year in which the commencement date occurred, and thereafter each calendar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Section 1.4 of the Disclosure Statement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Financial Projection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financial projection (the "Projection") attached as Exhibit M to this Disclosure Statement was prepared by O'Neill for approval by the management committee of the Developer on November 8, 1996. The Projection has been prepared based on assumptions and hypotheses which reflect the course of action planned by the Developer and O'Neill for the period covered by the Projection (the "Projection Period") given the judgment of the management committee of the Developer and management of O'Neill as of November 8, 1996, as to the most probable set of economic conditions. The Projection has been prepared solely to provide information to prospective purchasers of the Hotel Lots. An Auditor's Report on the Projection is included as part of Exhibit M and a hotel appraiser's opinion letter as to the reasonableness of the Projection is included as Exhibit 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reader is cautioned that some of the assumptions and hypotheses used in the preparation of the Projection, although considered reasonable by the Developer and O'Neill at the time of preparation, may prove to be incorrect. The actual results achieved for the Projection Period will vary from the Projection and the variations may be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Exhibit M to the Disclosure Statement was entitled "Financial Forecast and Auditors' Report" and consisted of an Auditors' Report on Financial Projection, a Projected Statement of Net Income for the years ending December 31, 1999 through December 31, 2003 as Exhibit "A", a Projected Net Cash Flow to an Individual Strata Lot Owner and Cash Return on Down Payment as Exhibit "B", and Notes to Financial Projection as Exhibit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Projected Statement of Net Income, Exhibit "A" to the Auditors' Report, was identical in makeup and contents to the Operating Plan and Budget attached as Schedule D to the HMA, save for the final line item in Exhibit "A", "Owner's share of net income per $1,000 of projected value", which was an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notes referenced against the line items in the Projected Statement of Net Income, Exhibit "A" to the Auditors' Report, were those notes at Exhibit "C" to the Auditors' Report. These presumably were the same notes referenced against the same line items in the Operating Plan and Budget in Schedule D of the HMA.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Exhibit "B" to the Auditors' Report was an illustration of the return to an owner of a $208,800 hotel strata lot, based on hypotheses contained in Note 1(f) in Exhibit "C", and set out cash returns of between 10.4% and 13.1% for the years 1999-2003, on an assumed down payment of 25%. These are the "Projections" referenced as such in the Second 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Auditors' Report described the accompanying Financial Projection as consisting of both Exhibit "A" and "B" and stated that they had been "prepared by management using assumptions, including the hypotheses set out in Note 1, with an effective date of November 8, 1996." Note 1, in Exhibit "C" set out a number of matters referred to as hypotheses.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introduction to the Notes in Exhibit "C" to the Auditors' Report,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accompanying financial projection has been prepared on the basis of the following hypotheses and assumptions provided by the management of O'Neill Hotels &amp; Resorts, Ltd. and the management committee of The Grand Development Partnership as of November 8, 1996. The assumptions used in the preparation of the financial projection are based on management's judgment as to the most probable set of economic conditions if the hypotheses below are realised. The hypotheses are assumptions which are consistent with management's intended course of action and represent plausible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assumptions disclosed herein are those that management believes are significant to the projection. The assumptions are inherently subject to uncertainty and variations depending on evolving events and circumstances occurring subsequent to the date of this projection. This financial projection is based on hypotheses and there is a risk that actual results will vary, perhaps materially, from the results projected.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projection is prepared for inclusion in the disclosure statement dated November 8, 1996 with respect to an offering of 207 hotel strata lots by The Grand Development Partnership and may not be appropriate for other purposes. Management does not intend to update this projection subsequent to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Note 2(a)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Revenue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Rooms Revenue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Rooms revenue is derived from assumptions regarding hotel occupancy levels and average daily room rates. The following assumptions were derived in consultation with an independent consulting company with extensive experience in the hotel industry, Hospitality Valuation Services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1255"/>
        <w:gridCol w:w="1359"/>
        <w:gridCol w:w="1255"/>
        <w:gridCol w:w="1359"/>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046"/>
        <w:gridCol w:w="1359"/>
        <w:gridCol w:w="1255"/>
        <w:gridCol w:w="1359"/>
        <w:gridCol w:w="1255"/>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Hotel</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72.1%</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76.7%</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80.0%</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occupancy</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rate</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1464"/>
        <w:gridCol w:w="1255"/>
        <w:gridCol w:w="1359"/>
        <w:gridCol w:w="1255"/>
        <w:gridCol w:w="1359"/>
        <w:gridCol w:w="230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Average</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$167.73</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$177.53</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$185.26</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$190.82</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$196.55</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daily</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room</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rate</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hotel occupancy rates are equal to the expected average occupancy rates for downtown Vancouver hotels of similar quality except for 1999 and 2000 which are 92.5% and 97.5% of the average, respectively, recognizing the start-up nature of the operation.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average daily room rates are based on a month by month analysis of the competitive hotels actual average room rates by month in 1995, and adjusted for inflation and real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note 2 relates to the line item "Rooms Revenue" in the Projected Statement of Net Income for 1999-2003 in Exhibit 'A' to the Auditors'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HVS opinion letter of November 8, 1996 at Exhibit N was addressed to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HVS letter stated that the Grand Development Partnership had retained HVS to review and comment on the annual operating projections prepared by OHR for the Westin Grand and the letter was signed by Elizabeth MacDonald as Managing Director -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HVS stated in the letter that it had reviewed the Hotel's annual operating projections for the initial five years (only as to the operating income before debt service) as prepared by OHR, and was of the considered opinion that they were reasonable and achievable based on the rationale that followed in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letter stated that the projected room revenues were based on estimated occupancy levels and average room rates. The proposed 207 suite hotel's occupancy was estimated to be 72% in its first year of operation, increasing to 80% by its third year, which was stated as believed to be reasonable in light of the strength of the downtown Vancouver hotel market and HVS's review of hotel occupancy levels and average room rates currently being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letter identified six hotels believed to be competitive and stated that in 1995 they achieved an overall average occupancy of 78.6% and a $148.63 average daily room rate and to date in 1996 both occupancies and average daily room rates had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HVS attached to its letter its analysis of month by month occupancy and average room rates for the hotel for 1999-2003 that it said was done for the purpose of determining if the projected occupancy levels and average room rates were reasonable. This analysis was stated to be based on monthly occupancy levels and average room rates achieved at the competitive hotels with a 4% annual increase in room rate to obtain the achievable future average room rates in 1999-2003.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letter went on to state that HVS had completed a room night analysis, taking into consideration future growth in room night demand in the competitive market, as well as future growth in the competitive room supply. HVS explained that it applied growth factors to each demand segment to estimate future room demand and also included unaccommodated and induced demand. No percentage was given for estimated future growth in room night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For future competitive rooms supply it stated that there were over 12 hotels proposed or rumoured for downtown Vancouver and it had increased the room supply by 60% by adding 1299 guest rooms to the existing competitive rooms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HVS cautioned that the Westin Grand's estimated operating results might be positively or negatively affected depending on which new hotels entered the competitive hotel market but stated that based on its assumptions of future demand and supply and its knowledge of Westin Hotels and their outstanding performance in other hotel markets, it believed the proposed occupancies and average room rates to be achievable.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letter reviewed a number of projected expenses including departmental, energy, and property, operations and maintenance expenses and offered the concluding opinion that given proper and efficient management and marketing the Westin Grand would perform well in the competitive market and the annual operating projection for the initial five years was reasonable and achievable.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Disclosure Statement was signed for the Developers by their partners and directors of the partners under a declaration stating that "the foregoing declarations constitute full, true and plain disclosure of all material facts relating to the development ... as required by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 as of the 8th day of November,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Evans as a director of Trilogy, the general partner of Trilogy Robson Development Limited Partnership, and as a director of 455322 B.C. Ltd., together with Mr. Norm Cressey as a director of Cressey, the general partner of Cressey (Homer) Limited Partnership, signed separate declarations stating that the Disclosure Statement "contains no untrue statement of a material fact, and does not omit to state a material fact that is required to be stated or that is necessary to prevent a statement that is made from being false or misleading in the circumstances in which it was made, and that every matter of fact stated in the Disclosure Statement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Master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 document executed shortly before the Disclosure Statement of November 8, 1996 was a Master Agreement between the Developer and OHR as the Manager dated for reference October 16,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Master Agreement in article 6.1(2) required the Manager as and when requested by the Developer to provide assistance with respect to strata lot sales including preparing for review and approval by the Developer and its consultants five year income projections for the hotel and for each of the individual strata lots, for use by the Developer in connection with the marketing of the strata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Article 6.1(3) required the Manager, as and when requested, to supply the Developer with information on the Manager, the rental pool, or any other information required, for inclusion in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Article 7.2 required the Manager to offer to all purchasers the rental management services of the Manager in accordance with the form of HMA attached as Schedule E and the Developer undertook to include the form of HMA as an exhibit to the Disclosure Statement and the Manager acknowledged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HMA at Schedule E to the Master Agreement was the same as the HMA attached to the Disclosure Statement as Exhibit K and it also attached a Schedule D. However this document was somewhat different from the Schedule D to the HMA attached to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Schedule D to the HMA attached to the Master Agreement was entitled "Operating Plan and Budget The Grand Development Partnership Hotel Component Proforma", and was dated October 18, 1996, while Schedule D to the HMA attached to the Disclosure Statement was only entitled "Operating Plan and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Schedule D to the HMA attached to the Master Agreement was much more detailed and included a number of line items not in Schedule D to the HMA attached to the Disclosure Statement. One additional line item was entitled "Operating Income before Debt Serv". It had similar, but not identical, figures to the Net Income figures in Schedule D to the HMA in the Disclosure Statement, within a couple of hundred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This Schedule D to the HMA attached to the Master Agreement was approved by Mr. Evans for the Developer and Mr. Robert O'Neill for OHR as indicated by their initials thereon.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1996-1999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All of the Investors entered into their Sale Agreements in 1996 prior to construction of the Hotel. The evidence is that the Developers had to have a certain number of commitments in order to secure construction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signing up the Investors to the Sale Agreements around November 23, 1996 the Developers embarked upon the construction of the hotel and the construction continued through to the opening of the hotel in April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July 8, 1997 the First Amendment to the Disclosure Statement was issued by the Developers. In terms of issues involved in this trial there were no amendments to the Disclosure Statement by that first amendment that have any bearing on the issues under consideration herein. In that document the Developers declared that there was full true and plain disclosure of all material facts as of July 8, 1997 and there appears to be no issue with that statement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1998 Mr. Evans was considering the development of another hotel in Yaletown, the Opus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Evans commissioned HVS to provide an economic study of the Yaletown property and the proposed hotel development plan. HVS provided a report on April 27, 1998 and in the covering letter addressed to Mr. Evans at Trilogy Yaletown Development Corporation said that HVS had analyzed the hotel market conditions in the Vancouver market area. The letter said that the conclusions reached in the report were based on HVS's present knowledge of the lodging market in the competitive area as of the completion of their field work on April 10,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Opus report is relevant to the claims being made in this action with respect to the financial projections for the Westin Grand because the Investors say that by that point in time the hotel market in downtown Vancouver was known to be softening, that both HVS and Mr. Evans knew this, and yet neither informed the Investors that changes were necessary to be made to the financial projections in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Development of the Opus hotel did not proceed in 1998 although it was eventually developed and 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1998 OHR as the proposed hotel manager began preparing an opening budget and business plan for the Westin Grand. As early as June 1998 OHR was tasked with the responsibility of preparing a revised rolling 12 month operational budget for the first year of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Developers and OHR began meeting on a regular basis to discuss issues that needed to be resolved before opening of the Hotel, such as the pre-opening hard and soft costs. The opening budget to be prepared by OHR was one issue that was involved in the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OHR was assigned the responsibility of preparing summaries of important decisions that had been made at each meeting and identifying who had responsibility for future actions required. Those summaries were then circulated to the participants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July 8, 1998 such a meeting was conducted between the Developers and OHR. Mr. Zwickel of OHR subsequently prepared a memorandum of July 27, 1998 entitled "Re: Action Items from Update Meeting of July 8/98" that was indicated as being sent to a number of people within OHR and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One of the items covered in the memorandum was the 1999 operating budget and the memorandum stated, "Determined that the 1999 operating budget would not be disclosed to the owners until one week after official grand opening. Preliminary responsibility OHR." It was a contested fact at trial whether any such statement was made at the July 8, 1998 meeting, or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a ruling of August 20, 2007 on the issue of what memoranda would be accepted at trial as business records under the </w:t>
      </w:r>
      <w:r>
        <w:rPr>
          <w:rFonts w:ascii="arial" w:eastAsia="arial" w:hAnsi="arial" w:cs="arial"/>
          <w:b/>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 124</w:t>
      </w:r>
      <w:r>
        <w:rPr>
          <w:rFonts w:ascii="arial" w:eastAsia="arial" w:hAnsi="arial" w:cs="arial"/>
          <w:color w:val="000000"/>
          <w:sz w:val="20"/>
          <w:lang w:val="en-US" w:eastAsia="en-US" w:bidi="ar-SA"/>
        </w:rPr>
        <w:t>, I determined that the memorandum of Mr. Zwickel of July 27, 1998 did not satisfy the requirements of a business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Nevertheless the memorandum of July 27, 1998 is a document that was admitted at trial under a document agreement made by the parties which agreement records that all parties agree to the date on any document, agree that the author had knowledge of its contents at the time, and agree that if a memorandum it was received by the intended recipients in the ordinary course on or about the date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document agreement is stated not to constitute an admission as to the truth of the contents of any document and the agreement also says it is subject to proof to the contrary as to whether any statement in a document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OHR presented a draft 1999/2000 business plan to the Developers at a meeting on November 6, 1998. The business plan included an executive summary, a marketplace assessment 1996-1998, and a three-year strategic plan as well as appendices containing detailed draft operating budgets for 1999 and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business plan concluded that the Westin Grand was expected to perform at only 80%-90% of the "disclosure" projections over the next three years with occupancy rates projected at 67.6% in the partial year 1999, 68.18% in the year 2000 and 64.75% in the year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Net income was projected to be down from the Disclosure Statement by 5.41% in 1999, 21.42% in 2000 and 27.98%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This document in draft was never finalized by OHR and was never disclosed to the Investors. The Developers' evidence is that it was never approved by them and they expected that it would be changed as they did not agree with it. The evidence of OHR is that they considered the draft complete although it never proceeded beyond the draft.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Subsequently OHR prepared a revision to the draft 1999 operating budget that had been part of the business plan presented on November 6, 1998 that revised the food and beverage figures. Minutes of a meeting of December 4, 1998 indicate that year one operating food and beverage was discussed by the Developers and OHR. Mr. Cressey of the Developers recalls getting this revision showing a difference in the food and beverage from the business plan of November 6, 1998, but Mr. Evans and Mr. Johnson of the Developers have no recall of ever seeing this revision.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This revision was also never disclosed to the Investors and no new operating budget for 1999 was ever disclosed to the Investors prior to closing of the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December 9, 1998 the Developers sent a letter to the Investors confirming newspaper articles that referred to an increase in the number of hotel rooms in Vancouver, and indicating that the increase was 333 for 1999 of which 207 were attributed to the Hotel and 126 to a new boutique hotel property, representing only a 6% increase in supply. It was also stated that tourism continued to grow.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January 1999 HVS was commissioned by OHR to value its management contract for the Westin Grand. A draft report was sent to OHR by HVS on January 21, 1999. The draft gave an estimation of market value for the management contract based on annual operating projections for the Westin Grand prepared by HVS. The projections were stated to be an update from HVS's original projections as presented in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Among other projections HVS showed lower occupancies for the Westin Grand in the years 2001 and following although 1999 and 2000 were much the same as in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HVS was never asked to proceed beyond the draft stage of this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March 19, 1999 the Developers issued the Second Amendment to the Disclosure Statement. One amendment was to substitute OHR Grand for OHR as the manager of the hotel. OHR Grand was identified as a wholly owned subsidiary of OHR. The balance of the Amendments made is not relevant to the issues involved at this trial although what is alleged to be missing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Again the declarations made by the Developers to the Amendment stated that the Amendment constituted full, true and plain disclosure of all material facts related to the development, as required, this time as of March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directors Mr. Evans and Mr. Cressey signed new directors' declarations stating that the original Disclosure Statement, as amended by the Amendment, contained no untrue statement of a material fact and did not omit to state a material fact required to be stated or that was necessary to prevent a statement made from being false or misleading, and stated that every matter of fact set out in the original Disclosure Statement, as amended by the amendment,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These declarations were an issue at this trial as to the non disclosure of the alleged change in belief of the Developers and Directors and/or OHR as to the reasonableness of the financial projections in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completion date for the Sale Agreements with the Investors was set for April 13, 1999, although the Westin Grand had opened for business as of April 1, 1999 with the Developers assuming the operation of the hotel until April 13th.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One of the closing documents for the completion date was the HMA for execution by each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HMA forwarded by the Developers for execution included the same Operating Plan and budget, Exhibit D, as had been included in the draft HMA attached to the Disclosure Statement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Sale Agreements were completed on April 13, 1999. One day later on April 14, 1999 a presentation was made to the Investors by OHR Grand that included a 1999 operating budget presented as "per 1996 disclosure statement", although the figures in the 1999 operating budget were figures taken from the December 1998 revision to the proposed 1999 operating budget that had been part of the November 6, 1998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Pleading of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Second Further Amended Statement of Claim defines "Projections" as consisting of the express or implied representation and warranty to the investors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return on investment would be sufficient to cover each investor's assumed seventy-five percent mortgage plus cash returns on an assumed twenty-five percent down payment of 11.5 percent in 1999, 10.4 percent in 2000, 13.1 percent in 2001, 11.5 percent in 2002 and 11.5 percent in 2003.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These percentage returns for the years 1999-2003 are found at Exhibit "B" to the Auditors' Report at Exhibit M to the Disclosure Statement, as part of the chart of Projected Net Cash Flow to an Individual Strata Lot owner and Cash Return on Down Payment. As stated in Exhibit "B" it is an illustration of the return to an owner of a $208,800 hotel strata lot based on the hypotheses contained in Note 1(f).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Note 1(f), part of Exhibit "C" to the Auditors' Report gives further explanation to the chart at Exhibit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share of hotel net income going to each Investor shown in the chart at Exhibit "B" is a derivative of the Net income and Owners share of net income per $1,000 of projected value shown in the Projected Statement of Net Income at Exhibit "A" to the Auditors'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line items and figures that make up the Projected Statement of Net Income, Exhibit "A", include the same line items and figures that Ms. MacDonald of HVS reviewed for the purpose of her HVS opinion letter at Exhibit N to the Disclosure Statement, down to and including the figures on the line "Operating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HVS opinion letter it is stated that "we have reviewed the hotel's annual operating projections for the initial five years (only as to the operating income before debt service) ...." The evidence from Ms. MacDonald is that she reviewed an earlier more detailed projection, entitled "Hotel Component Proforma" dated November 1, 1996, for the purpose of her opinion, which included the same figures as in Exhibit "A" to the Auditors' Report. That Hotel Component Proforma is the same as the Proforma attached as Exhibit D to the HMA attached to the Master Agreement; the Proforma that Mr. Evans and Mr. Robert O'Neill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One of the line items in that November 1, 1996 Proforma is "Operating Income before Debt Serv." The figures for years 1-5 on that line are the same figures as on the "Operating Income" line of Exhibit "A" to the Auditors' Report, within a few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evidence is that the auditor, Mr. Donnelly, who prepared the Auditors' Report as part of Exhibit M to the Disclosure Statement, also prepared the format for the projections at Exhibit "A", using figures from yet another projection on a different format with the same figures. He also prepared the Notes to the projections at Exhibit "C", getting his information from the Developers, OHR and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evidence at the trial of this first stage focussed on the figures in the Projected Statement of Net Income at Exhibit "A" to the Auditors' Report, together with the Notes at Exhibit "C". No time was spent on the chart at Exhibit "B" that had its origin in the figures of Exhibit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Section 1.4 of the Disclosure Statement represents that the financial projection (the "Projection") is attached as Exhibit M. The Auditors' Report at Exhibit M identifies the financial projection as consisting of the projected statement of net income at Exhibit "A" and the projected net cash flow to an individual strata lot owner and cash return on down payment for the years ending December 31, 1999 through 2003 at Exhibit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Section 1.4 of the Disclosure Statement also represents that the Projection has been prepared based on assumptions and hypotheses. The Auditors' Report represents that the financial projection has been prepared by management using assumptions, including the hypotheses set out in Note 1 which is at Exhibit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intend to proceed on the basis that the "Projection" or "Projections" are those financial projections in Exhibit M consisting of Exhibits "A" and "B" to the Auditors' Report together with the assumptions and hypotheses as set out in Exhibit "C". I do not see any prejudice to any party, including HVS, to consider the figures in the projected statement of net income at Exhibit "A" to the Auditors' Report as part of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If it is considered necessary to amend the pleading to properly define the projections at issue in order to be consistent with the evidence then I grant such an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Attribution of the Financial Projection to OHR in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Section 1.4 of the Disclosure Statement states that the financial projection (the "Projection") attached as Exhibit M was prepared by OHR for approval by the management committee of the Developer, that it has been prepared based on assumptions and hypotheses which reflect the course of action planned by the Developer and OHR for the Projection period given their judgment of the most probable set of economic conditions, and that the assumptions and hypotheses used in the preparation of the Projection are considered reasonable by the Developer and OHR at the time of preparation, although they may prove to be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OHR submits that there is no evidence or insufficient evidence to prove that it had any knowledge that the Projection was going to be included in the Disclosure Statement and would be attributed to it. Therefore it submits it cannot be responsible for the Projection being included in the Disclosure Statement, nor for the representation in s. 1.4 that it prepared the Projection and considered the assumptions and hypotheses on which it was based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submits it never saw the Disclosure Statement nor knew of any reference to it in the document, before it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Further, OHR submits that it never reviewed the Auditors' Report nor the Notes to Financial Projection attached as Exhibit "C" to the Auditors' Report, and it was equally false for the Notes to attribute the hypotheses and assumptions for the Projection to it as well as to the Developer. It submits there is no evidence that the Auditors' Report was ever sent to it for review before it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OHR points out that while the Master Agreement that it signed with the Developer required it in Article 6.1 to prepare for review and approval by the Developer and its consultants five year income projections for the hotel for use by the Developer in connection with the marketing of the strata lots, it was only required to provide information to the Developer about itself or about the rental pool for the hotel or any other information, for inclusion in the Disclosure Statement. As a consequence, it submits a distinction is to be made in the requirements of it for income projections for marketing and information for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OHR submits that up until October 10, 1996 when a new Securities Commission policy was declared, there is no evidence that the Developer intended to include the Projection in the Disclosure Statement. It points to the fact that as late as October 23, 1996 drafts of the Disclosure Statement only mentioned including the Auditors' Report and a forecast, but did not mention including any HVS opinion and in those drafts the forecast was stated to have been prepared and approved by the management of the Developer and not by OHR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It points to evidence of Mr. Evans for the Developers where he says that he was not aware of any review by OHR of the Disclosure Statement and he had no discussion with OHR about putting the projections in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OHR submits that evidence that Mr. Robert O'Neill gave on examination for discovery that was accepted by him at trial that he may have seen the Auditors' Report and reviewed it before it was included in the Disclosure Statement is not sufficient to conclude that he did in fact receive it and review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While OHR accepts that it had originally prepared its own projections for the Developer and had provided these projections to HVS, it submits that the final Projection included in the Disclosure Statement was solely the work product of HVS after HVS had made numerous changes and revisions to the original work of OHR.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other defendants submit that OHR in fact participated in the development of the Projection, knew that the Projection was to be included in the Disclosure Statement, knew that the Projection would be attributed to it, and had received and reviewed the Auditors' Report before it was included in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They submit that throughout the period of June 1996 to October 1996 OHR and HVS were exchanging five year proformas until they both agreed on the figures and the figures were then incorporated into the Operating Plan and Budget, Schedule D to the HMA in the Disclosure Statement, and into Schedule D to the HMA in the Master Agreement which both Mr. Evans and Mr. Robert O'Neill for OHR signed as approved. They submit that with Mr. Robert O'Neill approving Schedule D to the HMA in the Master Agreement, and knowing that the HMA was to be included in the Disclosure Statement and was attributing to the Operating Plan and Budget in Schedule D to OHR, as the manager, OHR must have known that Schedule D was the Projection being included in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These figures in the Operating Plan and Budget, Schedule D, were the same figures that HVS used for the purpose of its opinion, with very slight amendments, and were the figures for the Projected Statement of Net Income included as Exhibit "A" to the Auditors' Report as part of Exhibit M to the Disclosure Statement, described as the "Projection" in s. 1.4 of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Johnston of the Developers says in his evidence that OHR knew their work was going to be in the Disclosure Statement because it was stated in the Master Agreement that they were preparing projections to be part of the marketing materials and the Disclosure Statement was part of the marketing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is certain that during the course of meetings between the Developers and OHR in 1996 it would have been discussed that the Projection was going to be included in the Disclosure Statement and Ms. MacDonald of HVS was being involved for that purpose. He does not point to any particular conversation,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auditor, Mr. Donnelly, says he spoke to Mr. McAuley of OHR in October 1996 about how OHR came up with the numbers and went through the financial projection with him top to bottom, and he also talked with Mr. Robert O'Neill in October 1996 about information on OHR for the purpose of including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On October 7, 1996, Mr. Robert O'Neill was asked to approve a mass mailout of promotional material on the investment in the hotel and to approve a reference in it to OHR. The reference to OHR in the mass mailout said that "rental income projections are derived from information provided by HVS and OHR." Mr. Robert O'Neill approved this reference on October 8,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Robert O'Neill says in his examination for discovery evidence, confirmed by him at trial, that the average daily rate in the projections that was ultimately used in the Disclosure Statement was narrowed and narrowed by common sense discussions and was the result of an iterative process that involved collaboration between OHR and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 says further in his examination for discovery evidence, confirmed at trial, that it was the obligation of OHR to provide the Developer with its best proforma on the project and to work with Ms. MacDonald of HVS to produce a pro forma that made sense and to which he could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He says that OHR needed to agree with the projections as it was a collegial type of situation and if OHR had said there was no way these could be achieved he thinks there would have been a different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He says that OHR was working with Ms. MacDonald to give her its best numbers for her report but OHR accepted her revenue figures immediately and came to accept her room division costs. He agrees that if Ms. MacDonald had given a number that he believed was totally unworkable he would have objected because OHR was required to work with these numbers. Consequently OHR and HVS were coming up with a set of numbers that both agreed to and ultimately he agreed totally with Ms. MacDonald's HVS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He also says in his examination for discovery, confirmed at trial, that he always knew that as part of the marketing there would be a Disclosure Statement and while he cannot remember the point in time when he knew that projections would be included in the Disclosure Statement, he had that information before the Disclosure Statement was issued. He knew that the auditor was working on the numbers for inclusion in the Disclosure Statement and he had a telephone conversation himself with someone at the auditors'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 copy of the Auditors' Report with the Exhibits is in the OHR documents although how and when it got there is not the subject of any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his evidence Mr. John O'Neill says that by the time of the sales event around November 23, 1996 he knew that there was a Disclosure Statement in existence and that it would include projections, because of the requirements of the new B.C. Securities regulation that projections had to be audited, and the necessary involvement of Mr. Donnelly to audit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He recalls seeing the Disclosure Statement for the first time at the sales event itself and he recalls reviewing it there and seeing the language in it about the Projection having been prepared by OHR.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 says that when he saw this and saw there was no mention of HVS or the auditor being involved, he mentioned that to his brother Robert who confirmed that he had not noticed it either and it was not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John O'Neill says he did not do anything further because he and his staff still felt comfortable with the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says that this statement was not entirely consistent with what he was lead to believe by his brother Robert, which was to the effect that Robert was collaborating with the Developers and HVS in the preparation of the projections for the purpose of the Disclosure Statement. He expected the language would have been different to reflect the collaborative nature of the projections as the OHR management team was quite involved with HVS and the Developers in the back and forth due diligence of the numbers before HVS ultimately changed some of the numbers and put its stamp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his evidence Mr. Robert O'Neill says he made a comment to Mr. Evans at the sales event upon seeing the Disclosure Statement about not getting credit in the marketing brochures but receiving attribution in the Disclosure Statement, but he also did not require any correction to be made to the Disclosure Statement because it was not a significant issue at the moment for him as he believed in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is my conclusion that OHR knew that the projections were going to be in the Disclosure Statement although it expected that the projections would be attributed to HVS as well as to it. The purpose of involving HVS was to get an opinion on projections that would be given to prospective investors. That would be through the Disclosure Statement. The purpose of involving the auditor was because the Securities Commission required any projections in a Disclosure Statement to be audited. So by the time Mr. Donnelly became involved OHR had to know that projections were to be included in the Disclosure Statement. I believe Mr. Robert O'Neill knew the Operating Plan and Budget he was approving as Schedule D to the HMA in the Master Agreement was the financial projection to be audited and included in the Disclosure Statement as the Projection.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evidence of Mr. John O'Neill and Mr. Robert O'Neill at trial is telling that when they say they first saw the Disclosure Statement at the sales event, their complaint was not that they should not have received any attribution, but only that all of the attribution should not have been assigned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conclude that the statement in s. 1.4 of the Disclosure Statement that the Projection attached as Exhibit M was prepared by OHR, while not entirely correct in that the Projection was prepared by OHR in collaboration with HVS, was partially correct. HVS was solely responsible for the revenue figures, and OHR accepted them. OHR collaborated with HVS on the average daily rate. HVS was also responsible for some of the expense figures, again accepted by OHR, while OHR was the source of some of the other expense figures, accepted by HVS. Regardless, OHR was content to have s. 1.4 represent that it prepared the Projection.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conclude s. 1.4 is otherwise accurate in stating that the Projection has been prepared based on assumptions and hypotheses which reflect the course of action planned by the Developer and OHR given their judgment as to the most probable set of economic conditions, and the assumptions and hypotheses are considered reasonable by them. I believe OHR knew and accepted that this representation was being made in its name and was content with that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This conclusion does not address the issue as to whether the Projection and the assumptions and hypotheses were also represented as objectively reasonable, which I will return to later, but I am satisfied that the Developers and OHR honestly believed both to be reasonable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opening words to the Notes to the Financial Projection, Exhibit "C" to the Auditors' Report, state that OHR and the Developer provided the hypotheses and assumptions, that the assumptions are based on management's judgment as to the most probable set of economic conditions if the hypotheses are realized and the hypotheses are consistent with management's intended course of action and represent plausible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Again I believe that is an accurate statement based upon the evidence at trial. The Developer, through Mr. Johnston, provided some of the hypotheses and assumptions and OHR provided some as well and the reference to "management" is a reference to both OHR and the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While I am not satisfied that there is any direct evidence of actual knowledge of OHR that the notes would attribute the hypotheses and assumptions to it as well, I believe that it must have known this, or reasonably expected this, at least as far as it had contributed, because of the evidence of direct communications with Mr. Donnelly by both Mr. McAuley and Mr. Robert O'Neill, for the purpose of Mr. Donnelly's audit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Material False Statements and s. 59 of the </w:t>
      </w:r>
      <w:r>
        <w:rPr>
          <w:rFonts w:ascii="arial" w:eastAsia="arial" w:hAnsi="arial" w:cs="arial"/>
          <w:b/>
          <w:i/>
          <w:color w:val="000000"/>
          <w:sz w:val="20"/>
          <w:lang w:val="en-US" w:eastAsia="en-US" w:bidi="ar-SA"/>
        </w:rPr>
        <w:t>Real Estate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One of the disclaimers set out on the first page of the Disclosure Statement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59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provides that every purchaser of any part of the subdivided land to which this disclosure statement or prospectus relates shall be deemed to have relied on the representations made in the disclosure statement or prospectus and, if any material false statement is contained in the disclosure statement or prospectus, the developer, its directors and any person who has authorized the issue of this disclosure statement is liable to make compensation to the purchaser, subject to any defences available under s. 59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This disclaimer is a reference to s. 59 of the 1979 edition of the Revised Statutes of British Columbia. It is in substance the same as s. 75 of the 1996 edition. Many other sections of both editions are identical or the same in substance,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For the purpose of consistency I will confine my references to the sections of the 1979 edition putting the relevant 1996 section numbers in brackets beside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disclaimer is an accurate summary of s. 59(1) of the 1979 edition. Section 59 (s. 75) actually only refers to "prospectus" but under s. 50.1 (s. 66) a disclosure statement is deemed to be a prospectus.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Section 59(2) (s. 75(1)) provides that "prospectus" includes every statement and report and summary of report required to be filed with the prospectus under this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this case the Disclosure Statement itself states that every document attached to it as an exhibit is part of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a consequence I need not determine if s. 59 (s. 75) is confined only to Disclosure Statements and documents required to be filed with the Disclosure Statement, as opposed to including other documents filed that are not required to be filed because here all documents filed are part of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defences available under s. 59(1)(b) (s. 75(2)(b)) for the Developer, its directors and any person who has authorized the issue of the Disclosure Statement, include ss. (viii) "that, with respect to every untrue statement not purporting to be made on the authority of an expert, ... he had reasonable grounds to believe and did, up to the time of the sale of the subdivided land ... believe that the statement was true," and ss. (ix) "that, with respect to every untrue statement purporting to be a statement by or contained in what purports to be a copy of or extract from a report or valuation of an expert, it fairly represented the statement, or was a correct and fair copy or extract from a report or valuation, but the director, person named as director, developer or person who authorized the issue of the prospectus is liable to pay compensation as aforesaid if it is proved that he had no reasonable grounds to believe that the person making the statement, report or valuation was competent to make it."</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Note 2(a) of the Notes to Financial Projection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Note 2(a), being one of the notes in the Notes to Financial Projection, Exhibit "C" to the Auditors' Report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Revenue</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Rooms Revenue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Rooms revenue is derived from assumptions regarding hotel occupancy levels and average daily room rates. The following assumptions were derived in consultation with an independent consulting company with extensive experience in the hotel industry, Hospitality Valuation Services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1255"/>
        <w:gridCol w:w="1359"/>
        <w:gridCol w:w="1255"/>
        <w:gridCol w:w="1359"/>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046"/>
        <w:gridCol w:w="1359"/>
        <w:gridCol w:w="1255"/>
        <w:gridCol w:w="1359"/>
        <w:gridCol w:w="1255"/>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Hotel</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72.1%</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76.7%</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80.0%</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occupancy</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rate</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1464"/>
        <w:gridCol w:w="1255"/>
        <w:gridCol w:w="1359"/>
        <w:gridCol w:w="1255"/>
        <w:gridCol w:w="1359"/>
        <w:gridCol w:w="230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Average</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$167.73</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$177.53</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$185.26</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$190.82</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$196.55</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daily</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room</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rate</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hotel occupancy rates are equal to the expected average occupancy rates for downtown Vancouver hotels of similar quality except for 1999 and 2000 which are 92.5% and 97.5% of the average, respectively, recognizing the start-up nature of the operation.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average daily room rates are based on a month by month analysis of the competitive hotels actual average room rates by month in 1995, and adjusted for inflation and real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Note 2(a) is noted next to the line item "Rooms Revenue", under the heading "Revenue", in the Projected Statement of Net Income for 1999-2003 in Exhibit 'A' to the Auditors'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statement that "the following assumptions were derived in consultation with an independent consulting company with extensive experience in the hotel industry, Hospitality Valuation Services Canada" was a true statement with respect to the following chart but the statement under the chart that "The hotel occupancy rates are equal to the expected average occupancy rates ..." was a false statement of present factual comparison between the assumed hotel occupancy rates in the chart applicable to the Westin Grand and the assumed or expected average occupancy rates by HVS for downtown Vancouver hotels of similar quality in the same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The Canadian Oxford Dictionary</w:t>
      </w:r>
      <w:r>
        <w:rPr>
          <w:rFonts w:ascii="arial" w:eastAsia="arial" w:hAnsi="arial" w:cs="arial"/>
          <w:color w:val="000000"/>
          <w:sz w:val="20"/>
          <w:lang w:val="en-US" w:eastAsia="en-US" w:bidi="ar-SA"/>
        </w:rPr>
        <w:t>, 1998, defines "statement" as (1) the act or an instance of stating or being stated; expression in words (2) a thing stated; a declaration. I will use this definition for the word "statement" in the phrase "material false statement" in ss.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HVS' projected hotel occupancy rates for the Westin Grand were accurately set out in the chart, but the occupancy rates for the downtown Vancouver hotels of similar quality for the same years that Ms. MacDonald of HVS expected were 66.6% in 1999, 69.1% in 2000, 71.2% in 2001, 72.6% in 2002 and 74.1%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Accordingly, the HVS hotel occupancy rates that were projected in the chart for the Westin Grand were in fact all above the projected occupancy rates for hotels of similar quality for all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Mr. Johnston and Mr. Evans of the Developers say they read this statement as indicating that the occupancy rates for the Westin Grand of 72.1% in 1999 and 76.7% in 2000 were respectively 92.5% and 97.5% of the </w:t>
      </w:r>
      <w:r>
        <w:rPr>
          <w:rFonts w:ascii="arial" w:eastAsia="arial" w:hAnsi="arial" w:cs="arial"/>
          <w:color w:val="000000"/>
          <w:sz w:val="20"/>
          <w:u w:val="single"/>
          <w:lang w:val="en-US" w:eastAsia="en-US" w:bidi="ar-SA"/>
        </w:rPr>
        <w:t>1995</w:t>
      </w:r>
      <w:r>
        <w:rPr>
          <w:rFonts w:ascii="arial" w:eastAsia="arial" w:hAnsi="arial" w:cs="arial"/>
          <w:color w:val="000000"/>
          <w:sz w:val="20"/>
          <w:lang w:val="en-US" w:eastAsia="en-US" w:bidi="ar-SA"/>
        </w:rPr>
        <w:t xml:space="preserve"> average occupancy rates for the competitive hotels which was 78.6%.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 reject this stated belief as having any reasonable grounds. The words of the statement refer to the </w:t>
      </w:r>
      <w:r>
        <w:rPr>
          <w:rFonts w:ascii="arial" w:eastAsia="arial" w:hAnsi="arial" w:cs="arial"/>
          <w:color w:val="000000"/>
          <w:sz w:val="20"/>
          <w:u w:val="single"/>
          <w:lang w:val="en-US" w:eastAsia="en-US" w:bidi="ar-SA"/>
        </w:rPr>
        <w:t>expected</w:t>
      </w:r>
      <w:r>
        <w:rPr>
          <w:rFonts w:ascii="arial" w:eastAsia="arial" w:hAnsi="arial" w:cs="arial"/>
          <w:color w:val="000000"/>
          <w:sz w:val="20"/>
          <w:lang w:val="en-US" w:eastAsia="en-US" w:bidi="ar-SA"/>
        </w:rPr>
        <w:t xml:space="preserve"> average occupancy rates for downtown Vancouver hotels of similar quality and in the context of the chart that relates to the years 1999-2003. The references to 92.5% and 97.5% of the average for 1999 and 2000 are references to projected average occupancy rates for the Westin Grand in 1999 and 2000 in comparison to the projected average occupancy rates for downtown Vancouver hotels of similar quality for the same years.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On the Developer's explanation of the reference being to 92.5% and 97.5% of the average of 78.6% for downtown Vancouver hotels of similar quality in 1995, those percentages do not even result in the hotel occupancy rates projected for the Westin Grand in 1999 of 72.1% and 2000 of 76.7%.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Other than the stated belief that the comparison was being made to the 1995 occupancy rates for the competitive hotels, the Developer and directors have not offered any other grounds for their belief that the statement was true. I do not find their stated belief to be based on reasonable grounds as the defence in s. 59(1)(b)(viii)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Developers and directors do not seek to rely upon ss. (ix) but in any event the statement does not fairly represent any statement of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Sharbern Holding Inc. v. Vancouver Airport Centre Ltd.</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[2006] 52 B.C.L.R. (4th) 144</w:t>
        </w:r>
      </w:hyperlink>
      <w:r>
        <w:rPr>
          <w:rFonts w:ascii="arial" w:eastAsia="arial" w:hAnsi="arial" w:cs="arial"/>
          <w:color w:val="000000"/>
          <w:sz w:val="20"/>
          <w:lang w:val="en-US" w:eastAsia="en-US" w:bidi="ar-SA"/>
        </w:rPr>
        <w:t xml:space="preserve">, the Court of Appeal considered the standard of materiality in proxy solicitations and concluded that a Disclosure Statement was analogous to a proxy solicitation. MacKenzie J.A. writing for the court adopted the standard of materiality used by Levine J.A. in </w:t>
      </w:r>
      <w:r>
        <w:rPr>
          <w:rFonts w:ascii="arial" w:eastAsia="arial" w:hAnsi="arial" w:cs="arial"/>
          <w:b/>
          <w:i/>
          <w:color w:val="000000"/>
          <w:sz w:val="20"/>
          <w:lang w:val="en-US" w:eastAsia="en-US" w:bidi="ar-SA"/>
        </w:rPr>
        <w:t>Inmet Mining Corp. v. Homestake Canada Inc.</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(2003), 24 B.C.L.R. (4th) 1</w:t>
        </w:r>
      </w:hyperlink>
      <w:r>
        <w:rPr>
          <w:rFonts w:ascii="arial" w:eastAsia="arial" w:hAnsi="arial" w:cs="arial"/>
          <w:color w:val="000000"/>
          <w:sz w:val="20"/>
          <w:lang w:val="en-US" w:eastAsia="en-US" w:bidi="ar-SA"/>
        </w:rPr>
        <w:t xml:space="preserve">, quoting from the U.S. Supreme Court in </w:t>
      </w:r>
      <w:r>
        <w:rPr>
          <w:rFonts w:ascii="arial" w:eastAsia="arial" w:hAnsi="arial" w:cs="arial"/>
          <w:b/>
          <w:i/>
          <w:color w:val="000000"/>
          <w:sz w:val="20"/>
          <w:lang w:val="en-US" w:eastAsia="en-US" w:bidi="ar-SA"/>
        </w:rPr>
        <w:t>TSC Industries Inc. v. Northway Inc.</w:t>
      </w:r>
      <w:r>
        <w:rPr>
          <w:rFonts w:ascii="arial" w:eastAsia="arial" w:hAnsi="arial" w:cs="arial"/>
          <w:color w:val="000000"/>
          <w:sz w:val="20"/>
          <w:lang w:val="en-US" w:eastAsia="en-US" w:bidi="ar-SA"/>
        </w:rPr>
        <w:t>, 426 US 438. In that case Marshall J. described the standard of disclosure in proxy solicitations as follows at p. 449: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omitted fact is material if there is a substantial likelihood that a reasonable shareholder would consider it important in deciding how to vote. This standard is fully consistent with </w:t>
      </w:r>
      <w:r>
        <w:rPr>
          <w:rFonts w:ascii="arial" w:eastAsia="arial" w:hAnsi="arial" w:cs="arial"/>
          <w:i/>
          <w:color w:val="000000"/>
          <w:sz w:val="20"/>
          <w:lang w:val="en-US" w:eastAsia="en-US" w:bidi="ar-SA"/>
        </w:rPr>
        <w:t>Mills</w:t>
      </w:r>
      <w:r>
        <w:rPr>
          <w:rFonts w:ascii="arial" w:eastAsia="arial" w:hAnsi="arial" w:cs="arial"/>
          <w:color w:val="000000"/>
          <w:sz w:val="20"/>
          <w:lang w:val="en-US" w:eastAsia="en-US" w:bidi="ar-SA"/>
        </w:rPr>
        <w:t>' general description of materiality as a requirement that the defect have a significant propensity to affect the voting process. It does not require proof of a substantial likelihood that disclosure of the admitted fact would have caused the reasonable investor to change his vote. What the standard does contemplate is a showing of a substantial likelihood that, under all the circumstances, the admitted fact would have assumed actual significance in deliberations of the reasonable shareholder. Put another way, there must be a substantial likelihood that the disclosure of the admitted fact would have been viewed by the reasonable investor as having significantly altered the total mix of information made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will use this description of the standard of materiality in these reasons. Where I deal with facts or statements that are stated as opposed to omitted facts or statements, I will apply the same standard to those facts or statements that they are to be considered material if there is a substantial likelihood that they would have assumed actual significance in the deliberations of the reasonable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have no doubt that a reasonable investor would have considered it very material to know that the occupancy rates for the Westin Grand for 1999-2003 were in fact all projected to be higher than the projected average occupancy rates for downtown Vancouver hotels of similar quality for those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Accordingly I hold under s. 59 (s. 75)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that this was a material false statement contained in the Disclosure Statement, that it did not purport to be made on the authority of any expert including HVS and the Developers had no reasonable grounds to believe that the statement was true on the Developers' interpretation given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find the Developers and their Directors liable to make compensation for any loss or damage to the purchasers for this material false statement. What that compensation may be remains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question that remains is who actually developed this false statement. Mr. Donnelly, the accountant, prepared the wording of this statement but he says he obtained the information off footnotes to financial projections or proformas that he had received from either OHR or the Developer. The last one he received from the Developer was dated November 1, 1996 and it included as footnote number (1) the following:</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Occupancy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Year 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92.5% of projected market occupancy rate for First-Tier downtown hotel properties.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Year 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97.5% of projected market occupancy rate for First-Tier downtown hotel properties;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Year 3 and</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 of projected market occupancy rate for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thereafter:</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First-Tier downtown hotel properties;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Both the Developer and OHR deny they prepared this footnote. Mr. Donnelly says he received a computer disc at some point with projections on it that included footnotes, including this footnote number (1). On that disc Mr. Donnelly wrote, "from Innventures" (OHR), which might indicate that OHR prepared the notes. However that is not an end to the matter. Copies of projections with notes resided on the computers of both parties and when Mr. Donnelly received projections with this note on them from different parties that does not indicate where the note necessarily originated.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Johnston of the Developer agrees in his evidence that he gave the assumptions in the Notes to Mr. Donnelly to use. In fact Mr. Donnelly's retainer letter to the Developer, agreed to by the Developer, put the responsibility on the Developer, particularly Mr. Johnston, to provide the hypotheses and assumptions to Mr. Donnelly.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Further, Mr. Johnston confirmed in a letter to Mr. Donnelly of November 8, 1996 that the Developer accepted sole responsibility for the preparation of the financial Projection and for the determination and appropriateness of the assumptions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Donnelly's retainer letter and Mr. Johnston's confirming letter only deal with responsibility for the hypotheses and assumptions as between the Developer and the Auditor and do not necessarily indicate where the material false statement in Note 2(a) originated.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However I conclude that the basis for this false statement, being the footnote number (1), probably did originate with the Developer. I have reviewed the changing mortgage rates found in footnote (11) through the various proformas leading up to the final proforma Mr. Donnelly was given on November 1, 1996 that showed a mortgage rate of 6.95% minus .5% equals 6.45%, being the ultimate mortgage rate found in Note 1(f) of the Notes to the Financial Projection in Exhibit C to the Auditors'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 have concluded that the only party that would have been interested in the changing mortgage rates for the Investors would have been the Developer, and although it may not be necessary to conclude who originated the footnotes including number (1) because I have already found the Developer and its Directors liable for this statement under s. 59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I do conclude that in all probability it was the Developer that developed that footnote.</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6.7 of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statements in s. 6.7 that are at issue under s. 59 (s. 75)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Developer has consulted with HVS International - Canada MM&amp;R Valuation Services, Inc. (HVS), an international hotel consultant, which has advised the Developer as follows:</w:t>
      </w:r>
    </w:p>
    <w:p>
      <w:pPr>
        <w:numPr>
          <w:numId w:val="2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occupancy rate in Vancouver last year was as high as 78%;</w:t>
      </w:r>
    </w:p>
    <w:p>
      <w:pPr>
        <w:numPr>
          <w:numId w:val="4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demand for downtown luxurious hotels is more than supply;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tourism is the number one growth industry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evidence from Ms. MacDonald of HVS is that HVS was never consulted on these matters and never advised the Developer as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Ms. MacDonald says that while the hotel occupancy rate in Vancouver the previous year (1995) for the competitive set of hotels she was considering in relation to the Westin Grand was as high as 78%, as stated in her opinion letter, that was not true for the hotel industry at large in Vancouver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She also disagrees with the statement that demand for downtown luxurious hotels is more than supply, and she says she would not have made the statement that tourism was the number one growth industry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Johnston of the Developer says he collected this information from his sales and marketing team who are no longer available to give evidence. He does not think that the first statement is inconsistent with Ms. MacDonald's statement in her opinion letter of November 8, 1996, that "In 1995 these competitive hotels achieved an overall average occupancy of 78.6% ...", although he recognizes her competitive set was a sub-set of the overall downtown Vancouver hotel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With respect to the statement that "demand for downtown luxurious hotels is more than supply", Mr. Johnston went back into the Developer's file to see what information they had from Ms. MacDonald that would support this statement. He refers to a fax from Ms. MacDonald that referred to a market with over 78% annual occupancy levels having significant unaccommodated demand, and he expresses the belief that this was the basis for the language in the Disclosure Statement of demand exceeding supply developed by his marketing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Developers' counsel submits that in a hotel publication of May 1996 found in the Developers' files there is an article by Ms. MacDonald stating that the Vancouver hotel market is extremely strong and almost all general managers report the need for additional hotel rooms in downtown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Developers' counsel also submits that the underlying truth of the statements is not undermined by any attribution to HVS that is perhaps incorrect. It is submitted that there is no proof the representations were false or even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do not agree that it would be insignificant to a reasonable investor that the information was being attributed to HVS even if the information was true. The Developers retained HVS and included its opinion letter in the Disclosure Statement obviously because they expected that this would be a significant marketing tool for the sale of the strata units. If the Developer had attributed the information in s. 6.7 to itself it would not nearly have had the same impact on a prospective investor in my view. It was important to the Developer to be able to say that HVS, an international hotel consultant, had advised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Under s. 59 (s. 75)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the Developer and its directors are liable for material false statements in the Disclosure Statement unless it is proved that with respect to any untrue statement purporting to be a statement by an expert, it fairly represents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consider that the first two statements were material statements that would have assumed actual significance in the deliberations of a reasonable investor. These statements not only gave potential investors positive information on the state of the Vancouver hotel market but attributed those statements to an expert in the know -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my view the statement that "the hotel occupancy rate in Vancouver last year was as high as 78%", attributed to HVS, is all a true statement. This was true as the competitive hotels, all top hotels, had an average occupancy rate that high as HVS had said in its opinion letter so the hotel occupancy rate in Vancouver in 1995 was as high as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Accordingly I conclude that the statement is true and fairly represents the statement of Ms. MacDonald. Even if it does not exactly reflect what HVS said, I do not find it to be materially false. The Developers and directors are entitled to the defence under s. 59 (s.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second statement is untrue if demand for downtown luxurious hotels was not more than supply and/or HVS did not advise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Johnston says he thinks this information was taken from a fax from Ms. MacDonald that referred to unaccommodated demand, as well as from her opinion letter. Unaccommodated demand is demand that cannot be accommodated. Ergo, according to Mr. Johnston, demand is more than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unaccommodated demand referred to in the HVS opinion letter was future unaccommodated demand in the projection period. The unaccommodated demand referred to in s. 6.7 is present unaccommodated demand. However the fax from Ms. MacDonald apparently referred to a market with over 78% annual occupancy and that was presumably in 1995, so that was a reference to present unaccommodated demand. I accept this evidence of Mr.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On this basis I conclude that the statement is true and fairly represents a statement of Ms.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Not much in evidence was said about the third statement "tourism is the number one growth industry in Vancouver". Ms. MacDonald only says that she would not have made that statement. She does not say it was not a true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cannot say that it is a false statement because I have no evidence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It was falsely attributed to HVS because Ms. MacDonald says she would not have made the statement, and I have no evidence from the Developer attributing it to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It was in my opinion a material part of the statement that HVS advised of this, and it was false to attribute it to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Developers and directors have no defence under s. 59 because it does not fairly represent a statement that Ms. MacDonald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Accordingly the Developers and directors are liable under s. 59 to make compensation for any loss or damage to the Investors by this material false statement attributing it to HVS.</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 do not accept that the Projection itself consisting of the Projected Statement of Net Income, Exhibit "A" to the Auditors' Report, the Projected Net Cash Flow at Exhibit "B", and the Notes at Exhibit "C", are statements within the meaning of that word in s. 59 (s. 75)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Section 57(1)(a) (s. 73(1)(a))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distinguishes between statements, promises and forecasts. While the section is not applicable to disclosure statements by the wording of s. 50.1 (s. 66) it is an indication that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treats forecasts differently from statements. In my view the Projection is a forecast and not a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Similarly I conclude that any implied assertions of fact, or representations, in the Projection are not statements within s. 59 (s. 75)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Statements in s. 59 (s. 75) in my view are only those that are expressly made in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Dureau v. Kemp-West Enterprises Ltd.</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[1989] B.C.J. No. 2123</w:t>
        </w:r>
      </w:hyperlink>
      <w:r>
        <w:rPr>
          <w:rFonts w:ascii="arial" w:eastAsia="arial" w:hAnsi="arial" w:cs="arial"/>
          <w:color w:val="000000"/>
          <w:sz w:val="20"/>
          <w:lang w:val="en-US" w:eastAsia="en-US" w:bidi="ar-SA"/>
        </w:rPr>
        <w:t>, cited by Investors counsel as an example of implied statements covered by s. 59, is distinguishable on the basis that there the statements under consideration were express statements in the prospectus in relation to the removal of peat from the site, where it was found by the court that the wording left the impression that all the unstable soil had been removed. The court concluded that the express statements were false and they were deceptive or misleading as partial truths.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Here there is nothing deceptive or misleading in the Projection itself. It is the implied facts or representations that are alleged to surround the Projection that are in issue and they are not statements within s. 59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False Representations at Common Law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Note 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 have already dealt with this issue under my consideration of s. 59 (s. 75)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I agree that it was a material false statement of comparison that the occupancy assumptions for the Westin Grand were equal to the expected average occupancy rates for the competitor hotels for 1999-2003 except for 1999 and 2000, when in fact Ms. MacDonald's occupancy projections for the Westin Grand were all in excess of her expectations for the average occupancy levels of the competitor hotels, for all five years of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have already assigned responsibility for this material false statement to the Developers and directors under s. 59 (s.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Donnelly had asked Ms. MacDonald to review a draft of his notes and provide her comments especially as to whether the notes properly described the assumptions used. Specifically he asked her to assist him in drafting the portion related to average daily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Ms. MacDonald took Mr. Donnelly's draft and wrote out in hand some proposed wording for the average daily rates. She also added a sentence to the statement in note 2(a) that compared the Westin Grand assumed occupancy rates to the competitor expected occupancy rates, again in handwriting. However she never observed the error in the statement that Mr. Donnelly had drafted and her handwritten notations were never sent to Mr. Donnelly. Instead Ms. MacDonald sent a typed note to Mr. Donnelly of her proposed additions for occupancy and average daily rates and Mr. Donnelly only used her suggested wording for average daily rates in the final version. He did not change his wording on the occupancy comparisons.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his evidence Mr. Donnelly says he recognized from Ms. MacDonald's work product that he had that she was saying that the Westin Grand should outperform the market to achieve the occupancy rates that she projected. However he did not incorporate her views because according to him the Developer had provided the previous projections with the footnote on them that he used and the Developer was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these circumstances with Mr. Donnelly choosing to use the Developers' footnote rather than Ms. MacDonald's views of projection comparisons, knowing of her views, I see no liability on HVS for the text of note 2(a) and accordingly I hold it not liable for the statement in note 2(a) dealing with the occupancy comparisons.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also can see no basis for holding HVS liable for any of the other hypotheses and assumptions set out in the Notes at Exhibit "C" to Exhibit 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On the evidence OHR had nothing personally to do with the preparation of Note 2(a). However s. 1.4 of the Disclosure Statement and the Notes to Financial Projection advised the investor that the assumptions and hypotheses were provided by OHR as well as the Developer and advised that the assumptions and hypotheses reflected the course of action planned by both given their judgment as to the most probable set of economic conditions, and were stated to be reasonable. OHR had knowledge of and accepted attribution to it of these statements. One assumption was at Note 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issue is whether OHR and the Developer have represented to the Investors by s. 1.4 of the Disclosure Statement, the offending text in Note 2(a) as a reasonable assumption or hypothesis.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notes are divided into a number of notes, one through eight. Only Note 1 is headed "Hypotheses". Note 2(a) is part of Note 2 which is headed "Revenue". There is no separate note headed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Note 2(a) says that room revenue is derived from assumptions regarding hotel occupancy levels and average daily room rates and says the "following assumptions" were derived in consultation with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Below these words is the chart of hotel occupancy rates and average daily room rates. These are clearly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Below the chart is the offending text of comparison between two sets of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my view this comparison of two sets of assumptions is not an assumption at all. It is a present factual comparison of two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Accordingly, I do not find that the Developer and OHR made any representation about the offending text in Note 2(a) as part of their representation of reasonableness of the assumptions and hypotheses.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Ms. MacDonald of HVS issued the opinion letter of November 8, 1996, Exhibit "N" to the Disclosure Statement, based upon the figures in Exhibit "A" to the Auditors' Report, although she had reviewed the same figures under a different format in a proforma given to her dated November 1,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addition, Ms. MacDonald was given a draft of Mr. Donnelly's notes for review and knew that the hotel occupancy rates and average daily room rates being used in note 2(a) for determination of the rooms revenue figure in the Projections were in fact her rates and were rates stated to be derived in consultation with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the opinion letter of November 8, 1996, Ms MacDonald says that, "we have reviewed the hotel's annual operating projections for the initial five years (only as to the operating income before debt service) and it is our considered opinion that they are reasonable and achievable."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"annual operating projections for the initial five years" reviewed by her are not attached to her letter and are not otherwise identified in the letter as to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conclude however that a reasonable prospective Investor reviewing the Disclosure Statement in full would have concluded that Ms. MacDonald was referring to the items and figures in the Projected Statement of Net Income in Exhibit "A" to the Auditors' Report in Exhibit "M", down to the line "Operating Income", and would have reviewed her opinions in that light as there were no other different operating projections identified as such in the Disclosure Statement. I conclude that Ms. MacDonald was in fact opining on these figures although she was doing so looking at them in a different format.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HVS opinion letter informs the reader that 85% to 87% of projected revenues are from rooms revenues and rooms revenues are based on estimated occupancy levels and average room rates. The Westin Grand's occupancy is estimated at 72% in the first year of operation increasing to 80% by its third year of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It is these figures for occupancy that the Investors principally attack as being unreasonably projected.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Specifically the Investors focus on the difference between the occupancy projections of Ms. MacDonald for the Westin Grand for the five years 1999-2003 inclusive of 72.1%, 76.7% and 80% for the last three years, and her occupancy projections for the competitive set of hotels for the same five years of 66.6%, 69.1%, 71.2%, 72.6% and 74.1%. This difference between the projected occupancy figures for the Westin Grand and the projected occupancy figures for the competitive set resulted in Ms. MacDonald concluding an overall penetration of the Westin Grand into the competitive market of 108.8% of its fair share in 1999, 111.2% of its fair share in 2000 and 112.3%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Investors do not attack the Projections as not having been achieved in the final result. They recognize that they were not promised any result. The fact is that the results may not have been achieved for reasons that have nothing to do with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What the Investors do allege is that there was no reasonable foundation for the projections of occupancy rates for the Westin Grand as stated in the opinion letter, and HVS was negligent in opining that these projections were reasonable and achievable.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Investors also challenge the projections for departmental expenses, property operations and maintenance expenses and energy expenses, also part of the overall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Investors submit that while the projections were not representations of fact in themselves, there were implied representations of fact involved in the preparation of the projections, including:</w:t>
      </w:r>
      <w:r>
        <w:rPr>
          <w:rFonts w:ascii="arial" w:eastAsia="arial" w:hAnsi="arial" w:cs="arial"/>
          <w:sz w:val="20"/>
          <w:lang w:val="en-US" w:eastAsia="en-US" w:bidi="ar-SA"/>
        </w:rPr>
        <w:cr/>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were no undisclosed material facts that would or might prevent the Projections from being realized or seriously undermine the accuracy of the Projections.</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assumptions and hypotheses on which the Projections were based were reasonable and reflected circumstances that were likely to exist.</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Projections had been prepared in good faith, using reasonable care and skill, objectively and independently and had not been prepared nor adjusted so as to unreasonably or artificially increase the projected returns to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I accept that the representations of fact alleged by the Investors are to be implied in the projections as they mirror the implied factual assertions accepted in </w:t>
      </w:r>
      <w:r>
        <w:rPr>
          <w:rFonts w:ascii="arial" w:eastAsia="arial" w:hAnsi="arial" w:cs="arial"/>
          <w:b/>
          <w:i/>
          <w:color w:val="000000"/>
          <w:sz w:val="20"/>
          <w:lang w:val="en-US" w:eastAsia="en-US" w:bidi="ar-SA"/>
        </w:rPr>
        <w:t>Danier Leather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 with respect to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Investors submit that HVS owed them a duty of care in preparing the HVS opinion letter because Ms. MacDonald knew before issuing the opinion letter that it would be included in the Disclosure Statement for consideration by prospective purchasers. The Investors also submit that the HVS retainer agreement with the Developer that limited its liability cannot prejudice the full rights of the Investors against HVS, when no such notice of limited liability was given to them in the opinion letter nor in the Disclosure Statement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 agree with both these submissions (See </w:t>
      </w:r>
      <w:r>
        <w:rPr>
          <w:rFonts w:ascii="arial" w:eastAsia="arial" w:hAnsi="arial" w:cs="arial"/>
          <w:b/>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(1992), 69 B.C.L.R. (2nd) 62</w:t>
        </w:r>
      </w:hyperlink>
      <w:r>
        <w:rPr>
          <w:rFonts w:ascii="arial" w:eastAsia="arial" w:hAnsi="arial" w:cs="arial"/>
          <w:color w:val="000000"/>
          <w:sz w:val="20"/>
          <w:lang w:val="en-US" w:eastAsia="en-US" w:bidi="ar-SA"/>
        </w:rPr>
        <w:t xml:space="preserve"> (C.A.); (1997, </w:t>
      </w:r>
      <w:hyperlink r:id="rId295" w:history="1">
        <w:r>
          <w:rPr>
            <w:rFonts w:ascii="arial" w:eastAsia="arial" w:hAnsi="arial" w:cs="arial"/>
            <w:i/>
            <w:color w:val="0077CC"/>
            <w:sz w:val="20"/>
            <w:u w:val="single"/>
            <w:shd w:val="clear" w:color="auto" w:fill="FFFFFF"/>
            <w:lang w:val="en-US" w:eastAsia="en-US" w:bidi="ar-SA"/>
          </w:rPr>
          <w:t>33 B.C.L.R. (3d) 254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conclude that when Ms. MacDonald agreed to have her HVS opinion letter included in the Disclosure Statement, she took on a duty of care to the potential investors unrestricted by any limitation of liability HVS had to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care with respect to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I accept the comments of Wedge J. in </w:t>
      </w:r>
      <w:r>
        <w:rPr>
          <w:rFonts w:ascii="arial" w:eastAsia="arial" w:hAnsi="arial" w:cs="arial"/>
          <w:b/>
          <w:i/>
          <w:color w:val="000000"/>
          <w:sz w:val="20"/>
          <w:lang w:val="en-US" w:eastAsia="en-US" w:bidi="ar-SA"/>
        </w:rPr>
        <w:t>Sharbern</w:t>
      </w:r>
      <w:r>
        <w:rPr>
          <w:rFonts w:ascii="arial" w:eastAsia="arial" w:hAnsi="arial" w:cs="arial"/>
          <w:color w:val="000000"/>
          <w:sz w:val="20"/>
          <w:lang w:val="en-US" w:eastAsia="en-US" w:bidi="ar-SA"/>
        </w:rPr>
        <w:t xml:space="preserve">, at </w:t>
      </w:r>
      <w:hyperlink r:id="rId686" w:history="1">
        <w:r>
          <w:rPr>
            <w:rFonts w:ascii="arial" w:eastAsia="arial" w:hAnsi="arial" w:cs="arial"/>
            <w:i/>
            <w:color w:val="0077CC"/>
            <w:sz w:val="20"/>
            <w:u w:val="single"/>
            <w:shd w:val="clear" w:color="auto" w:fill="FFFFFF"/>
            <w:lang w:val="en-US" w:eastAsia="en-US" w:bidi="ar-SA"/>
          </w:rPr>
          <w:t>2007 BCSC 1262</w:t>
        </w:r>
      </w:hyperlink>
      <w:r>
        <w:rPr>
          <w:rFonts w:ascii="arial" w:eastAsia="arial" w:hAnsi="arial" w:cs="arial"/>
          <w:color w:val="000000"/>
          <w:sz w:val="20"/>
          <w:lang w:val="en-US" w:eastAsia="en-US" w:bidi="ar-SA"/>
        </w:rPr>
        <w:t>, as to the standard of care of a market feasibility projection.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[185] The task of a market feasibility analyst is to assess the feasibility of building a new hotel and project the likely financial performance of the hotel in the future. The analysis involves the estimation of numerous variables to reach a final projection. Each variable requires prediction and estimation, which compounds the uncertainty of the projection. Market feasibility analysis is not a science. The consensus among the experts who testified at trial was that it is more an art than a science, engaging the analyst's judgment, experience, and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Stated more candidly, market feasibility studies consist of a great deal of educated guesswork.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[189] An appraiser is not negligent simply because his or her appraisal proves to be wrong. While gross over-evaluation may be an indication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absence of a reasonable explanation, it does not, by itself,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Regency Mortgage Corp. v. Buchan</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[1984] B.C.J. No. 973</w:t>
        </w:r>
      </w:hyperlink>
      <w:r>
        <w:rPr>
          <w:rFonts w:ascii="arial" w:eastAsia="arial" w:hAnsi="arial" w:cs="arial"/>
          <w:color w:val="000000"/>
          <w:sz w:val="20"/>
          <w:lang w:val="en-US" w:eastAsia="en-US" w:bidi="ar-SA"/>
        </w:rPr>
        <w:t xml:space="preserve"> (S.C.) McLachlin J. (as she then was) said the following at para.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then is required to establish that an appraiser is negligent? Gross overvaluation (or undervaluation) which is not satisfactorily explained may suffice .... Conversely, a small overvaluation, or a large overvaluation which is adequately explained, will not give rise to liability. </w:t>
      </w:r>
      <w:r>
        <w:rPr>
          <w:rFonts w:ascii="arial" w:eastAsia="arial" w:hAnsi="arial" w:cs="arial"/>
          <w:i/>
          <w:color w:val="000000"/>
          <w:sz w:val="20"/>
          <w:lang w:val="en-US" w:eastAsia="en-US" w:bidi="ar-SA"/>
        </w:rPr>
        <w:t>In the final analysis, the court must determine whether the defendant acted reasonably having regard to the standards prevailing in the profession and the inexactitude inherent in the methods by which the value of a property is determined.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Even if the standard of care is low involving a great deal of educated guesswork, the implied representation of the exercise of reasonable care and skill, having regard to the inexactitudes inherent in the appraisal, must still be present and applicable. Otherwise no forecaster could ever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 forecast, and that cannot be the law. Gross overvaluation or undervaluation which is not satisfactorily explained may suffice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Wedge J. said that in considering the projections before her she must resist the temptation to compare the projections to the actual performance of the hotel and consider instead whether they were reasonable at the time they were made. I intend also to consider the reasonableness of the Projections only at the time they were made, and as well at any time they should have been updated and changed, if I should find any obligation on any of the defendants to update and change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Representation of objective reasonableness by the Developer and OHR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 my view the wording of s. 1.4 of the Disclosure Statement, together with the wording in the Auditors' Report and in the Notes to Financial Projections, has imposed on the Developer and OHR an implied representation that the Projections in Exhibit M are objectively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Section 1.4 of the Disclosure Statement advises the Investors that the Projection prepared by OHR is based on assumptions and hypotheses that reflect the course of action planned by the Developer and OHR given their judgment as to the most probable set of economic conditions. The assumptions and hypotheses are also stated to be considered reasonable by the Developer and OHR at the time of preparation, although it is also stated that they may prove to be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hypotheses and assumptions are those stated in Exhibit "M" to include the occupancy assumptions in the Notes at 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Auditors' Report says that the financial projection has been prepared by management using assumptions, including the hypotheses set out in Note 1 and "the hypotheses are consistent with the purpose of this projection" and "as at the date of this report, the other assumptions developed by management are suitably supported and consistent with the plans of the Partnership and Manager, and provide a reasonable basis for the projection, given the hypotheses."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Notes to Financial Projection, Exhibit "C", to the Auditors' Report say that OHR and the Developer have provided the hypotheses and assumptions and the assumptions are based on management's judgment as to the most probable set of economic conditions if the hypotheses are realised and the hypotheses are assumptions which are consistent with management's intended course of action and represent plausible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These statements in s. 1.4 of the Disclosure Statement and in the Auditor's Report and in the Notes to the Financial Projection, all part of the Disclosure Statement, are to be compared to what the Supreme Court of Canada said about the forecast it had before it in </w:t>
      </w:r>
      <w:r>
        <w:rPr>
          <w:rFonts w:ascii="arial" w:eastAsia="arial" w:hAnsi="arial" w:cs="arial"/>
          <w:b/>
          <w:i/>
          <w:color w:val="000000"/>
          <w:sz w:val="20"/>
          <w:lang w:val="en-US" w:eastAsia="en-US" w:bidi="ar-SA"/>
        </w:rPr>
        <w:t>Kerr v. Danier Leather</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2007 SCC 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Writing for the court, Binnie J. under the heading "Did the forecast contain an implied representation of objective reasonableness?"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found that the forecast contained an implied representation of objective reasonableness that extended until closing on May 20. The Court of Appeal disagreed, holding that the forecast contained no implied representation of objective reasonableness in fact, and that none is implied as a matter of law. In my view, as a matter of </w:t>
      </w:r>
      <w:r>
        <w:rPr>
          <w:rFonts w:ascii="arial" w:eastAsia="arial" w:hAnsi="arial" w:cs="arial"/>
          <w:i/>
          <w:color w:val="000000"/>
          <w:sz w:val="20"/>
          <w:lang w:val="en-US" w:eastAsia="en-US" w:bidi="ar-SA"/>
        </w:rPr>
        <w:t>fact</w:t>
      </w:r>
      <w:r>
        <w:rPr>
          <w:rFonts w:ascii="arial" w:eastAsia="arial" w:hAnsi="arial" w:cs="arial"/>
          <w:color w:val="000000"/>
          <w:sz w:val="20"/>
          <w:lang w:val="en-US" w:eastAsia="en-US" w:bidi="ar-SA"/>
        </w:rPr>
        <w:t xml:space="preserve">, the forecast </w:t>
      </w:r>
      <w:r>
        <w:rPr>
          <w:rFonts w:ascii="arial" w:eastAsia="arial" w:hAnsi="arial" w:cs="arial"/>
          <w:i/>
          <w:color w:val="000000"/>
          <w:sz w:val="20"/>
          <w:lang w:val="en-US" w:eastAsia="en-US" w:bidi="ar-SA"/>
        </w:rPr>
        <w:t>did</w:t>
      </w:r>
      <w:r>
        <w:rPr>
          <w:rFonts w:ascii="arial" w:eastAsia="arial" w:hAnsi="arial" w:cs="arial"/>
          <w:color w:val="000000"/>
          <w:sz w:val="20"/>
          <w:lang w:val="en-US" w:eastAsia="en-US" w:bidi="ar-SA"/>
        </w:rPr>
        <w:t xml:space="preserve"> carry an implied representation of objective reasonableness rooted in the language of the prospectus, but this implied representation extended only until the prospectus was receipted on May 6. (Para. 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forecast was prepared as of April 2, and in the prospectus it is stated that "[t]he Forecast is based on assumptions that reflect management's best judgment of the most probable set of economic conditions and the Company's planned course of action as of April 2, 1998" (Final Prospectus, at p. 26). Likewise, the Auditors' Report, dated April 6, advises that "the assumptions developed by management are suitably supported and consistent with the plans of the Company, and provide a reasonable basis for the forecast"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The prospectus further states that the assumptions were "considered reasonable by the Company at the time of preparation of the forecast" and that "[t]he Forecast has been prepared using generally accepted accounting principles"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p. 27). Significant assumptions are then listed. That is enough, it seems to me, for potential investors to infer not just that the forecast represents management's best judgment (as the Court of Appeal held), but also that management's judgment is based on facts and assumptions that reasonable business people in possession of the same information as Danier's management would reasonably regard as reliable for the purpose of a forecast.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I do not see any distinguishing feature between the words of s. 1.4 together with the words of the Auditors' Report and Notes here, about the Projection and the assumptions and hypotheses, and the words of the Prospectus and Auditors' Report in </w:t>
      </w:r>
      <w:r>
        <w:rPr>
          <w:rFonts w:ascii="arial" w:eastAsia="arial" w:hAnsi="arial" w:cs="arial"/>
          <w:b/>
          <w:i/>
          <w:color w:val="000000"/>
          <w:sz w:val="20"/>
          <w:lang w:val="en-US" w:eastAsia="en-US" w:bidi="ar-SA"/>
        </w:rPr>
        <w:t>Danier Leather</w:t>
      </w:r>
      <w:r>
        <w:rPr>
          <w:rFonts w:ascii="arial" w:eastAsia="arial" w:hAnsi="arial" w:cs="arial"/>
          <w:color w:val="000000"/>
          <w:sz w:val="20"/>
          <w:lang w:val="en-US" w:eastAsia="en-US" w:bidi="ar-SA"/>
        </w:rPr>
        <w:t>, and accordingly I find that by the words of s. 1.4 of the Disclosure Statement together with the words of the Auditors' Report and the Notes as outlined above, the Developer and OHR have represented to the Investors that the Projection prepared by OHR as well as the hypotheses and assumptions, are objectively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Ms.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To start with it is necessary to set out in some detail the evidence of Ms. MacDonald of the steps she says she took to provide the HVS opinion letter of November 8,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Following receipt of projections from Mr. Robert O'Neill in June 1996, on July 14, 1996, she sent to Mr. O'Neill, by memo, her occupancy and ADR (Average Daily Rate) estimates by month as well as a penetration by market segment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Her occupancy and ADR estimates by month assigned percentages for occupancy of the Westin Grand for all of the months of each of the years 1999-2003 inclusive. The average occupancy for each year was projected at 72.1% for 1999, 76.7% for 2000 and 80% for 2001, 2002, and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Her penetration by market segment analysis included a page estimating the occupancy for six specific hotels for 1995, the fair share percentage for each of those hotels in 1995 in the commercial, convention, and leisure segments (based on each hotel's number of rooms compared to the total number of rooms in all six hotels), the actual market share by percentage in 1995 that each hotel was achieving in each segment of commercial, convention, and leisure, and how each hotel's actual results in each segment in 1995 compared to their fair share in each segment in terms of percentage (the penetration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These six hotels were the Four Seasons Hotel, the Wedgewood Hotel, the Metropolitan Hotel, the Pan Pacific Hotel, the Waterfront Centre Hotel, and the Westin Bayshore Hotel. The 1995 overall occupancy for the six hotels was 78.6%.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Ms. MacDonald says that after she received Mr. O'Neill's projections she looked for hotels in her database that were going after commercial demand because the Westin Grand was intending to be a commercial oriented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Westin Grand was to be an all suite hotel and she says her experience was that all suite hotels did well with commercial travellers. She says she had appraised approximately 25 all suite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Another page of her market segment analysis showed the Westin Grand in 1999 achieving penetration rates in the commercial segment of 155%, in the convention segment of 45%, and in the leisure segment of 105% with similar figures for 2000 and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Another page of her market segment analysis projected occupancy rates for the Westin Grand with 200 rooms at 71.75% for 1999, 76.76% for 2000, and 80.47% for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On this page Ms. MacDonald showed the Westin Grand's overall penetration at 100% for 1999, meaning that she projected at that time the Westin Grand would capture no more than its fair share altogether. The penetration rates for the Westin Grand for 2000 and 2001 in this run for 200 rooms were 104% and 107%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A final page dealt with the projected revenues and expenses that had been proposed initially by OHR for the year 1999, with Ms. MacDonald's comments about some of the items as "OK" or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She says that her next step was to estimate the new hotels that would be entering the market before 1999 that she considered would probably be generally competitive with the Westin Grand, and the percentage of their rooms that would be expected to directly compete with the Westin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Originally she says she estimated that 852 new competitive rooms would be added to the market, increasing the total number of competitive rooms in the market from 2,192 rooms in the six competitive hotels to 3,044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Subsequently, on October 11, 1996 she did a computer run that showed occupancy for the six competitive hotels dropping to 71.5% in 1999 from 78.6% in 1995, on an increase in supply of 752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On October 16, 1996, she prepared a final computer run of her occupancy estimates by month and her penetration by market segment analysis. On this run her occupancy estimates by month were the same as she had projected on July 14, 1996 showing occupancy rates for the Westin Grand for 1999 of 72.1%; for 2000 of 76.7% and for 2001, 2002 and 2003 of 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This run also showed the percentage of business that had existed for each of the six competitor hotels in each of the market segments for 1995. For instance, for the Wedgewood Hotel it showed its business as 70% commercial, 5% convention and 25% leisure in 1995. For the Metropolitan Hotel it was 50/30/20 and for the Pan Pacific it was 40/40/20. The average for all six hotels was 36/32/32 for the three segments.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 this run Ms. MacDonald projected an increase in demand for the competitive market that she expected in the three market segments of 34.8% by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this run she projected that the number of rooms in the competitive market would increase by 1,298 rooms by 1999, to include the Westin Grand's 207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With increased demand projected of 34.8% by 1999 and increased supply by 1,298 rooms or approximately 60% over the existing supply of 2,192 rooms, she concluded in this October 16, 1996 run that the market wide occupancy for the competitive set would fall from 78.6% in 1995 to 66.6% in 1999, 69.1% in 2000, 71.2% in 2001, 72.6% in 2002, and 74.1%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Included in this run as well was the same chart of 1995 occupancy, fair share, market share, and penetration for the six competitor hotels that she had included in her July 14, 1996 memo to Mr. O'Neill.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Using this chart as a guide, she says that she applied her judgment as to where she thought the Westin Grand would fit in as against the six competitors in each of the three market segments.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For 1999 she estimated that the Westin Grand would capture 160% of its fair share of room nights in the commercial market, 75% of its fair share in the convention market, and 100% of its fair share in the leisure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She saw that the Metropolitan Hotel had captured 141.7% of its fair share of the commercial market in 1995, and the Wedgewood 224% of its fair share of the commercial market in 1995. She says she took into consideration that the Westin Grand was to be an all suites hotel and she considered that the Metropolitan and it were close comparables so she projected the Westin Grand would get 160% of its fair share of the commercial market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When she added together the room nights that she projected the Westin Grand would capture over all three market segments in 1999 and compared that to the number of room nights available at the Westin Grand, she projected that the Westin Grand would have an occupancy for 1999 of 72.39% rounded to 72%. With slight variations in the penetration rates for the three segments, she projected occupancy of 76.77% rounded to 77% for 2000 and 79.98% for 2001, rounded to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projected overall penetration of the Westin Grand as against the six competitor hotels, taking into account her projected increase in demand and supply, was 108.8% for 1999, 111.2% for 2000 and 112.3% for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She says she then determined what the percentage of the Westin Grand's business would be in each market segment in each year and she determined on her numbers that in 1999 the Westin Grand would do 44% of its business in the commercial market, 25% of its business in the convention market, and 31% in the leisure market. The figures were slightly different for 2000 and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She says that she considered the Westin Grand's projected market mix as the most important figures for her. She compared these figures to the market mixes that she had for the Wedgewood for 1995 of 70/5/25, and for the Metropolitan for 1995 of 50/30/20, and was satisfied that her figures were reasonable by comparison.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She says that she had an idea already of what the Westin Grand's market mix should be before she even started her analysis and what she projected was in line with what she thought the hotel could achieve. She says if her calculations had shown a commercial market mix of 70% she would have gone back and adjusted her penetration figures to bring them more in line with what she thought the hotel could achieve.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Following completion of her penetration by market segment analysis, she says she did her occupancy estimates by month. As previously stated she used the same numbers as she had used in the July 14, 1996 memo. She says she only did this projection as a backup to her penetration analysis. While she says she could start with either method and could use the other as a check, as a matter of policy she always starts with her penetration model and follows with her month to month analysis for backup.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She says that if her month by month analysis and her penetration analysis do not support each other, she takes a look at the penetration figures again and may make adjustments. Here the month by month analysis produced occupancy rates of 72.1% for 1999, 76.7% for 2000 and 80% for 2001-2003.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Ms. MacDonald was using 1995 segmentation rates for the Metropolitan Hotel of 50/30/20. She agreed under cross-examination that the Metropolitan figures should have been 40/40/20.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When this error in the Metropolitan Hotel segmentation rates for 1995 was brought to her attention at trial, Ms. MacDonald agreed that its commercial penetration rate should have been 109% of its fair share rather than 141.7%. However she was not prepared to agree that knowledge of this change would have lead her to reappraise where she put the Westin Grand's penetration rate in the commercial segment.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Her response was, "You look at the overall market mix and we were estimating this hotel's overall commercial demand would represent 44% of its total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This is a reference to her October 16, 1996 computer run where she had projected the commercial business in 1999 to be 44% for the Westin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occupancy level that Ms. MacDonald projected for the Westin Grand in 1999 of 72.39%, rounded to 72%, when compared to the occupancy level she projected for the competitive set of 66.6% for 1999, gave the Westin Grand an overall competitive market penetration rate of 108.8% of its fair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Mr. Steven Rushmore is the founder of HVS. Ms. MacDonald says he has written extensively on the methodology involved in preparing income projections for hotels and developed a lot of the methodology she applied. She accepts him as an authoritative source on income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Ms. MacDonald acknowledges that Mr. Rushmore has developed a rule of thumb that a new hotel should not be expected to capture its fair share in the first year. She agrees that this is a frequently observed pattern of build-up but she also points out that Mr. Rushmore allows for exceptions.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She says that in her opinion the Westin Grand was one of those exceptions. In her view it had a great location near a lot of amenities such as the Ford Theatre, the Queen Elizabeth Theatre, the Orpheum Theatre, the Vancouver Public Library, General Motors Place and BC Place, and it was to be a 207 unit all suite hotel that she considered to be attractive to commercial travellers, with a Westin brand. She considered the all suite concept to be a big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She agrees that her practise was to follow the standards set out in the Uniform Standards of Appraisal Practice published by the American Appraisal Institute, and she says she followed the recommended practise in that standard of keeping in her files evidence of her consideration of all applicable relevant data to support her findings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She agrees that there is nothing in her work file or in her opinion letter to suggest that the feature of being all suite was a relevant issue to her. However she says that does not mean she did not take it into consideration as a big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She does agree that the Wall Centre already had 149 suites and she was projecting that the Delta Suites would be opening by 1999 at Seymour Street and Hastings Street, with more suites, and it was to be closer to the commercial core than the Westin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She also allows that the amenities she identified around the Westin Grand are all leisure amenities and not commercial amenities.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She agrees that the Westin Grand would not be in the commercial district but in the entertainment district and that five of her six competitor hotels were closer to the commercial district or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She agrees that the Four Seasons Hotel and Pan Pacific Hotel are five star hotels while the Westin Grand was to be a four star hotel. The Waterfront Hotel is also a four star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She says she did not look for comparable hotels opening at 160% in their commercial segment in year one, but she says that she had her own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Subsequently in the course of this litigation she says she found only one hotel that opened before 1996 at greater than 100% overall penetration and that was the Waterfront Hotel that opened higher in 1992 but then fell back to less than 100% penetration in its second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She says that her database only goes back to the year 2000 and says that is why she has no more examples before 1996. Since 1999 she says she has found only three hotels that have opened at 160% commercial penetration and one was in Dallas, Texas, one in San Diego, California and one in Fort McMurray,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She explains that although she projected demand growing by 34%-35% she projected supply growing at a faster rate so that market occupancy in her view was going to decline.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Originally in July 1996 she had projected 852 new competitive rooms would be added to the market by 1999 bringing the total number up to 3,044 rooms. At that time she projected 1999 occupancy for the Westin Grand with 200 rooms at 71.75%.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When she did her computer run on October 11, 1996 she projected only 752 new rooms being added and showed the occupancy rate for the competitive hotels at 71.5% in 1999. She can not recall now why only 752 rooms were being added in that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When she did her final computer run five days later on October 16, 1996, she added 1,298 or 1299 new rooms, over 400 more rooms than her original estimate of 852 and over 500 more than her October 11, 1996 estimate of 752. At that time she reduced the occupancy rate for the competitive set of hotels down from 71.5% for 1999 on October 11, 1996 to 66.6% on October 16,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On her October 16, 1996 run her projected occupancy rate for the Westin Grand remained the same at 72% for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In response to the question why she continued to project 72% occupancy for the Westin Grand in 1999 when she had lowered the average occupancy rate for the competitive set because of the increase in supply, her response was, "I thought this 207 room hotel, all suite hotel, would open up at 72%. I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Expert evidence was given at trial by three qualified hotel valuators. Mr. Kleinschmidt of Price Waterhouse Coopers ("PWC") gave evidence for the Investors while Mr. Flood gave evidence for HVS and Mr. Rosen gave evidence for OHR. Both Mr. Flood and Mr. Rosen had given evidence before Madam Justice Wedge in </w:t>
      </w:r>
      <w:r>
        <w:rPr>
          <w:rFonts w:ascii="arial" w:eastAsia="arial" w:hAnsi="arial" w:cs="arial"/>
          <w:b/>
          <w:i/>
          <w:color w:val="000000"/>
          <w:sz w:val="20"/>
          <w:lang w:val="en-US" w:eastAsia="en-US" w:bidi="ar-SA"/>
        </w:rPr>
        <w:t>Sharbern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Kleinschmidt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Mr. Kleinschmidt is the director of Hospitality and Leisure Advisory Services for PWC in Vancouver and leads its hospitality and leisure industry practise. His CV says he has extensive strategic, operational and development experience having held positions with Delta Hotels, Coast Hotels and Western Hospitality Hotels. In his evidence he says his development experience was with Western Hospitality Hotels, his father's business, and his operational experience was with in line positions. He had no extensive strategic experience with any of the three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From 1987 to 1991 he was with the hospitality and leisure practise of Panell Kerr Forster ("PKF") in Vancouver, and in 1992 was a director in PKF's Hong Kong office and in 1994 managing director of PKF's Asia/Pacific practise. From 1992 to 1999 he was working in Asia and had no personal experience with the Vancouver hotel market between those years. In 1999 he joined PWC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He has no property valuation accreditations and is not a member of any professional appraisal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He says he has been a market and financial advisor to many of the world's leading hotel management and development companies and has completed over 100 market and financial feasibility studies for new hotels and resort developments in Canada, Asia and the Caribbean.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He says that he specialises in the lodging sector and has extensive knowledge of the procedures involved in preparing market and financial projections for new hotel developments.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He is of the opinion that many of the assumptions/analysis for the projections have an absence of supporting market information, contain differences from industry benchmark data, and are unreasonable based on his knowledge of the Vancouver hotel market and experience 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He considers that the commercial market penetration rates projected for the Westin Grand of 160% in year one increasing to 165% for years two and three have not been adequately substantiated as its commercial penetration rate was higher than the penetration rates for five of the six competitive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In his view there are several factors not considered that do not support the higher commercial market segment penetration rate than its penetration rate for convention and leisure market segments. Its off-centre location and close proximity to leisure and event demand generators such as the Ford Theatre, BC Place Stadium and GM Place, in his view, put it in a stronger position to attract leisure business and not commercial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He says the Westin Grand is not in close proximity to Class A office space and commercial users would be more inclined to use hotels in the core area of downtown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In his opinion the absence of much stronger competitive attributes and its off-centre location would not support higher market penetration rates than other branded hotels in stronger downtown core locations, including the competitive set of hotels, especially in the commercial segment and particularly in the first year of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his opinion the competitive set should have included comparable off-centre hotels as well as those that were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He says he did not consider whether the Westin Grand's all suite configuration was an advantage. He says that it would not necessarily be an advantage in all cases as in his view it depends on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He considers that the opening year overall market penetration of 108.8% was not reasonable as a new hotel typically achieves less than its fair share in years one and two as it builds business and market awareness. When preparing projections it is typical to assume this type of progression for a new hotel unless it has significant attributes that give it a competitive advantage. The Westin Grand's penetration rate in his view was inconsistent with this typical situation as documented by Mr. Rushmore in his 1992 guide on hotel valuations.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As an example he points out that the Wall Centre Garden Hotel (now the Sheraton Wall Centre) opened in August 1994 and in 1995 its overall market penetration was only 81.1%.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He considers that the revenue and expense results for the Inn at the Westminster Quay for food and beverage were not good comparisons for the Westin Grand projections as the Inn at Westminster operated in a different market and was a different quality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He says that the projected rooms expenses for the Westin Grand at 28% of room revenue in year one decreasing to 25.6% in year two and to 24.6% in year three were lower than the market average for full service hotels in 1995 of 30.8% and lower than the competitive hotels of 27.3% to 31.7%, and in his view there was no basis to conclude that the Westin Grand would achieve lower average room expenses after year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He says the energy expense projections of 1.95% of revenue dropping to 1.69% by year three were lower than the industry benchmark averages of 2.4%, and lower than the energy expenses of the competitive hotels of 1.69% to 4.8%, with no indication of why this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He says projected property operations and maintenance expenses of 2.96% and 2.97% of revenue in years four and five were lower than industry benchmark data when they should have stabilized at the industry benchmark average for full service hotels of 4.3% of total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Other criticisms he has of the projections include that in the market segment penetration analysis for the Westin Grand, the comparison was made to the market segment penetrations of the existing competitive hotels in 1995, without projecting those market segment penetration rates of the competitive hotels forward to 1999 and without accounting for how new supply entering the market by 1999 would affect the different market segments.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Mr. Flood has been the vice-president of valuation and consulting for CBRE Hotels, since 2006. He is responsible for overseeing all hotel related valuation and consulting activities for CBRE Hotels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He has been a member of the Appraisal Institute of Canada since 1976 and received his designation as an accredited appraiser in 1984. He has served on provincial and national professional practice committees and as a senior review grader for the institute. He is also a certified lecturer on valuation issues and uniform standards of professional appraisal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For 25 years he has focussed on the analysis of investment property. While with Colliers International Realty Advisors Inc. between 2001-2006 he was responsible for the management of five offices located across Canada including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In the last five years he has valued Hilton hotels in Toronto, Montreal and St. John as well as the Delta Chelsea in Toronto and a portfolio of 75 limited service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He is of the opinion that HVS followed accepted steps and procedures in reviewing the projected operating results for the Westin Grand and he considers that HVS exercised the average degree of skill, care and diligence to be exercised by members of the profession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In his opinion it met the standard of care of a hotel consultant practising in the latter half of 1996 when it expressed the opinion that the Westin Grand's annual operating projections were reasonable and achievable.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He also holds the view that given the number of variables to be considered in creating hotel financial projections, two consultants acting reasonably can arrive at different conclusions on occupancy, average room rate and expense levels for a hotel. The range of reasonableness in his view is dependent on the complexity of the assignment and in his experience a reasonable range in conclusions is 5% for less complex types of property and 10% for an established operating hotel or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He considers this assignment to have been very complex involving a yet to be built hotel and a rapidly changing market with many variables.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Based on his view of the complexity of the assignment he says that the opinions expressed by HVS were within the range of a reasonably competent consultant for this type of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In preparing his report Mr. Flood was under the impression that HVS did no more than review five-year annual operating projections (before debt service) prepared by OHR, as stated in the HVS retainer agreement with the Developer and as stated in the HVS opinion letter of November 8, 1996. He was not aware at that time that HVS had in fact prepared its own occupancy projections and revenue figures, as well as some expense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He says the high market share in the commercial segment of 160% in year one increasing to 165% in years two and three appears to be a result of the Westin Grand's location in the downtown area, its positioning as a luxury hotel, its all suite configuration, and its affiliation with Westin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He is of the belief that Westin Hotels, an internationally recognized hotel chain frequented by business travellers, would direct corporate business to the Westin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It is his view that the all suite configuration of the hotel would be expected to result in high occupancy figures as his experience is that all-suite hotels typically outperform the market in occupancy.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He considers the all suite configuration of the Westin Grand to be a significant competitive advantage in both the commercial and leisure segments as suites tend to provide large space, divided rooms and increased amenities.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He is of the view that as a recognized luxury branded hotel, the Westin Grand would be expected to compete with the best hotels in the downtown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He recognizes that the six competitive hotels are all luxury hotels and proximate to commercial, leisure and conference demand generators.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In his view the Westin Grand, on the easterly edge of the downtown core, was to be built in a rapidly developing area and all seven hotels, although dissimilar in some respects, would be similar enough to allow all to compete for the bulk of their business on an equal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He agrees that the Westin Grand does not have a preferential location but it does have the same location advantage in his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He agrees that a 160% commercial penetration rate for the first year is a high rate and was a better rate than all the luxury chain competitor hotels, and he agrees there should be a strong compelling reason for assigning to it a commercial rate of 160% in its first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He agrees that if the Westin Grand's overall penetration rate is dependent on a high penetration rate in one segment, there should be supporting rationale for believing a high penetration rate can be achieved in that one segment.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However, he considers segmentation to be only a way to rationalize the overall penetration of a hotel. He considers segmentation at best to be only an estimate, as he says different hotels track segmentation differently, and it can vary from year to year. He says there is a certain amount of interpretation required in a segmentation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He considers the overall market penetration to be a more reliable indicator than building up occupancy through segmentation. The starting point in his view is to determine on an overall basis how the hotel will perform versus the market, and then rationalize the result by considering the different segments.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He acknowledges the projected overall market penetration of 108.8% increasing to 111.2% in 2000, to be a strong level of market share, and he recognizes that typically hotels require a period of time to reach stabilized performance. However he views this scenario as only a rule of thumb set by Mr. Rushmore, and he has seen exceptions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He does not consider the Vancouver market in the late 1990s to have been a typical market given high occupancy levels and rapid growth in tourism and air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He does not consider this to be an unreasonable market share for a new small size all suite hotel with a Westin branding.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Taking into account the Westin branding, its size, location, all suite configuration, the provision for new room supply expected to enter the market and the anticipated increase in room demand, a projected occupancy of 72% in the first year increasing to 77% in the second year appears to him to have been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He agrees it was a 60% increase in room supply that led HVS to predicting a drop in the occupancy for the competitive set by 1999, and he agrees that any consideration of the reasonableness of the occupancy figures for the Westin Grand should be done in the context of the occupancy expected for the competitive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He also agrees that there should be good strong reasons to bring a new hotel into the market substantially above the level of the competitive set and it should be even more compelling when it is in a period of overbuilding where occupancy decreases in the competitive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He says it would be important to him to know the makeup of the new supply assumed between July and October 1996 in assessing the reasonableness of not dropping the Westin Grand occupancy along with the competitive set occupancy in October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However, he agrees if occupancy is projected at 72% on one view of the market and then a different view of the market is developed with a drop of five points, he would expect a drop in the occupancy projections for the subject property. Whether it would be a drop of five points or not he cannot say but in his view the drop in the market would have some effect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He says some hotels perform better in a downturn in the market than others do, but a reduction in the average occupancy for the competitive set in his view is going to affect the subject property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The extent of the effect on the occupancy of the subject property is in his view a matter of professional judgment but to assume no effect he agrees would be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He says he has never done a month-by-month analysis of occupancy rates and he does not think it is all that reliable a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In answer to Mr. Kleinschmidt's criticism that HVS did not project the market segment penetration rates of the competitor hotels forward to 1999 from 1995 in order to do a segment penetration comparison for 1999, also taking into account projected new supply, he says that this was not an industry standard at the time to do that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In answer to Mr. Kleinschmidt's criticism of the projections for room expenses that were estimated at 28% of revenue dropping to 24.6% in year three, he says HVS used data for full service hotels across Canada and not all hotels submit their data so the samples have to be taken with a grain of salt.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He also says that comparing industry averages is a flawed practise because higher revenue levels result in lower costs on a percentage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He did not consider operating results for Westin hotels across Canada and does not know if any such data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Food and beverage expenses were also projected on a percentage of department revenue. Mr. Flood notes that the Westin Grand was to contract out the operations of the restaurant and receive only a percentage of the revenue and he does not have any market data to draw comparisons.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He recognizes that energy expenses were projected at significantly less than comparable market indicators. However he observes the Westin Grand was to have limited public areas and based on the information provided to him the hotel was to incorporate energy efficiency resulting in a lower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He also saw that property operating and maintenance expenses were low as compared to market norms but says the newness of the property and limited amount of food and beverage services and meeting space would result in a lower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Rosen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Mr. Rosen is Chairman and CEO of Horwath Horizons Consultants, a member firm of Horwath International, one of the world's largest accounting and hospitality consulting firms.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He received his BA in the School of Hotel Restaurant and Institutional Management from Michigan State University in 1973. He started working at the Toronto office of Laventhol and Horwath, an accounting and management consulting firm specializing in the hotel industry, doing market studies and feasibility studies for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From there he formed his own consulting firm in 1979 doing management consulting and operational services for hotels and restaurants, and in 1980 combined his firm with another firm managing hotels in Ottawa and Halifax where he became responsible for overseeing the operations of the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In 1984 he rejoined Laventhol and Horwath where his practise was doing market studies, feasibility studies and valuations of hotels and resorts for all the major hotel companies. As part of his responsibilities he says he became familiar with the all suite concept. He was retained by a hotel chain that planned a chain of all suite hotels across the country so he says he studied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In 1992 he joined Delta Hotels and Resorts as Vice President of Marketing and Sales with the responsibility to work with the individual hotels reviewing their marketing plans. This brought him to Vancouver three or four times a year as Delta had hotels in Richmond, Vancouver and Whistler.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In 1995 he formed his own company, Horizon Hospitality Group, a management consulting practice specializing in market and feasibility studies, valuation, strategic marketing and hotel, resort and golf course development and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In 1996 he re-launched the Horwath brand in Canada and continued his consulting practice, involving some engagements in Vancouver for Travelodge, Marriott, Delta and CP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In 2000 he was elected chairman of Horwath International's worldwide hospitality consulting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He is a frequent lecturer at universities and a speaker at conferences on tourism development, hotel investment and development, marketing, strategic planning, operational management and customer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He is also the author of articles on valuation of hotels and is the primary author and contributing editor of the CCH publication Canadian Hospitality Industry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He is of the opinion that a consultant acting reasonably would not conclude that the projections were unreasonable based solely on the fact that there is an absence of supporting market information and the projections are different from industry benchmark data. In his view hotels can perform well above and below industry benchmarks.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He says that Mr. Kleinschmidt sets out a step-by-step procedure for conducting a feasibility study without giving any consideration to the instructions given to HVS by the developer and the HVS engagement letter which confirmed that HVS was to provide consulting services in reference to its opinion of the achievability of projections for the hotel which had previously been made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He says a review engagement is not a typical engagement although he says the steps one would take are similar, but not necessarily as detailed as those for a market or feasibility study. Rather the steps taken would be more to test the reasonableness of the assumptions used in preparing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In his view it is not necessary to document all the steps that are done to determine whether the projections are reasonable and achievable. However, to the extent possible, he agrees all the assumptions should be documented.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In an engagement of the type here in his view the methodology followed by a hotel consultant acting reasonably would include a series of tests to allow him/her to satisfy themselves that the projections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He assumes from the HVS data that HVS had performed the necessary tests to determine the achievability of the projections and he assumes that HVS had independently determined that the projections were achievable based on its analysis of available market information and its informed judgment applied to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In preparing his report Mr. Rosen was also of the misunderstanding that HVS was only reviewing OHR's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He says Mr. Kleinschmidt did not follow the methodology necessary to determine if the projections were reasonable as he provides no supporting information or analysis of the Vancouver economy or downtown Vancouver hotel market in 1996. Mr. Rosen says Mr. Kleinschmidt criticises the methodology followed by HVS but has not done any analysis himself of the appropriate competitive set, any analysis of the appropriate projected competitive supply and demand, any analysis of market segmentation of the competitive set, any analysis of average rates in the competitive set, and any analysis of potential market penetration of the Westin Grand. He also says Mr. Kleinschmidt has not relied on any relevant industry comparable data to show that the projections of operating expenses were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In his opinion Mr. Kleinschmidt could not reasonably reach the conclusions he did in the absence of supporting market information and solely on the basis that the projections differ from industry benchmarks.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In his view the Westin Grand site was as desirable a location as any other hotel in Vancouver in relation to corporate and leisure demand generators. It was not at any competitive advantage or disadvantage for commercial business in terms of its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He agrees most of the competitive set chosen by HVS were better located in relation to the greater percentage of commercial office space, but to him that did not mean the Westin Grand was not as well located in relation to commercial demand generators.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While he agrees the Westin Grand site was not in the heart of the downtown core in his view it did not have to be as all of its business did not necessarily have to come from that core. In his view it was still close to a number of office buildings that would likely provide a good portion of its commercial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The Westin Grand was to be a suite product which he considers would give it a significant competitive advantage. It was to have limited meeting space and limited food and beverage facilities and was going to cater primarily to the corporate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It was also to be branded as a Westin hotel, another significant competitive advantage in his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In his view the fact it was a Westin hotel and an all suite hotel indicated to him that the hotel would out perform the market in the corporate segment.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He says he has not been provided with any facts or assumptions on how HVS arrived at a 160% penetration rate for the commercial segment and he agrees with Mr. Kleinschmidt that it was not adequately substantiated. However he says Mr. Kleinschmidt provides no analysis of what he believes would have been a reasonable penetration rate in the commercial segment.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In his opinion this level of penetration in the commercial segment was still reasonable because:</w:t>
      </w:r>
      <w:r>
        <w:rPr>
          <w:rFonts w:ascii="arial" w:eastAsia="arial" w:hAnsi="arial" w:cs="arial"/>
          <w:sz w:val="20"/>
          <w:lang w:val="en-US" w:eastAsia="en-US" w:bidi="ar-SA"/>
        </w:rPr>
        <w:cr/>
      </w:r>
    </w:p>
    <w:p>
      <w:pPr>
        <w:numPr>
          <w:numId w:val="4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Vancouver hotel market was achieving very high occupancy levels and there were strong indicators that this would continue for the foreseeable future. He says there were no negative factors to indicate that it would not continue to be a strong economic market. He does not consider expected overbuilding to necessarily have been negative as in his view it takes time to absorb new supply and an occupancy in 1999 that continued in the high 60%s was in his view still a very healthy economy. He agrees this reason alone however does not give the Westin Grand any competitive advantage over the other hotels.</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Westin Hotels are in the top tier for business travellers. Again, he agrees all the competitive hotels are in the top tier.</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Westin Grand would be one of three higher end properties in Vancouver featuring suites.</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was proximate to a number of commercial demand generators.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In his view no one factor might stand out for the Westin but considering all factors it had a comparative advantage in the commercial marketplace.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Mr. Rosen did not do his own independent assessment of the penetration rate for the Westin Grand in the commercial segment or any segment either. He says he took the HVS segmentation rates as given and did his tests to see if they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He says that given the strength and preference for the Westin brand in Canada, its reservation system and international sales network, the size of the Westin Grand and its all suite product, its location and the buoyancy of the Vancouver hotel market at the time, in his view a hotel consultant acting reasonably would have concluded the hotel would achieve very high penetration levels within the commercial segment, and it was not unreasonable to project it would achieve higher penetration levels in the commercial segment than the Metropolitan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He was made aware of the change in penetration rates for the Metropolitan Hotel in the commercial segment but he says he would have expected that the Westin Grand would do significantly better than the Metropolitan. He would have considered that it would compete at a level close to the Wedgewood for business travellers.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He does not agree that with the adjustment to the Metropolitan penetration rate in the commercial segment that a competent consultant would have gone back and revisited the penetration rate given for the Westin Grand, because at the end of the day, in his view, the issue is whether the projected occupancy rate of 72% for the first year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He does not think that an overall market penetration of 108.8% in year one was unreasonable. In his view there is no hard and fast rule that a hotel has to ramp up over time. While he says it is typical that hotels do not achieve their fair share of the market or better in the first year, hotels that do exceed their fair share in the first year tend to be distinctly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He says in 1992 Cambridge Suites in Toronto opened at 130% of its fair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He agrees this was unusual, but there was no reason in his opinion to think it could not happen in Vancouver given the market at that time and where it was going and given the hotel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He does not think the supply projected forward to 1999 would alter the customer mix for the hotel as in his view the new supply would impact the whole market and not just the Westin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He agrees that a hotel consultant reporting on occupancy projections for the hotel would also be expected to report on the occupancy projections for the market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He does not think the operating data for the Westin Bayshore would have been comparable to the Westin Grand. However he did not see any of this data or any data for any other Westin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He considers that both Mr. Kleinschmidt and HVS should have used all suite statistics for the revenue and expense projections. In his view full service hotels were not a relevant industry comparable so HVS did not rely on relevant industry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Nevertheless in his view her numbers were much in line with all suite benchmarks.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PKF reports for 1995 and 1996 for suite hotels showed room expenses ranging from 26.4% to 27.7% of room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In his view rooms expenses as a percentage of room revenue decline as room revenues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In his experience room expenses could range between 20% and 30% of room revenue and so the rooms expense projected here was within that range and in his view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He also considers the projection for energy costs to have been reasonable and achievable in relation to all suite hotels and he is of the view that over the entire projection period a reasonable consultant would not consider this to be a material cost to consider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He considers the ultimate test to be whether the projections were reasonable. How HVS got there in his view is not important. He agrees that reasonable projections could be obtained by throwing a dart at a dart board. The test, in his view, is whether the projection numbers made sense. In his view Ms. McDonald had reasonable projections and she had good supporting data to back up her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As his own tests to determine the reasonableness of the projections he expanded the competitive set to include four other full service hotels in one scenario and then two full service hotels in a second scenario, increased demand from 1996 to 1999 at different rates than HVS had, which he considered more reasonable, and added the HVS projected new supply, which he considered reasonable, but introduced it at a staggered rate over the projection period 1999-2003 in one scenario and then added all the supply in 1999, as Ms. McDonald had assumed, in another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With four other hotels added to the competitive set, and all new supply added in 1999 as Ms. McDonald had assumed, he showed market occupancy at 67.0% instead of 66.6% that Ms. McDonald had projected, and he showed the Westin Grand penetration rate at only 107.6% instead of 108.8%, assuming the HVS occupancy rate of 72.1%.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With four other competitive hotels added and the new supply staggered over the period 1999-2003 his market occupancy for 1999 became 69.6% and the Westin Grand penetration rate 103.7%, assuming 72.1% occupancy.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With only two other hotels added to the competitive set and all the supply added in 1999, his market occupancy dropped to 63.7% and the Westin Grand's penetration, again assuming 72.1% occupancy, became 113.2%.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With two other hotels added to the competitive set and new supply staggered over the projection period, his market occupancy became 69.6% and the Westin Grand's penetration rate, at 72.1% occupancy, became 103.6%.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Mr. Rosen did not adjust the Westin Grand occupancy rates for 1999-2003 as HVS had projected, in any of his scenarios, as he considered those occupancy rates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He says the purpose of his scenarios was to test the HVS occupancy rates, which he had already concluded to be reasonable, by comparing them to where he thought, on his own knowledge of the market in 1996, and on his own analysis, the competitive market occupancy rates would be in the projection period. He says he could then see where the Westin Grand occupancy rates projected by HVS ended up by comparison and determine whether he considered the differences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In his scenarios the Westin Grand occupancy rates all ended up still being above the market occupancy rates, but to different degrees. He considers the differences to all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When asked what his threshold of reasonableness was Mr. Rosen said it could have been a penetration rate of 120%, he did not know, it was hard to say. He says he was only testing whether the HVS occupancy rates were reasonable and these tests suggested to him that they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When asked how all this was of assistance to the court in determining the reasonableness of the assumptions Ms. McDonald used in 1996, he again says at the end of the day what is important is whether the 72% occupancy was reasonable. She may have a different way of getting there in his view, a different approach than how he gets there, but in his view the test is whether her occupancy was reasonable against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Mr. Rosen says that in using the 1995 benchmark data for revenues and operating expenses for all suite hotels that he considers HVS should have used for comparison purposes, and adjusting some of the all suite expenses to levels he thought were more appropriate for the Westin Grand, and adjusting the 1995 average room rates for the all suite hotels to the 1995 base rates for full service hotels, and then comparing those figures to the 1999 projections, he determined that the operating income on an all suite adjusted basis was 50.2% of total revenue, before deduction for management and franchise fees, compared to 52.2% in the projections. This also satisfied him that the projections were reasonable when compared to the benchmark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Finally he did a comparison between his total revenue figures and operating income figures as he determined them to be on his adjusted all suite hotel data, and the projection figures for both those items, and concluded that the variance to the projection figures was only 2% in year one to 4.7% in year three with an average variance over the five year projection period of only 1.7%. From this he also concluded the projections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on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Investors counsel submits that the opinions of Mr. Kleinschmidt should be accepted as his opinions are supported in many respects by the other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It is submitted that his opinion that the occupancy projections were unreasonable is supported by the evidence of Ms. McDonald herself that she reduced the market occupancy projections by five points without reducing the Westin Grand occupancy projections, when she added new supply between July and October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Reliance is placed on the evidence of Mr. Flood when he says it was unreasonable not to conclude that the increase in supply would have some effect on reducing the Westin Grand's occupancy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Reliance is also placed on Mr. Flood's opinion that the locations of the Westin Grand and the competitive hotels were similar enough to allow the hotels to compete for the bulk of their business only on an equal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It is further submitted that the evidence of Mr. R. O'Neill that he projected the Westin Grand as opening below its fair share and not above, albeit on a different set of competitive hotels, is also support for the unreasonableness of the occupancy projections by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Support is also said to exist for the unreasonableness of the projections in the fact that when OHR did its business plan in 1998 it perceived the Westin Grand as not having a good location for the commercial district market and at that time projected competitive set occupancy rates at 67.6% in 1999, 68.18% in 2000 and 64.75% in 2001, with penetration by the Westin hotel opening at 97.6% in 1999, 100.5% in 2000 and 100.69%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Reliance is also placed on the experience of other major hotels that opened before 1996 at less than their fair market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On the expense side the submission is that a rooms department expense at 28% for year one, stabilizing at 24.6% in year three, was unreasonable by comparison to other Canadian Westin hotel statistics that showed the stabilized rate at above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It is submitted that Mr. Kleinschmidt's opinion that property operations and maintenance expenses, while discounted appropriately in years 1-3, should return to normal at industry benchmark levels thereafter, is supported by Ms. McDonald's own practise when reporting later on the Opus hotel, and is also supported by the fact that in her original draft opinion on the Westin Grand she had said that warranties were commonly in effect for three years, but then changed that in her final opinion to say they were for "initial years", at the request of the Developer, thereby departing from her normal practise.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Counsel submits that the opinions of Mr. Flood as to the reasonableness of the projections should be discounted when he was not aware of Ms. McDonald's error on the commercial segment penetration for the Metropolitan Hotel and was not aware of the increase in supply that HVS assumed between July and October 1996 without any adjustment to the Westin Grand occupancy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It is submitted that on Mr. Flood's own evidence no competitive advantage was demonstrated for the Westin Grand over the competitive set in the commercial segment and it was only when he was made aware of the error on the Metropolitan commercial segment penetration rate and allowed that it could possibly militate in favour of adjusting the Westin Grand's commercial segment penetration rate that he resiled from any reliance on segmentation as being too subjective and said he relied only on overall penetration as more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It is submitted that at the same time Mr. Flood agreed that in deciding whether there were reasons for the Westin Grand to perform better than the market one did have to consider the relative performance in the different segments.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It is submitted that although Mr. Flood identified the Westin Grand's all suite configuration as one factor for its high market share in the commercial segment, he did not consider any all suite data from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It is also submitted that Mr. Flood never had the available information from OHR on other Westin hotels in Canada and never considered this on the issue of market share, penetration or room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It is pointed out that Mr. Flood did not offer any opinion on Mr. Kleinschmidt's view that property operations and maintenance expenses should only have been considered lower in the first three years and not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Counsel submits that the opinions of Mr. Rosen should also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It is submitted that Mr. Rosen was entirely focussed on the conclusions for occupancy, penetration and expenses and not on the methodology and reasons applied to these conclusions, and it did not matter to him how HVS arrived at its conclusions as long as the conclusions met his standard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Mr. Rosen was critical of Ms. McDonald for not using the all suite data but when he compared the all suite data he still said that her numbers were reasonable and somehow concluded that she had employed appropriate and sufficient analytical procedures. It is submitted that this cannot be and should not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It is submitted that a prospective investor relies on the author of projections to have special skills and knowledge and bring those to bear on the conclusions using reasonable care. If told that the projections are nothing more than a lucky guess it is submitted that there would be no reliance by a reasonable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Mr. Rosen, like Mr. Flood, was also under the false impression that HVS was only doing a review of projections prepared by OHR and was not doing its own projections, and it is submitted that this must colour both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Mr. Rosen initially knew nothing about the Metropolitan data error in HVS formulating its commercial segmentation rate for the Westin Grand and yet was still able to opine that a 160% commercial penetration for the Westin Grand was reasonable. It is submitted that this should not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Mr. Rosen said the error in the Metropolitan commercial segment penetration would not lead a consultant such as HVS to revisit its positioning of the Westin Grand as the Metropolitan still had 80% occupancy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It is submitted that this answer ignores the whole purpose of market segmentation, which is to focus on the attributes of a hotel as against the competitors.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It is submitted that Mr. Rosen could not single out one factor that gave the Westin Grand an advantage in the commercial segment and it is submitted that the sum cannot be any greater than its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It is submitted that Mr. Rosen has unfairly criticised Mr. Kleinschmidt's opinions saying that they were formed in the absence of supporting market information and solely on the basis of the projections differing from industry benchmark data. He would not agree that Mr. Kleinschmidt provided rationale and data for his opinions, and he took the position that they amounted to no rationale at all with no supporting information. It is submitted that this is not a fair assessment of the evidence of Mr. Kleinschmidt.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Mr. Rosen criticizes Mr. Kleinschmidt for not doing his own market penetration for the Westin Grand and it is submitted that Mr. Rosen and Mr. Flood have not done any more for their own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While Mr. Rosen prepared alternative scenarios based on his views of the competitive market occupancy rates in comparison to the Westin Grand occupancy rates, it is submitted he never conducted his own independent analysis of what the Westin Grand occupancy rates should have been. He simply concluded that the HVS occupancy rates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It is submitted that this does not assist the court in determining whether HVS acted reasonably in what it did but introduces new considerations postulated by Mr. Rosen that would require a new trial as to their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It is submitted that no reasonable conclusion can be reached on Mr. Rosen's alternative scenarios without full evidence on why he came to the conclusions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Mr. Rosen was not given and did not consider any Westin hotel data. While he gave a range for rooms department expenses of 20%-30%, he also said that typically rooms department expenses for a hotel like the Westin Grand would be in the 26%-29%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Mr. Rosen said the data from the Westin Bayshore was not directly comparable because of its size and amount of public space and staffing levels. It is submitted that this cannot be so when the Westin Bayshore is a hotel of the same brand subject to the same standards. Even Ms. McDonald said the information would have been relevant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It is submitted that in analyzing operating costs Mr. Rosen selected all suite hotel data despite the difference between the average room rates for these hotels of $83 in 1995 compared to the competitive set for the Westin Grand in 1995 of $148.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For property operations and maintenance expenses and energy costs Mr. Rosen used actual inflation factors after 1996 to adjust his benchmark data forward, rather than the inflation factors HVS assumed in 1996. Accordingly it is submitted that this analysis is not a useful test on the assumptions HVS had to make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Using all suite data required Mr. Rosen to make adjustments to room rates and operating costs because these all suite hotels were in a different rate class from the Westin Grand and its competitors. He would not agree that statistics for full service hotels would be more useful as he did not consider the Westin Grand to be a full service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xml:space="preserve">  At the same time Mr. Rosen agreed with the comments of Mr. Rushmore in his 2001 edition of </w:t>
      </w:r>
      <w:r>
        <w:rPr>
          <w:rFonts w:ascii="arial" w:eastAsia="arial" w:hAnsi="arial" w:cs="arial"/>
          <w:i/>
          <w:color w:val="000000"/>
          <w:sz w:val="20"/>
          <w:lang w:val="en-US" w:eastAsia="en-US" w:bidi="ar-SA"/>
        </w:rPr>
        <w:t>Hotels and Motels - Valuation and Market Studies</w:t>
      </w:r>
      <w:r>
        <w:rPr>
          <w:rFonts w:ascii="arial" w:eastAsia="arial" w:hAnsi="arial" w:cs="arial"/>
          <w:color w:val="000000"/>
          <w:sz w:val="20"/>
          <w:lang w:val="en-US" w:eastAsia="en-US" w:bidi="ar-SA"/>
        </w:rPr>
        <w:t xml:space="preserve"> where Mr. Rushmore said that in evaluating several financial statements from other properties the appraiser should first look for income and expense data from hotels that are similar in terms of average room rates and generally hotel operating data should not be compared unless the properties are either in the same class or no more than one class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Counsel points out that Mr. Flood said that in the early 1990s there were not a lot of all suite hotels across Canada and some were better quality while some were mid-market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He also points out that Mr. Flood agreed that if all suite average daily rates were substantially less it might indicate that they were not a very good comparable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Mr. Flood agreed the goal was to pick as close a comparable as possible to reduce the subjectivity of any adjustment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It is submitted that Mr. Rosen's evidence of adjusting all suite data should be rejected as the all suite room rates are entirely different than the room rates projected, which is contrary to the advice of Mr. Rushmore with which Mr. Rosen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It is submitted that all Mr. Rosen did was to make arbitrary adjustments to the all suite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Counsel for HVS submits that Mr. Kleinschmidt's opinions should be given little weight because of his lack of involvement in and knowledge of the Vancouver hotel market in the period 1992-1999 when he was out of the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It is submitted that the opinions of Mr. Flood and Mr. Rosen should be accepted over the opinions of Mr. Kleinschmidt as they had more actual experience in Canada and British Columbia in the period 1996 to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It is submitted that Mr. Rosen's opinion should be accepted that the location for the Westin Grand was a great site in relation to demand generated for commercial as well as leisure business and Mr. Kleinschmidt agreed that while it was in an off-centre location it was within walking distance of the core of downtown.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It is submitted that Mr. Flood's opinion that an all suite hotel typically outperforms the competitive market for occupancy and daily rate should be accepted. Mr. Kleinschmidt did not consider the importance of the Westin Grand being an all suite hotel and did not assess it on that basis, although he did agree that it could have advantages in certain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Although Mr. Kleinschmidt considered that the commercial market penetration rate of 160% had not been adequately substantiated, he also agreed that assigning a penetration rate is subjective and judgment based and Mr. Flood said segmentation is only an estimate with a certain amount of subjective interpretation involved and it depends on how hotels track it and it can vary.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It is submitted that Mr. Flood's opinion should be accepted that the starting point is how well the hotel would perform against the market on an overall basis which he considers to be a more reliable indicator than building occupancy through segmentation.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It is also submitted that Mr. Rosen's opinion supporting the commercial penetration rate for the Westin Grand should also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While Mr. Kleinschmidt said that the overall projected penetration of the Westin Grand at 108.8% was contrary to the rule of thumb of a new hotel entering the market, as Mr. Rushmore described in his book, Mr. Kleinschmidt's example of the Wall Garden Centre that opened up below its fair market share it is submitted is not comparable to the Westin Grand because of its size and large meeting space and it was unbranded and was not an all suite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In addition Mr. Kleinschmidt acknowledged that he has seen hotels open up at more than their fair market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It is submitted that the opinions of Mr. Rosen and Mr. Flood that the overall projected market penetration was reasonable based on the Westin branding, its location, and it configuration as an all suite hotel, should be accepted as should Ms. McDonald's opinion to the same affect.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Although Mr. Kleinschmidt said that as new supply enters the market in the future consultants should make adjustments to the segment penetration rates of the competitive hotels if market segmentation is expected to change, he also agreed that finding out a competitive hotel's future plans on market mix is difficult to obtain as it is strategic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It is submitted that Ms. McDonald's evidence supported by Mr. Flood and Mr. Rosen that this was not a practice followed in 1996 should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Although Mr. Kleinschmidt said that HVS should have obtained other Westin Hotel data for expense items he did not review any data himself and could not say what difference it would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It is submitted that Mr. Rosen's evidence should be accepted that on the basis of a dollar cost per room analysis the Westin Grand projections for property operations and maintenance expenses already proposed a higher expense than existed for all suite comparables, and they should therefore be accepted over the opinions of Mr. Kleinschmidt, for years four and five of the projection.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It is submitted that while Mr. Kleinschmidt said the energy expense projections were lower than industry benchmark averages, in fact they were all still within the range of the comparable hotels that HVS considered for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In addition Mr. Rosen considered the energy expenses on a dollar cost per room basis to be reasonable and it is submitted that this should be accepted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It is submitted that Mr. Kleinschmidt agreed that when rooms revenues are projected to increase greater than rooms expenses the percentage related to rooms expenses will be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Counsel for OHR submits as well that Mr. Kleinschmidt had insufficient personal experience, expertise and knowledge of the downtown Vancouver hotel market in the relevant period to attach any weight to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It is pointed out that he did no work in the Vancouver market in the period between 1991 and 1999. He said he did not keep abreast of the Vancouver hotel market during that time and he agreed that Ms. McDonald would have had more knowledge of the hotel market conditions during this period than he did. He acknowledged that when he returned to Vancouver in 1999 he had to re-familiarize himself with the Vancouver hotel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It is also submitted that while Mr. Kleinschmidt criticized Ms. McDonald's methodology in her analysis he never did his own analysis of the areas of his criticisms in order to determine what he thought her projections should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It is submitted that only with this evidence can it be determined whether HVS's projections were reasonable as being within the range of reasonableness. It is submitted that two consultants can reach conclusions both within the range of reasonableness without either being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It is submitted that the investors are asking the court to infer that Mr. Kleinschmidt is saying that the projections were outside the range of reasonableness without indicating what is his range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It is submitted that at most Mr. Kleinschmidt's opinions can only be relied upon for concluding that Ms. McDonald's methodology was flawed, but they cannot be relied upon for determining that the projections themselves were unreasonable when he carried out no analysis to determine whether any flaws in Ms. McDonald's methodology had any impact on the projections at all to take them outside the range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It is submitted that all Mr. Rosen's reasons used for determining the reasonableness of the 160% projection segmentation penetration rate must be considered together and not in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It is submitted that he used benchmark data for all suite hotels as a comparison because the Westin Grand was to be an all suite hotel, and after making adjustments he considered necessary he arrived at the conclusion that each line item in the projections was reasonable and achievable.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It is submitted he projected his own operating results and determined that they were only an average of 1.7% lower over the five year projection period than the HVS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It is submitted Mr. Rosen's alternative projections are reliable and are not manufactured results. It is submitted his adjustments were made based on the evidence together with his judgment and experience in the industry with respect to an all suite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It is submitted that different experts may use different methods and different models but it is whether their opinions fall within a reasonable range that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The Developers totally support the submissions of HVS and OHR that the opinions of Mr. Flood and Mr. Rosen should be accepted over the opinions of Mr. Kleinschmidt.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Investors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In reply to defence submissions on the weight to be given to Mr. Kleinschmidt's opinions, counsel points out that HVS did not present any reasonable range of occupancy projections in its opinion letter but gave specific projections and given that a small change to the projections could have a major effect on the rate of return to an investor, it is submitted that the specific projections were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It is submitted that a reasonable range of occupancy projections does not answer the point that the projections as stated were impliedly represented to have been determined using reasonable care and skill.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Even if a reasonable range of projections is a relevant consideration, which is denied, it is submitted there is no evidence from any expert where the range would begin or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It is submitted that if a reasonable range of projections is a relevant consideration, which is denied, then Mr. Kleinschmidt must be assumed to have determined in his opinions that the projections fell outside any reasonable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It is submitted that Mr. Rosen's alternative projections should be viewed with suspicion as being retrospective. In addition his alternative projections he submitted were not purely independent as he used some of the HVS assumptions, like occupancy levels, as his starting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Analysis of the Reasonableness of the Occupancy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I have some difficulty in determining from Ms. MacDonald's evidence exactly how she went about deciding that for 1999 the projected occupancy rate for the Westin Grand would be 72%, it commercial business would constitute 44% of its overall business, and its overall penetration into the competitive hotel market would be 108.8%. I have the same uncertainty as to how she decided the projections for at least 2000 and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In her opinion letter of November 8, 1996 on behalf of HVS, Ms. MacDonald says on p. 1 that "the proposed 207 suite hotel's occupancy is estimated at 72% in its first year of operation, increasing to 80% by its third year of operation" and "we believe this is reasonable in light of the strength of the downtown Vancouver hotel market, and our review of hotel occupancy levels and average room rates currently being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Following that on p. 2 of her letter she says, "in order to determine if the hotel's projected occupancy levels and average room rates were reasonable we undertook ...", and thereafter advises of her month by month occupancy analysis and supply and demand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After doing her supply and demand analysis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based on our assumptions of growth in room demand and the future competitive rooms supply, as well as our knowledge of Westin Hotels and Resorts and their outstanding performance in other hotel markets, we believe the proposed occupancies and average room rates to be achievable.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In her evidence at trial when asked why she did not lower the 1999 occupancy projection for the Westin Grand with the addition of new supply in October 1996, when she lowered the occupancy projection for the competitive set, her response was that she thought the Westin Grand would open at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In her evidence at trial she also said she already had an idea of what the Westin Grand's market mix should be before she did her segment penetration analysis and her projection of 44% commercial business for the Westin Grand was in line with what she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She said that if her analysis had produced a projection of commercial business of 70% she would have gone back and adjusted her segmentation figures to bring them more in line with what she thought the hotel could achieve.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When she was asked if the change in the Metropolitan Hotel commercial penetration rate from 141.7% to 109% would have caused her to reappraise where she put the Westin Grand's commercial penetration rate by comparison, her response was to simply say that she looked at the overall market mix and she estimated the hotel's commercial demand would represent 44% of its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She also said in her evidence that she considered the Westin Grand should open at better than its fair share because of its proximity to a number of leisure demand generators, its all suite makeup which she considered to be more attractive to commercial travellers and its branding as a Westin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At the same time, at trial she spent a considerable amount of time in direct examination talking about her segment penetration analysis and how she arrived at her projections using that analysis, suggesting that it might have been the primary source for her occupancy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It may be that Ms. MacDonald had some idea before she did her penetration analysis of where she thought the Westin Grand would start out in 1999, but I conclude she needed to do her penetration analysis as her primary test to determine if her original ideas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Mr. Flood says the starting point is to determine overall how the hotel will perform against the market, but then to rationalize the result by considering the different segments, although he personally does not use the segmentation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Mr. Rosen doesn't believe it matters how the final occupancy figures are arrived at as long as they are reasonable, but also says a hotel consultant acting reasonably would include a series of tests to allow him/her to satisfy themselves that the projections are reasonable. He says he assumes that HVS performed those necessary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I conclude that the penetration analysis was a necessary step for Ms. MacDonald to determine the occupancy rates. Absent an appropriate test or tests of her initial conclusions, as Mr. Flood says there would be no rationalization of her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xml:space="preserve">  Mr. Flood and Mr. Rosen say the occupancy projections and the overall penetration rates were reasonable as being within the range of reasonableness. They do not say what that range is nor where it begins and ends. It is unknown on their evidence whether they believe the projections are barely in the range or well into the range or whether their ranges are even the same. </w:t>
      </w:r>
      <w:r>
        <w:rPr>
          <w:rFonts w:ascii="arial" w:eastAsia="arial" w:hAnsi="arial" w:cs="arial"/>
          <w:b/>
          <w:i/>
          <w:color w:val="000000"/>
          <w:sz w:val="20"/>
          <w:lang w:val="en-US" w:eastAsia="en-US" w:bidi="ar-SA"/>
        </w:rPr>
        <w:t>Sharbern</w:t>
      </w:r>
      <w:r>
        <w:rPr>
          <w:rFonts w:ascii="arial" w:eastAsia="arial" w:hAnsi="arial" w:cs="arial"/>
          <w:color w:val="000000"/>
          <w:sz w:val="20"/>
          <w:lang w:val="en-US" w:eastAsia="en-US" w:bidi="ar-SA"/>
        </w:rPr>
        <w:t xml:space="preserve"> was a case all about reasonable ranges. This case is not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I reject the suggestion that a range of reasonableness is relevant to the issue of the reasonableness of the projections here. Ms. MacDonald did not give a range of reasonableness in her opinion letter. She gave specific numbers for occupancy as reasonable projections starting with 72% in the first year and increasing to 80% by the third year. As she said, those numbers played a large part in determining rooms revenue figures that were to make up 85% - 87% of the hotel's projected revenues which in turn would be expected to have a direct impact on the net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If the reasonable occupancy rate for 1999 should have been less than 72%, and less for the following years, that would have reduced the rooms revenues and reduced the net returns to the Investors, if all other numbers in the financial projections remained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In my view what has to be determined is whether the occupancy projections she gave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Mr. Flood and Mr. Rosen support the 1999 occupancy rate as being higher than the competition on the basis that they consider its location to be as good for commercial business as the competitors' locations, it was to be an all suite hotel which they view as a significant asset, and it was to be Westin branded, another significant asset to them. Mr. Rosen agrees, however, that Westin Hotels are not known for all suite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At the same time Mr. Rosen says that Ms. MacDonald should have used all suite statistics for her comparisons and not full service hotel statistics and yet says she was still being reasonable once he adjusts the all suite statistics. I agree with Investors' counsel that this is not a helpful analysis of the issue of reasonableness when Mr. Rosen also agrees with Mr. Rushmore's opinion that hotel operating data should not be compared unless the properties are either in the same class or no more than one class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It is true that in her evidence Ms. MacDonald does refer to the hotel's all suite makeup and Westin branding as reasons to consider that it should open with an overall penetration rate of more than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I observe, however, that while Ms. MacDonald mentioned in her opinion letter that it was a suite hotel she only mentioned Westin Hotels and its outstanding performance in other hotel markets as a basis for believing the proposed occupancies and average room rates were achievable and made no reference at all to its all suite makeup as being of any particular significance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Ms. MacDonald did not use all suite data for her comparisons, she made no mention of the all suite feature in her working papers, and I am unable to accept that she considered the all suite makeup to be of any particular significance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Mr. Kleinschmidt says an all suite makeup is not an advantage in all cases and it depends on the market. I accept this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He says the commercial segment penetration rates for the Westin Grand of 160% in year one and 165% in years 2 and 3 have not been adequately substantiated. I accept this opinion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Mr. Rosen agrees with this criticism of the commercial market penetration rates not being adequately substantiated, but in his view that level of penetration was still reasonable in light of what he considered to be a strong economy, the hotel's all suite makeup and its Westin branding, as well as it proximity to commercial demand generators. When questioned on the strength of the economy expected at that time and the over supply expected he says that the over supply would not necessarily be negative because it takes time to absorb new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In my view this does not address the fact that Ms. MacDonald brought all the new competitive supply into the market for the first year of the projection period, to fully affect the market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Even when Mr. Rosen was informed of the change in the Metropolitan commercial market penetration rate he says he expected that the Westin Grand would do significantly better than the Metropolitan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Mr. Flood says a 160% commercial penetration rate is a high rate and a better rate than all the luxury chain competitor hotels, and there should be a good strong compelling reason for assigning to it a commercial rate of 160% in the first year. This makes complete sense to me and I accept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He also agrees that if the Westin Grand's overall penetration rate is dependent on a high penetration rate in one segment, there should be supporting rationale for that high rate. Again that is a reasonable view that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Although Mr. Flood also says that segmentation is at best only an estimate, as previously stated he does consider it as a way to rationalize the overall penetration of a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Mr. Kleinschmidt says the hotel's off-centre location and close proximity to leisure and event demand generators puts it in a stronger position to attract leisure business and not commercial business. I accept this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In his opinion its commercial penetration rate would not be expected to be higher than the penetration rate for hotels that have a first tier location, particularly in the first year of operation. Again I accept this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He does not think its projected overall penetration rate of 108.8% in the first year is reasonable on the basis that a new hotel typically achieves less than its fair share in years one and two as it builds business and market awareness. He points out that the first year penetration rate is inconsistent with this typical situation as documented by Mr. Rushmore.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I believe Mr. Kleinschmidt is saying that the Westin Grand in his opinion would be more likely to follow the traditional path of build up of business and I accept this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Neither Mr. Flood nor Mr. Rosen has done his own independent analysis of what he thinks should have been the occupancy projection for the Westin Grand. Both have simply determined that the projection of 72% for 1999 is reasonable as being in the reasonable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I believe the issue of whether a 72% occupancy projection and a 108.8% overall penetration, were reasonable projections and whether the following years occupancy rates and penetrations were reasonable, can for the most part be determined by analyzing Ms. MacDonald's evidence on how she arrived at those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On July 14, 1996 Ms. MacDonald sent to Mr. Robert O'Neill her occupancy and average daily rate estimates by month, as well as her penetration by market segment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Her occupancy estimates by month showed projected occupancy rates of 72.1% for 1999, 76.7% for 2000 and 80% for 2001-2003.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These same occupancy estimates by month were attached to her opinion letter of November 8, 1996, so they did not change in the period of time from July 14, 1996 to November 8,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A page of her market segment analysis sent on July 14, 1996 also showed projected occupancies for the Westin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This page showed occupancy for the Westin Grand at 71.75% rounded to 72% for 1999, with overall penetration at 100%, meaning that the Westin Grand was not expected at that time to get overall more than its fair share of the competitive hotel business in 1999. New room supply was projected at that time at 852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It appears however that this 72% occupancy was based upon the assumption of a 200 room hotel as were the occupancy rates for 2000 and 2001. At trial Ms. McDonald agreed that for 207 rooms, the size of the Westin Grand, the occupancy projections on July 14, 1996 were actually 69.3% for 1999, 74.2% for 2000 and 77.8% for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After July 14, 1996 she continued to use the July 14, 1996 occupancy projections even though they had originally been based on 200 rooms. While 72%, 76.7% and 80% occupancies were also shown in her month-by-month analysis, she says she only used this analysis as a backup to her penetration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On October 11, 1996, Ms. McDonald did another penetration analysis and at that time showed the competitive hotel occupancies for 1999 at 71.5% on the basis of 752 new competitive rooms being added. At trial she could not say why she added only 752 rooms on October 11, 1996 when she had added 852 new hotel rooms on July 14, 1996. Nevertheless at that time the competitive set occupancy rates were almost equal for 1999 to the Westin Grand occupancy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By October 16, 1996, five days later, when she did her final penetration by market segment analysis, she added in a projection of 1298 or 1299 new competitive rooms, instead of 752 or 852 rooms, with the result that she dropped her projected occupancy rates for the competitive set to 66.6% while the Westin Grand projected occupancy remained at 72% for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Ms. MacDonald's response to the implied suggestion that this was inappropriate was to say that she thought the hotel would open at 72% when she had the average of the competitive set at 71.5% and would open at 72% when her average for the competitive set was at 66.6% with the additional supply of rooms. However her original occupancy rate in her penetration analysis for 1999 had really only been 69.3% for 207 rooms and not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It is my conclusion that Ms. MacDonald was determined to maintain her occupancy rates from July 14, 1996, regardless of any increase in supply or any change that should be made in the segment penetration rates for the Westin Grand. She was going to adjust matters as needed to come out to her original occupancy rates even though they appear to have been based on a 200 room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Mr. Flood says that if occupancy is projected at 72% on one view of the market and then a different view of the market is developed with a drop of five points, he would expect a drop in the occupancy projections for the subject property as well. He cannot say how far it should drop but a reduction in the average occupancy for the competitive set in his view is going to affect the subject property to some degree and to assume no affect would be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I accept Mr. Flood's opinion in this regard. Apart from his opinion in my view it is a matter of common sense if the new supply is expected to affect the market as a whole, as Ms. MacDonald assumed.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Ms. MacDonald was always comparing the Westin Grand to a competitive set of the same six hotels. She chose these hotels because they were expected by her to offer the stiffest competition. To develop an occupancy projection for the Westin Grand of 72% for 1999, erroneously on 200 rooms, and then to compare it as equal to the competitive set's average occupancy on July 14, 1996 and as relatively equal on October 11, 1996, and then to add over 400 new rooms by October 16, 1996, rooms that Ms. MacDonald said would affect the whole competitive market equally and not selectively, and then to assign all the effect of those new rooms to the competitive hotels and none of it to the Westin Grand, is in my view completely unreasonable and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In my view it is no answer for Ms. MacDonald to rely upon her conclusion of 72% occupancy for 1999, without her being able to support that through a rational analysis so that her rationale can be tested, particularly where it was stated erroneously on July 14, 1996 when it should have been 69.3% for 207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Here Ms. MacDonald says her additional rationale beyond her penetration analysis was the location of the hotel, its all suite configuration and its Westin branding.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However, this rationale only put the Westin Grand relatively even with the competitive hotels, on October 11, 1996 only five days before she reached her final conclusions on October 16,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In my view Ms. MacDonald has not offered any rationale for keeping the Westin Grand at 72% for 1999, when the competitive supply was projected to increase to 1,299 rooms, and has offered no rationale for only reducing the occupancy projection of the competitive set. Her stated rationale was that she thought the Westin Grand would open at 72%. In my view that is not a satisfactory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It is also no answer in my view for Ms. MacDonald to say that the change in the Metropolitan Hotel commercial rate from 141.7% down to 109% for 1995, a change she agreed with, for a hotel she considered a close competitor to the Westin Grand, was irrelevant because she projected the Westin Grand's commercial business at 44% of its total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If this was her initial opinion, her test for this 44% projection for commercial business was the same penetration analysis that produced the 141.7% commercial penetration rate for the Metropolitan Hotel. If that rate was supposed to be lower, as she agreed it should have been, then the 44% projection for commercial business should have been lower. This would not have necessitated any change to any other segment for the Westin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If the commercial penetration rate had been less than 160%, the total number of occupied rooms in the Westin Grand projected for all three segments for 1999 would have been less and its overall occupancy determined by that method would have been reduced. In my view this should have been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At trial Ms. MacDonald says that no matter which way the segments are changed, total occupancy does not change. She says if the commercial segment penetration rate is decreased there would be a corresponding shift in the other market segment rates. I reject this as a necessary consequence. A decrease in the commercial segment penetration rate for the Westin Grand would not create any corresponding shift in the other market segment rates because they are determined separately and independently depending on the demand in those segments.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I realize that there was a lot of overall judgment that Ms. MacDonald used in her penetration analysis in determining where to place the Westin Grand against the competitor hotels in the different market segments, and what growth in demand and supply to assume before 1999. Assuming that she initially projected 72% occupancy somehow apart from her penetration analysis, she says she confirmed that figure from her penetration analysis even though her penetration analysis on July 14, 1996 indicated a 69.3% occupancy for 207 rooms for 1999. If her penetration analysis was her test and it had to be corrected because of the Metropolitan issue, it is not logical in my view for a professional consultant to simply deny what her test tells her, without good reason, and to stay with her general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In my view her explanation for considering the change in the Metropolitan commercial rate to be irrelevant is unacceptable.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The purpose of the segmentation analysis either as a primary way to determine occupancy or as a backup, is to operate as independently as possible in order to provide an independent assessment of the issue. If this is not the proper purpose of a test then I am unable to understand its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I have a similar problem with Ms. MacDonald's month by month analysis which she says was a backup to her penetration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In her evidence she explains that for her month by month analysis she looked at the monthly information from all the hotels she had information on, for 1995, and made a judgment where she saw the Westin Grand performing in 1999, and beyond.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Counsel for HVS says in submissions that the purpose of the month by month analysis was not to derive any overall projection of occupancy but rather to take the projected occupancy from the segmentation analysis and break it down in accordance with the seasonal pattern of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If this is so, then I do not see it as much of a backup at all. In any event this was not evidence given by Ms. MacDonald who described it as a back up to her penetration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Mr. Flood says he doesn't use a month by month analysis as he doesn't consider it reliable. I question it myself as it appears to be purely subjective without any reliable rationale behind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In my view the occupancy projection for 1999 of 72% was not a reasonable conclusion and was not formulated using reasonable care and skill. HVS through Ms. MacDonald, in my view, was in breach of its duty of care to the Investors in projecting that figure and breached the standard of reasonable care and skill. It was negligent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Ms. MacDonald's occupancy projections for 76.7% for the second year and 80% for the third year of operation in my view were also unreasonable and negligent because they were also initially based on 200 rooms and were also not reduced when the supply of over 400 rooms was added between October 11, 1996 and October 16,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I am unable to conclude what the projected occupancies for the Westin Grand should have been as corrected for 207 rooms and with some additional room supply affecting it as well. I do know that they should have been lower projected rates. In my view the HVS projections of occupancy meet the test of a gross overvaluation not satisfactorily explained and outside any range of reasonableness even if that is a standard that has any applicability.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Mr. Kleinschmidt may not have had practical experience in the Vancouver market in the 1990s and he may not have done his own projections for the Westin Grand either but in my view he did know enough about the Vancouver market to say that the Westin Grand was in an off-centre location, closer to leisure and demand generators, putting it in a stronger position to attract leisure business and not commercial business, and it would not be expected to have a commercial rate higher than the competitor hotels particularly in the first year of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In the November 1998 Business Plan OHR, who had experience in doing hotel evaluations, said that a strength for the Westin Grand was its location in the downtown entertainment district and a weakness was that it was not in a number one location for the financial district market and the threat was in its ability to penetrate the financial district market. Even though this was an opinion expressed in 1998, the location of the Westin Grand remained the same between 1996 and 1998 and these opinions support Mr. Kleinschmidt's opinions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I accept these opinions over the opinions of Mr. Flood and Mr. Rosen and of course the opinion of Ms.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I also accept the opinion of Mr. Kleinschmidt that an overall market penetration rate of 108.8% in year one was not reasonable as a new hotel typically achieves less than its fair share in years one and two as it builds business and market awareness. I conclude that this is Mr. Kleinschmidt's opinion of the Westin Grand and I accept this opinion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On all the evidence of location, quality of hotel, branding and all suite nature, I am not satisfied there was any discernable advantage for the Westin Grand over the six competitor hotels and I reject the opinions of Mr. Flood, Mr. Rosen and Ms. MacDonald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In conclusion I find that HVS was negligent in giving its opinion in its letter of November 8, 1996 that the annual operating projections for the initial five years were reasonable and achievable when its projected occupancy levels that played a large part in determining projected revenues were negligently overstated.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I also hold that as the Developer and OHR by s. 1.4 of the Disclosure Statement and the wording in the Auditors' Report and Notes represented that the Projection and assumptions and hypotheses were objectively reasonable, that these constituted negligent misrepresentations as well when the assumption of occupancy rates set out at Note 2(a) was not objectively reasonable and the Projection was not therefore objectively reasonable, and when the Developer and OHR had represented that they were objectively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Consistency between Penetration Analysis and Month by Month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Investors' counsel submits that the month by month analysis of occupancy rates Ms. MacDonald did and her penetration analysis of occupancy rates in fact do not confirm each other as the month by month analysis that yielded 72.1% occupancy for 1999 had been developed by selecting monthly occupancies for the Westin Grand for 1995 against 1995 data for the competitive set where the average occupancy was 78.6%, reflecting a view of the Westin Grand as underperforming the average for the competitive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Investors' counsel points to Mr. Flood's evidence again that in his view they are two different things and that what should have been done was the 1995 month by month data should have been adjusted to 1999 and then the comparison done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As I understand Ms. MacDonald's evidence, however, she assessed the month by month occupancy rates for 1999, in her own mind, and was not assessing the Westin Grand monthly rates for 1995. It was her opinion, using the month by month analysis, that these were the monthly occupancy rates for the Westin Grand that she thought would be achieved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I see no breach of any duty of reasonable care and skill on the part of HVS in this regard in developing these month by month occupancy projections. I have already commented on the overall utility of the month by month analysis as a backup to the penetration analysis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1995 Segment Penetration Rates used for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The Investors allege that Ms. MacDonald should not have used 1995 segment penetration rates for the six competitor hotels to compare against her projected 1999 segment penetration rates for the Westin Grand. Instead they say she should have taken into account changes reasonably anticipated to the segment penetration rates for the six competitor hotels through to 1999, and should also have taken into account the reasonable effect that the 1299 additional rooms that she projected would have on the individual segment penetration rates, in developing her segment penetration rates for the Westin Grand for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This is the opinion that Mr. Kleinschmidt expresses in his report and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Investors' counsel points out that while the expert hotel valuator for OHR, Mr. Rosen, says that "the new supply coming on line would not alter the market mix for the hotel. The impact of the new supply would affect the whole market, not just the hotel", he also describes in his report procedures for developing occupancy projections for market study reports to include analysis of "the impact of new supply on this specific property's potential to attract demand from each market segment".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Ms. MacDonald says in her evidence that in 1996 HVS did not project how each competitive hotel would do in its segments in the future, nor project how future supply would fit into each segment. All HVS projected was a change to the overall market through supply and demand and how the subject hotel would be expected to do in that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She explains that she did not project any market segment changes for the competitive set because it would have been very unreliable. Around the year 2000 HVS did have programs for projecting the competitive hotels segment rates forward, but then realized that what it was doing was projecting every hotel's occupancy into the future. That was considered unreliable because HVS did not have enough information as to the marketing plans or business plans of those hotels or their management makeup. HVS did not consider it part of their mandate to do this and they did not include it in their reports dealing with projected occupancies of their subject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In cross-examination Ms MacDonald acknowledges that Mr. Rushmore had said in a 1992 text that this should be done. However, she says that while HVS had a program that did this in 1992, by 1996 it had the penetration program that did not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Counsel for HVS points out that Mr. Flood says that changing segmentation rates in the competitive market on an ongoing forward basis was not done in 1996 and he was not aware of any consultants doing it. Even Mr. Kleinschmidt says in his evidence that obtaining a competitive hotel's future plans respecting what market mix to target is often difficult to obtain because it is strategic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On this issue I accept the evidence of Ms. MacDonald and Mr. Flood that projecting market segment changes forward for the competitive set and projecting the effect of additional supply on each segment was not generally done in 1996 and I conclude it was not unreasonable for Ms. MacDonald to have proceeded as she did without regard to those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Missing Information in the HVS Opinion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The HVS opinion letter of November 8, 1996 informs the reader that it has completed a room night analysis taking into consideration future growth in room night demand as well as future growth in competitive room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Future competitive room supply is projected as increasing by 60% or 1299 additional guest rooms. No percentage is giving in the letter for the projected increase in room night demand. Ms. MacDonald had projected that increase to be 34.8%.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The opinion letter also informs the reader that the projected occupancy rate for the Westin Grand in its first year of operation is estimated at 72% increasing to 80% by its third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The opinion letter does not give any information to the investors on projected occupancy rates for the competitive set. Ms. MacDonald had projected those rates at 66.6% for 1999 increasing to 71.2% by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Investors' counsel says that disclosure that demand was expected to only grow at 34.8% when supply was expected to grow by 60% would have alerted the Investors to the prospect of a significant change in the market from the levels for 1995. He submits this was selective disclosure amounting to only a half truth at best and made the HVS opinion letter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He also points to the evidence of Mr. Flood and Mr. Rosen that reporting on projected market occupancy levels is relevant and material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In his evidence Mr. Flood agrees it would be good practice to report on the drop in the competitive set occupancy as this would be an important background fact in considering the performance of the subject property to the extent it affects the performance of the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At one point in his evidence Mr. Rosen says that he would report on the expected market occupancy in the projection period but at another point only says that he probably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xml:space="preserve">  Investors' counsel relies upon a decision of the Alberta Court of Appeal in </w:t>
      </w:r>
      <w:r>
        <w:rPr>
          <w:rFonts w:ascii="arial" w:eastAsia="arial" w:hAnsi="arial" w:cs="arial"/>
          <w:b/>
          <w:i/>
          <w:color w:val="000000"/>
          <w:sz w:val="20"/>
          <w:lang w:val="en-US" w:eastAsia="en-US" w:bidi="ar-SA"/>
        </w:rPr>
        <w:t>Xerox Exploration Ltd. v. Petro-Canada</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2005, 256 D.L.R. (4th) 218</w:t>
        </w:r>
      </w:hyperlink>
      <w:r>
        <w:rPr>
          <w:rFonts w:ascii="arial" w:eastAsia="arial" w:hAnsi="arial" w:cs="arial"/>
          <w:color w:val="000000"/>
          <w:sz w:val="20"/>
          <w:lang w:val="en-US" w:eastAsia="en-US" w:bidi="ar-SA"/>
        </w:rPr>
        <w:t xml:space="preserve"> where the court found Petro-Canada liable for making a misrepresentation by failing to disclose the full truth about its drilling efforts once it had raised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xml:space="preserve">  In the course of the judgment at para. 57 the court cited Professor Waddam's </w:t>
      </w:r>
      <w:r>
        <w:rPr>
          <w:rFonts w:ascii="arial" w:eastAsia="arial" w:hAnsi="arial" w:cs="arial"/>
          <w:i/>
          <w:color w:val="000000"/>
          <w:sz w:val="20"/>
          <w:lang w:val="en-US" w:eastAsia="en-US" w:bidi="ar-SA"/>
        </w:rPr>
        <w:t>The Law of Contract</w:t>
      </w:r>
      <w:r>
        <w:rPr>
          <w:rFonts w:ascii="arial" w:eastAsia="arial" w:hAnsi="arial" w:cs="arial"/>
          <w:color w:val="000000"/>
          <w:sz w:val="20"/>
          <w:lang w:val="en-US" w:eastAsia="en-US" w:bidi="ar-SA"/>
        </w:rPr>
        <w:t xml:space="preserve"> 4th Edition where he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incomplete statement may be as misleading as a false one, and such half truths have frequently been treated as legally significant misrepresentations. Almost always something is said to induce the transaction and it is open to the court to hold the concealment of the material facts can, when taken with general statements, true in themselves but incomplete, turn those statements into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HVS was retained by the Developers to review and comment on the annual operating projections prepared by OHR for the Westin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This retainer does not define all that HVS in fact did, but that is what the potential investors were told was its retainer in the HVS opinion letter of November 8,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The opinion letter does not indicate to the potential investors that HVS will also be reviewing and commenting on projections for the competitive set and HVS does not purport to do that by its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I do not consider the statement in the letter about the occupancy projections for the Westin Grand to be at all misleading and incomplete in the context of the representation that this was a review engagement only of the projections prepared by OHR.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The statements made as to future room supply are also complete in themselves, in my view, and they would not mislead the potential investors into believing something more optimistic than what was actually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The investors were told that the Westin Grand was expected to be competitive with six other hotels that had an overall average occupancy for 1995 of 78.6%. They were told that the competitive room supply was expected to increase by 60% and they were told that the Westin Grand had an estimated occupancy rate of 72% in its first year of operation. From these facts alone they could easily conclude that the entire market, including the Westin Grand, was expected to come down by 1999 and from that could easily conclude that supply was likely going to exceed demand as one of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I do not consider the disclosure of projected future competitive room supply without disclosure of projected room night demand to be an incomplete statement and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Failure to ensure the exchange of relevant information between OHR and HVS and collaborate on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The Investors allege that OHR and HVS failed to fully collaborate on the Projections and exchange relevant information and both were negligent in that regard. Specifically it is said both were negligent in not taking into account that OHR originally suggested that there should be a "ramp up" over an initial period of time to recognize the start-up nature of the Westin Grand when its occupancy rates would not equal the occupancy rates of the competitor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The Investors say that the Developer was also a collaborator on the Projections as well, and was aware of initial differences between OHR and HVS, but did nothing to understand nor analyze the Projections in order to be able to critically assess the assumptions underlying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In June 1996 Mr. Robert O'Neill of OHR sent to Ms MacDonald his projections. His cover fax to Mr. Evans of the Developer advising of this said that "attached was presented to Betsy MacDonald of HVS today. She likes the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The attached included a page of occupancy projections for Mr. O'Neill's competitive set of four hotels of 78.6% for 1999, 79% for 2000, 79.4% for 2001, 79.8% for 2002 and 80.2% for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Another page of his projections showed occupancy projections for the Westin Grand of 76.6% for 1999, 79% for 2000, 79.4% or 2001, 79.8% for 2002 and 80.2% for 2003. Accordingly he was suggesting a "ramp up" for only the first year based upon his competitive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Ms. MacDonald says she did not receive the page of competitive hotel occupancy rates from OHR. She proceeded ahead on her own and did her consideration and formulation of the expected occupancy rates for the Westin Grand against her expected occupancy rates for her competitive set of six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The Investors say that OHR withheld this information from HVS that it expected that it would take the first year, 1999, for the Westin Grand to achieve parity with the competition, and that HVS never asked for this information from OHR even though Ms MacDonald says it was relevant information and she should have had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The Investors say that when Ms MacDonald replied to Mr. O'Neill's projection figures with projections of her own, saying that his occupancy figures for the Westin Grand were too high in the first two years mainly due to the competition expected to enter the market during the same time period, and stating that she would try to reach him, Mr. O'Neill never reviewed her projections and never claimed to recognize that she was being more aggressive in her market penetration for the Westin Grand than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The Investors seek an inference from the court that disclosure to HVS of the more conservative approach of OHR to the issue of market penetration would have resulted in a downward influence on the HVS occupancy projections for the Westin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OHR was also in possession of information on operating expenses at other Westin Hotels in Canada that Mr. Robert O'Neill did not provide to Ms. MacDonald. He says that he did not consider this information relevant. Ms. MacDonald says in her evidence that it was relevant information that she did not have and did not know was available but also did not ask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It is my conclusion that the entire onus and responsibility for obtaining and considering relevant information on the projections rested with Ms. MacDonald of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This was not a true review engagement for HVS. It was a mischaracterization for Ms. MacDonald to say in her opinion letter of November 8, 1996 that she had only reviewed the annual operating projections prepared by OHR. She may have originally been retained to do only that but the fact is that in the vital area of the projections for the occupancy and average daily rates for the Westin Grand she was not only reviewing and commenting on the projections prepared by OHR. She was preparing her own occupancy and average daily rate projections from her own sources of information and on her own assessment and was not collaborating on occupancy rates with OHR at all, although OHR ultimately accepted her projections. They did collaborate on the average daily rate projections that are not attacked by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In her evidence Ms MacDonald explains the different types of valuation reports that can be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She describes a review engagement as one of the smallest and least expensive, a limited scope report involving opining on someone else's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The next type of report of more significance is an occupancy and average daily rate letter of 20-30 pages, which includes a site description, an area review, a description of the improvements, an indication of who is considered the competition, a projection of future supply and demand and a projection of occupancy and average room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The next type of report of more significance is a market demand study which has everything that the occupancy and average room rate letter has, but in more detail - like 60 pages, and includes a ten year forecast.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Finally there is an economic feasibility study that is more detail again taking the ten year forecast to a discounted cash flow and present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Following that are appraisal reports which can be restricted letters of value, a summary appraisal report or a full narrative appraisal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In cross-examination by counsel for OHR, it was suggested to Ms MacDonald that she had not opined on OHR's projection at all but on a projection of November 1, 1996 which contained a number of her own modifications and it was suggested it would be fairer to say that she had reviewed the projections of OHR and adjusted them where considered appropriate. Ms MacDonald agreed to all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Counsel for the Investors went further with Ms MacDonald in cross-examination. He pointed out to her that she had projected demand and supply and occupancy and average room rates as in an occupancy and average room rate letter she spoke of, and she agreed to that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It was also suggested that she had done a ten year forecast here, part of a market study report, and a valuation of the project, part of a feasibility study, and she agreed with that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Finally she agreed that while she was only retained for a review engagement that is not all she actually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xml:space="preserve">  In his evidence at trial Mr. Flood said that what HVS omitted to do if it had been preparing its own feasibility study or market study was in the reporting. It appeared to him that HVS had taken the necessary steps to develop a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for the hotel because there was information on supply and demand, occupancy and average daily rate, and other revenues and operating expenses. What was missing was the reporting of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I am not sure what kind of report I should call HVS's opinion letter. It appears to me to be an abbreviated occupancy and average room rate report. Perhaps it also is an abbreviated market study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What I am sure of is that it is not a typical review engagement report, by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619</w:t>
      </w:r>
      <w:r>
        <w:rPr>
          <w:rFonts w:ascii="arial" w:eastAsia="arial" w:hAnsi="arial" w:cs="arial"/>
          <w:color w:val="000000"/>
          <w:sz w:val="20"/>
          <w:lang w:val="en-US" w:eastAsia="en-US" w:bidi="ar-SA"/>
        </w:rPr>
        <w:t>  If more collaboration with OHR was being sought, in my view it was up to Ms MacDonald to seek that collaboration.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620</w:t>
      </w:r>
      <w:r>
        <w:rPr>
          <w:rFonts w:ascii="arial" w:eastAsia="arial" w:hAnsi="arial" w:cs="arial"/>
          <w:color w:val="000000"/>
          <w:sz w:val="20"/>
          <w:lang w:val="en-US" w:eastAsia="en-US" w:bidi="ar-SA"/>
        </w:rPr>
        <w:t>  If Ms MacDonald wanted to hear OHR's view of projected competitive occupancy rates through the five years it was up to her to seek that information from OHR.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621</w:t>
      </w:r>
      <w:r>
        <w:rPr>
          <w:rFonts w:ascii="arial" w:eastAsia="arial" w:hAnsi="arial" w:cs="arial"/>
          <w:color w:val="000000"/>
          <w:sz w:val="20"/>
          <w:lang w:val="en-US" w:eastAsia="en-US" w:bidi="ar-SA"/>
        </w:rPr>
        <w:t>  As it was, Mr. Robert O'Neill's "ramp-up" of the projections for the Westin Grand was only with respect to the first year, 1999. Thereafter he had the Westin Grand even with his four competitor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622</w:t>
      </w:r>
      <w:r>
        <w:rPr>
          <w:rFonts w:ascii="arial" w:eastAsia="arial" w:hAnsi="arial" w:cs="arial"/>
          <w:color w:val="000000"/>
          <w:sz w:val="20"/>
          <w:lang w:val="en-US" w:eastAsia="en-US" w:bidi="ar-SA"/>
        </w:rPr>
        <w:t>  I reject any inference that Ms MacDonald's opinion would necessarily have been any different with OHR's projections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623</w:t>
      </w:r>
      <w:r>
        <w:rPr>
          <w:rFonts w:ascii="arial" w:eastAsia="arial" w:hAnsi="arial" w:cs="arial"/>
          <w:color w:val="000000"/>
          <w:sz w:val="20"/>
          <w:lang w:val="en-US" w:eastAsia="en-US" w:bidi="ar-SA"/>
        </w:rPr>
        <w:t>  My conclusion is the same with respect to the information that OHR had with respect to the performance in other Westin Hotels in Canada. If Ms MacDonald wanted this information, it was for her to obtain either from OHR or otherwise, if she was interested in having it. She made no attempt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624</w:t>
      </w:r>
      <w:r>
        <w:rPr>
          <w:rFonts w:ascii="arial" w:eastAsia="arial" w:hAnsi="arial" w:cs="arial"/>
          <w:color w:val="000000"/>
          <w:sz w:val="20"/>
          <w:lang w:val="en-US" w:eastAsia="en-US" w:bidi="ar-SA"/>
        </w:rPr>
        <w:t>  I conclude from Ms MacDonald's evidence that she accepts responsibility for sourcing the information necessary for her opinion and does not seek to impose any of this responsibility on OHR.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w:t>
      </w:r>
      <w:r>
        <w:rPr>
          <w:rFonts w:ascii="arial" w:eastAsia="arial" w:hAnsi="arial" w:cs="arial"/>
          <w:color w:val="000000"/>
          <w:sz w:val="20"/>
          <w:lang w:val="en-US" w:eastAsia="en-US" w:bidi="ar-SA"/>
        </w:rPr>
        <w:t>  I also reject any suggestion that the Developer was collaborating on the Projections with HVS and OHR. In my assessment of all the evidence the Developer was relying entirely on OHR and HVS for the financial projections and they knew that and accepted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626</w:t>
      </w:r>
      <w:r>
        <w:rPr>
          <w:rFonts w:ascii="arial" w:eastAsia="arial" w:hAnsi="arial" w:cs="arial"/>
          <w:color w:val="000000"/>
          <w:sz w:val="20"/>
          <w:lang w:val="en-US" w:eastAsia="en-US" w:bidi="ar-SA"/>
        </w:rPr>
        <w:t>  While this is factually what happened, based on the evidence, it does not affect the representation that the Developer and OHR made to the Investors in s. 1.4 of the Disclosure Statement and in the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Projections of Expenses</w:t>
      </w:r>
      <w:r>
        <w:rPr>
          <w:rFonts w:ascii="arial" w:eastAsia="arial" w:hAnsi="arial" w:cs="arial"/>
          <w:sz w:val="20"/>
          <w:lang w:val="en-US" w:eastAsia="en-US" w:bidi="ar-SA"/>
        </w:rPr>
        <w:cr/>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Rooms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627</w:t>
      </w:r>
      <w:r>
        <w:rPr>
          <w:rFonts w:ascii="arial" w:eastAsia="arial" w:hAnsi="arial" w:cs="arial"/>
          <w:color w:val="000000"/>
          <w:sz w:val="20"/>
          <w:lang w:val="en-US" w:eastAsia="en-US" w:bidi="ar-SA"/>
        </w:rPr>
        <w:t>  On July 24, 1996 Ms. MacDonald had estimated rooms expenses at 29% for year one, 27.5% for year two and 25% for years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628</w:t>
      </w:r>
      <w:r>
        <w:rPr>
          <w:rFonts w:ascii="arial" w:eastAsia="arial" w:hAnsi="arial" w:cs="arial"/>
          <w:color w:val="000000"/>
          <w:sz w:val="20"/>
          <w:lang w:val="en-US" w:eastAsia="en-US" w:bidi="ar-SA"/>
        </w:rPr>
        <w:t>  The final Projections set rooms expenses at 28% of room revenue for 1999, 25.6% for 2000 and 24.6% for 2001 - 2003.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629</w:t>
      </w:r>
      <w:r>
        <w:rPr>
          <w:rFonts w:ascii="arial" w:eastAsia="arial" w:hAnsi="arial" w:cs="arial"/>
          <w:color w:val="000000"/>
          <w:sz w:val="20"/>
          <w:lang w:val="en-US" w:eastAsia="en-US" w:bidi="ar-SA"/>
        </w:rPr>
        <w:t>  Ms. MacDonald says the reduction to 28% in 1999 was as a result of discussions with Mr. Rob O'Neill of OHR of efficiencies he thought he could achieve based on his experience, including his experience at the Inn at Westminster Quay.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630</w:t>
      </w:r>
      <w:r>
        <w:rPr>
          <w:rFonts w:ascii="arial" w:eastAsia="arial" w:hAnsi="arial" w:cs="arial"/>
          <w:color w:val="000000"/>
          <w:sz w:val="20"/>
          <w:lang w:val="en-US" w:eastAsia="en-US" w:bidi="ar-SA"/>
        </w:rPr>
        <w:t>  She says the average room rate in 1999 dollars was going to be 40-50% higher than for 1995 and a lower percentage room expense would be considered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631</w:t>
      </w:r>
      <w:r>
        <w:rPr>
          <w:rFonts w:ascii="arial" w:eastAsia="arial" w:hAnsi="arial" w:cs="arial"/>
          <w:color w:val="000000"/>
          <w:sz w:val="20"/>
          <w:lang w:val="en-US" w:eastAsia="en-US" w:bidi="ar-SA"/>
        </w:rPr>
        <w:t>  She says for succeeding years after 1999 she used a fixed/variable program that automatically calculates the rate based on occupied room nights and room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632</w:t>
      </w:r>
      <w:r>
        <w:rPr>
          <w:rFonts w:ascii="arial" w:eastAsia="arial" w:hAnsi="arial" w:cs="arial"/>
          <w:color w:val="000000"/>
          <w:sz w:val="20"/>
          <w:lang w:val="en-US" w:eastAsia="en-US" w:bidi="ar-SA"/>
        </w:rPr>
        <w:t>  In the opinion letter of November 8, 1996 she says that the projected departmental expenses, which would include rooms expenses, are consistent with industry averages and similar to actual results achieved by other hotels operated by Innventures with exceptions for energy expenses and property operations and maintenance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633</w:t>
      </w:r>
      <w:r>
        <w:rPr>
          <w:rFonts w:ascii="arial" w:eastAsia="arial" w:hAnsi="arial" w:cs="arial"/>
          <w:color w:val="000000"/>
          <w:sz w:val="20"/>
          <w:lang w:val="en-US" w:eastAsia="en-US" w:bidi="ar-SA"/>
        </w:rPr>
        <w:t>  Mr. Kleinschmidt says that the rooms expenses stabilizing at 24.6% in year three is a lower figure than the market average for full service hotels in 1995 of 30.8% and lower than for the competitive hotels of 27.3%-31.7%, without any rationale. He considers the Inn at Westminster Quay not to be a good comparison as it functions in a different market location and is a different quality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634</w:t>
      </w:r>
      <w:r>
        <w:rPr>
          <w:rFonts w:ascii="arial" w:eastAsia="arial" w:hAnsi="arial" w:cs="arial"/>
          <w:color w:val="000000"/>
          <w:sz w:val="20"/>
          <w:lang w:val="en-US" w:eastAsia="en-US" w:bidi="ar-SA"/>
        </w:rPr>
        <w:t>  He also says the weighted average for Canadian Westin Hotels was 29.4%.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635</w:t>
      </w:r>
      <w:r>
        <w:rPr>
          <w:rFonts w:ascii="arial" w:eastAsia="arial" w:hAnsi="arial" w:cs="arial"/>
          <w:color w:val="000000"/>
          <w:sz w:val="20"/>
          <w:lang w:val="en-US" w:eastAsia="en-US" w:bidi="ar-SA"/>
        </w:rPr>
        <w:t>  Mr. Flood says that not all full service hotels across Canada submit their data so statistics from those hotels must be taken with a grain of salt.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636</w:t>
      </w:r>
      <w:r>
        <w:rPr>
          <w:rFonts w:ascii="arial" w:eastAsia="arial" w:hAnsi="arial" w:cs="arial"/>
          <w:color w:val="000000"/>
          <w:sz w:val="20"/>
          <w:lang w:val="en-US" w:eastAsia="en-US" w:bidi="ar-SA"/>
        </w:rPr>
        <w:t>  In his view comparing industry averages is a flawed practice because higher revenues result in a lower cost on a percentage basis. In his view costs should be considered on a dollar cost per room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637</w:t>
      </w:r>
      <w:r>
        <w:rPr>
          <w:rFonts w:ascii="arial" w:eastAsia="arial" w:hAnsi="arial" w:cs="arial"/>
          <w:color w:val="000000"/>
          <w:sz w:val="20"/>
          <w:lang w:val="en-US" w:eastAsia="en-US" w:bidi="ar-SA"/>
        </w:rPr>
        <w:t>  Mr. Rosen also says that room expenses as a percentage of revenue would decline as rooms revenues increase. He says that considering room expenses as a percentage of room revenue is misleading because costs vary with occupancy. In his view a better comparison is costs per occupied room and he is of the view that rooms expenses could range from 20%-30% of room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638</w:t>
      </w:r>
      <w:r>
        <w:rPr>
          <w:rFonts w:ascii="arial" w:eastAsia="arial" w:hAnsi="arial" w:cs="arial"/>
          <w:color w:val="000000"/>
          <w:sz w:val="20"/>
          <w:lang w:val="en-US" w:eastAsia="en-US" w:bidi="ar-SA"/>
        </w:rPr>
        <w:t>  He also does not consider data from the Westin Bayshore to be comparable because of its size and amount of public space and staffing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639</w:t>
      </w:r>
      <w:r>
        <w:rPr>
          <w:rFonts w:ascii="arial" w:eastAsia="arial" w:hAnsi="arial" w:cs="arial"/>
          <w:color w:val="000000"/>
          <w:sz w:val="20"/>
          <w:lang w:val="en-US" w:eastAsia="en-US" w:bidi="ar-SA"/>
        </w:rPr>
        <w:t>  I accept the opinions that as room revenue goes up the percentage applicable to rooms expenses will likely go down and that there can be quite a wide variation in the percentage applied to rooms expenses depending upon the level of rooms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640</w:t>
      </w:r>
      <w:r>
        <w:rPr>
          <w:rFonts w:ascii="arial" w:eastAsia="arial" w:hAnsi="arial" w:cs="arial"/>
          <w:color w:val="000000"/>
          <w:sz w:val="20"/>
          <w:lang w:val="en-US" w:eastAsia="en-US" w:bidi="ar-SA"/>
        </w:rPr>
        <w:t>  I do not find the projections of rooms expenses proven to be unreasonable.</w:t>
      </w:r>
      <w:r>
        <w:rPr>
          <w:rFonts w:ascii="arial" w:eastAsia="arial" w:hAnsi="arial" w:cs="arial"/>
          <w:sz w:val="20"/>
          <w:lang w:val="en-US" w:eastAsia="en-US" w:bidi="ar-SA"/>
        </w:rPr>
        <w:cr/>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Energy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641</w:t>
      </w:r>
      <w:r>
        <w:rPr>
          <w:rFonts w:ascii="arial" w:eastAsia="arial" w:hAnsi="arial" w:cs="arial"/>
          <w:color w:val="000000"/>
          <w:sz w:val="20"/>
          <w:lang w:val="en-US" w:eastAsia="en-US" w:bidi="ar-SA"/>
        </w:rPr>
        <w:t>  The final Projections estimated energy expenses at 1.95% of total revenue for year one, 1.76% for year two and 1.69% for years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642</w:t>
      </w:r>
      <w:r>
        <w:rPr>
          <w:rFonts w:ascii="arial" w:eastAsia="arial" w:hAnsi="arial" w:cs="arial"/>
          <w:color w:val="000000"/>
          <w:sz w:val="20"/>
          <w:lang w:val="en-US" w:eastAsia="en-US" w:bidi="ar-SA"/>
        </w:rPr>
        <w:t>  Mr. Kleinschmidt says the benchmark average for hotels is 2.4% and the actual energy expenses for the competitor hotels were 1.69% to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643</w:t>
      </w:r>
      <w:r>
        <w:rPr>
          <w:rFonts w:ascii="arial" w:eastAsia="arial" w:hAnsi="arial" w:cs="arial"/>
          <w:color w:val="000000"/>
          <w:sz w:val="20"/>
          <w:lang w:val="en-US" w:eastAsia="en-US" w:bidi="ar-SA"/>
        </w:rPr>
        <w:t>  In the HVS opinion letter Ms. MacDonald says that energy expenses for all ages and locations of hotels in the Price Waterhouse and PKF Consulting National Surveys range from 3.8%-4.6% of total revenues. She says "</w:t>
      </w:r>
      <w:r>
        <w:rPr>
          <w:rFonts w:ascii="arial" w:eastAsia="arial" w:hAnsi="arial" w:cs="arial"/>
          <w:color w:val="000000"/>
          <w:sz w:val="20"/>
          <w:u w:val="single"/>
          <w:lang w:val="en-US" w:eastAsia="en-US" w:bidi="ar-SA"/>
        </w:rPr>
        <w:t>assuming</w:t>
      </w:r>
      <w:r>
        <w:rPr>
          <w:rFonts w:ascii="arial" w:eastAsia="arial" w:hAnsi="arial" w:cs="arial"/>
          <w:color w:val="000000"/>
          <w:sz w:val="20"/>
          <w:lang w:val="en-US" w:eastAsia="en-US" w:bidi="ar-SA"/>
        </w:rPr>
        <w:t xml:space="preserve"> that the Westin Grand is a state of the art' facility with advanced and monitored energy systems, the projected energy expenses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be achievable."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644</w:t>
      </w:r>
      <w:r>
        <w:rPr>
          <w:rFonts w:ascii="arial" w:eastAsia="arial" w:hAnsi="arial" w:cs="arial"/>
          <w:color w:val="000000"/>
          <w:sz w:val="20"/>
          <w:lang w:val="en-US" w:eastAsia="en-US" w:bidi="ar-SA"/>
        </w:rPr>
        <w:t>  In her evidence Ms. MacDonald says she looked at the ratio as a percentage per available room and per occupied room based on a conference with the Developers that they were going to have a state of the art facility and energy expenses were going to be lower than national averages.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645</w:t>
      </w:r>
      <w:r>
        <w:rPr>
          <w:rFonts w:ascii="arial" w:eastAsia="arial" w:hAnsi="arial" w:cs="arial"/>
          <w:color w:val="000000"/>
          <w:sz w:val="20"/>
          <w:lang w:val="en-US" w:eastAsia="en-US" w:bidi="ar-SA"/>
        </w:rPr>
        <w:t>  She says that she has in fact seen new hotels with lower than national averages for energy and she only said in her letter that it could possibly be achievable.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646</w:t>
      </w:r>
      <w:r>
        <w:rPr>
          <w:rFonts w:ascii="arial" w:eastAsia="arial" w:hAnsi="arial" w:cs="arial"/>
          <w:color w:val="000000"/>
          <w:sz w:val="20"/>
          <w:lang w:val="en-US" w:eastAsia="en-US" w:bidi="ar-SA"/>
        </w:rPr>
        <w:t>  Mr. Flood says that as the Westin Grand was to have limited public areas and was to incorporate energy efficiency, this would result in a lower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647</w:t>
      </w:r>
      <w:r>
        <w:rPr>
          <w:rFonts w:ascii="arial" w:eastAsia="arial" w:hAnsi="arial" w:cs="arial"/>
          <w:color w:val="000000"/>
          <w:sz w:val="20"/>
          <w:lang w:val="en-US" w:eastAsia="en-US" w:bidi="ar-SA"/>
        </w:rPr>
        <w:t>  Mr. Rosen says that these projected figures were reasonable and achievable in relation to all suite hotels but that over the projection period this is not a material issue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648</w:t>
      </w:r>
      <w:r>
        <w:rPr>
          <w:rFonts w:ascii="arial" w:eastAsia="arial" w:hAnsi="arial" w:cs="arial"/>
          <w:color w:val="000000"/>
          <w:sz w:val="20"/>
          <w:lang w:val="en-US" w:eastAsia="en-US" w:bidi="ar-SA"/>
        </w:rPr>
        <w:t>  In my view, in the HVS opinion letter Ms. MacDonald did not give any opinion that could be reasonably relied upon as to the level of energy expenses projected. She indicated that they were lower than national surveys. She only said that assuming the hotel is a state of the art facility they may be achievable. I have no evidence that the assumption of a state-of-the-art facility, is not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649</w:t>
      </w:r>
      <w:r>
        <w:rPr>
          <w:rFonts w:ascii="arial" w:eastAsia="arial" w:hAnsi="arial" w:cs="arial"/>
          <w:color w:val="000000"/>
          <w:sz w:val="20"/>
          <w:lang w:val="en-US" w:eastAsia="en-US" w:bidi="ar-SA"/>
        </w:rPr>
        <w:t>  In my view she did not exercise any lack or reasonable care in considering the issue and stating what she did state in the HVS opinion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650</w:t>
      </w:r>
      <w:r>
        <w:rPr>
          <w:rFonts w:ascii="arial" w:eastAsia="arial" w:hAnsi="arial" w:cs="arial"/>
          <w:color w:val="000000"/>
          <w:sz w:val="20"/>
          <w:lang w:val="en-US" w:eastAsia="en-US" w:bidi="ar-SA"/>
        </w:rPr>
        <w:t>  In any event the range she gave was still within the range for the competitive hotels.</w:t>
      </w:r>
      <w:r>
        <w:rPr>
          <w:rFonts w:ascii="arial" w:eastAsia="arial" w:hAnsi="arial" w:cs="arial"/>
          <w:sz w:val="20"/>
          <w:lang w:val="en-US" w:eastAsia="en-US" w:bidi="ar-SA"/>
        </w:rPr>
        <w:cr/>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Property Operations and Maintenance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651</w:t>
      </w:r>
      <w:r>
        <w:rPr>
          <w:rFonts w:ascii="arial" w:eastAsia="arial" w:hAnsi="arial" w:cs="arial"/>
          <w:color w:val="000000"/>
          <w:sz w:val="20"/>
          <w:lang w:val="en-US" w:eastAsia="en-US" w:bidi="ar-SA"/>
        </w:rPr>
        <w:t>  In the final Projections these expenses were set at 2.45% of total revenue for year one, 3.07% for year two, 2.97% for year three, 2.96% for year four and 2.97% for year five.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652</w:t>
      </w:r>
      <w:r>
        <w:rPr>
          <w:rFonts w:ascii="arial" w:eastAsia="arial" w:hAnsi="arial" w:cs="arial"/>
          <w:color w:val="000000"/>
          <w:sz w:val="20"/>
          <w:lang w:val="en-US" w:eastAsia="en-US" w:bidi="ar-SA"/>
        </w:rPr>
        <w:t>  Mr. Kleinschmidt says that the figures for the first two years are acceptable but the figures for years three to five of 2.96 and 2.97% are lower than industry benchmarks for full service hotels of 4.3% of total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653</w:t>
      </w:r>
      <w:r>
        <w:rPr>
          <w:rFonts w:ascii="arial" w:eastAsia="arial" w:hAnsi="arial" w:cs="arial"/>
          <w:color w:val="000000"/>
          <w:sz w:val="20"/>
          <w:lang w:val="en-US" w:eastAsia="en-US" w:bidi="ar-SA"/>
        </w:rPr>
        <w:t>  The HVS opinion letter says that the projected property operations and maintenance expenses are low when compared to the national averages for other hotel properties. It says it is important to note that during a new hotel's initial years of operation there are commonly warranties in effect that lower this expense and in addition this hotel operation will not include the expense of operating and maintaining the food and beverage facilities and parking facilities which would increase this expense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654</w:t>
      </w:r>
      <w:r>
        <w:rPr>
          <w:rFonts w:ascii="arial" w:eastAsia="arial" w:hAnsi="arial" w:cs="arial"/>
          <w:color w:val="000000"/>
          <w:sz w:val="20"/>
          <w:lang w:val="en-US" w:eastAsia="en-US" w:bidi="ar-SA"/>
        </w:rPr>
        <w:t>  In her evidence Ms. MacDonald says that based on discussions she had with Mr. Ian MacAulay of Innventures (OHR) she took a deduction for the first five years for warranties in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655</w:t>
      </w:r>
      <w:r>
        <w:rPr>
          <w:rFonts w:ascii="arial" w:eastAsia="arial" w:hAnsi="arial" w:cs="arial"/>
          <w:color w:val="000000"/>
          <w:sz w:val="20"/>
          <w:lang w:val="en-US" w:eastAsia="en-US" w:bidi="ar-SA"/>
        </w:rPr>
        <w:t>  She agrees her common practice was to use a three year reduction but Mr. MacAulay said it could be five years. Since she didn't have any reason to disbelieve him she accepted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656</w:t>
      </w:r>
      <w:r>
        <w:rPr>
          <w:rFonts w:ascii="arial" w:eastAsia="arial" w:hAnsi="arial" w:cs="arial"/>
          <w:color w:val="000000"/>
          <w:sz w:val="20"/>
          <w:lang w:val="en-US" w:eastAsia="en-US" w:bidi="ar-SA"/>
        </w:rPr>
        <w:t>  Mr. Flood says the limited amount of food and beverage expenses and meeting space expenses would result in a lower cost and costs should be considered on a dollar cost per room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657</w:t>
      </w:r>
      <w:r>
        <w:rPr>
          <w:rFonts w:ascii="arial" w:eastAsia="arial" w:hAnsi="arial" w:cs="arial"/>
          <w:color w:val="000000"/>
          <w:sz w:val="20"/>
          <w:lang w:val="en-US" w:eastAsia="en-US" w:bidi="ar-SA"/>
        </w:rPr>
        <w:t>  I have no evidence that in 1996 warranties could not have been considered as in effect for five years and be lower for this hotel as it would exclude the expense of operating and maintaining the food and beverage facilities and parking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658</w:t>
      </w:r>
      <w:r>
        <w:rPr>
          <w:rFonts w:ascii="arial" w:eastAsia="arial" w:hAnsi="arial" w:cs="arial"/>
          <w:color w:val="000000"/>
          <w:sz w:val="20"/>
          <w:lang w:val="en-US" w:eastAsia="en-US" w:bidi="ar-SA"/>
        </w:rPr>
        <w:t>  I am unable to say that Ms. MacDonald did not exercise reasonable care and skill in coming to these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Disclosure Declarations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659</w:t>
      </w:r>
      <w:r>
        <w:rPr>
          <w:rFonts w:ascii="arial" w:eastAsia="arial" w:hAnsi="arial" w:cs="arial"/>
          <w:color w:val="000000"/>
          <w:sz w:val="20"/>
          <w:lang w:val="en-US" w:eastAsia="en-US" w:bidi="ar-SA"/>
        </w:rPr>
        <w:t xml:space="preserve">  The Developers and the partners' directors signed a Declaration as part of the Disclosure Statement that "the foregoing declarations (meaning the contents of the Disclosure Statement), constitute full, true and plain disclosure of all material facts relating to the Development ... as required by the </w:t>
      </w:r>
      <w:r>
        <w:rPr>
          <w:rFonts w:ascii="arial" w:eastAsia="arial" w:hAnsi="arial" w:cs="arial"/>
          <w:i/>
          <w:color w:val="000000"/>
          <w:sz w:val="20"/>
          <w:u w:val="single"/>
          <w:lang w:val="en-US" w:eastAsia="en-US" w:bidi="ar-SA"/>
        </w:rPr>
        <w:t>Real Estate Act</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660</w:t>
      </w:r>
      <w:r>
        <w:rPr>
          <w:rFonts w:ascii="arial" w:eastAsia="arial" w:hAnsi="arial" w:cs="arial"/>
          <w:color w:val="000000"/>
          <w:sz w:val="20"/>
          <w:lang w:val="en-US" w:eastAsia="en-US" w:bidi="ar-SA"/>
        </w:rPr>
        <w:t>  In addition the directors of the partners signed separate Declarations that the Disclosure Statement "contains no untrue statement of material fact, and does not omit to state a material fact that is required to be stated or that is necessary to prevent a statement that is made from being false or misleading in the circumstances in which it was made, and every matter of fact stated in the Disclosure Statement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661</w:t>
      </w:r>
      <w:r>
        <w:rPr>
          <w:rFonts w:ascii="arial" w:eastAsia="arial" w:hAnsi="arial" w:cs="arial"/>
          <w:color w:val="000000"/>
          <w:sz w:val="20"/>
          <w:lang w:val="en-US" w:eastAsia="en-US" w:bidi="ar-SA"/>
        </w:rPr>
        <w:t>  The Investors say there was no full, true and plain disclosure of all material facts in the Disclosure Statement because, again, there was no disclosure in the HVS opinion letter of the future occupancy rates HVS projected for the competitive market in the projection period of 1999 to 2003 and there was no disclosure of 34.8% as the projected hotel room demand growth from 1996 to 1999 to go along with the disclosed 60% projected hotel room supply growth in the same time period. The Investors say the disclosure of the 60% projected hotel room supply growth was only a half truth and was misleading, without the disclosure of the material fact that the projected hotel room demand growth was only 34.8%.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662</w:t>
      </w:r>
      <w:r>
        <w:rPr>
          <w:rFonts w:ascii="arial" w:eastAsia="arial" w:hAnsi="arial" w:cs="arial"/>
          <w:color w:val="000000"/>
          <w:sz w:val="20"/>
          <w:lang w:val="en-US" w:eastAsia="en-US" w:bidi="ar-SA"/>
        </w:rPr>
        <w:t>  The occupancy rates for the projected competitive market in 1999 to 2003 and the projected room demand growth are both projections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663</w:t>
      </w:r>
      <w:r>
        <w:rPr>
          <w:rFonts w:ascii="arial" w:eastAsia="arial" w:hAnsi="arial" w:cs="arial"/>
          <w:color w:val="000000"/>
          <w:sz w:val="20"/>
          <w:lang w:val="en-US" w:eastAsia="en-US" w:bidi="ar-SA"/>
        </w:rPr>
        <w:t>  The issue is whether these projections were "facts" for the purpose of the Declarations of material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664</w:t>
      </w:r>
      <w:r>
        <w:rPr>
          <w:rFonts w:ascii="arial" w:eastAsia="arial" w:hAnsi="arial" w:cs="arial"/>
          <w:color w:val="000000"/>
          <w:sz w:val="20"/>
          <w:lang w:val="en-US" w:eastAsia="en-US" w:bidi="ar-SA"/>
        </w:rPr>
        <w:t>  I do not consider that the projections for the competitive hotel market occupancy rates in 1999-2003 nor projections for the increase in room night demand in the competitive hotel market for 1996-1999, constitute facts of which the Declarations speak. They are forecasts.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665</w:t>
      </w:r>
      <w:r>
        <w:rPr>
          <w:rFonts w:ascii="arial" w:eastAsia="arial" w:hAnsi="arial" w:cs="arial"/>
          <w:color w:val="000000"/>
          <w:sz w:val="20"/>
          <w:lang w:val="en-US" w:eastAsia="en-US" w:bidi="ar-SA"/>
        </w:rPr>
        <w:t>  The Declarations deal with matters of existing facts or existing plans of the development and not with matters of projection or forecast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666</w:t>
      </w:r>
      <w:r>
        <w:rPr>
          <w:rFonts w:ascii="arial" w:eastAsia="arial" w:hAnsi="arial" w:cs="arial"/>
          <w:color w:val="000000"/>
          <w:sz w:val="20"/>
          <w:lang w:val="en-US" w:eastAsia="en-US" w:bidi="ar-SA"/>
        </w:rPr>
        <w:t>  In my view there was no failure to disclose this information by the Declarations.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1999 Alleged False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667</w:t>
      </w:r>
      <w:r>
        <w:rPr>
          <w:rFonts w:ascii="arial" w:eastAsia="arial" w:hAnsi="arial" w:cs="arial"/>
          <w:color w:val="000000"/>
          <w:sz w:val="20"/>
          <w:lang w:val="en-US" w:eastAsia="en-US" w:bidi="ar-SA"/>
        </w:rPr>
        <w:t>  The Investors claim that the Developers and directors made false representations in their Declarations to the Second Amendment to the Disclosure Statement, dated March 19,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668</w:t>
      </w:r>
      <w:r>
        <w:rPr>
          <w:rFonts w:ascii="arial" w:eastAsia="arial" w:hAnsi="arial" w:cs="arial"/>
          <w:color w:val="000000"/>
          <w:sz w:val="20"/>
          <w:lang w:val="en-US" w:eastAsia="en-US" w:bidi="ar-SA"/>
        </w:rPr>
        <w:t>  The Investors also claim that the Developers as well as OHR breached common law duties owed to them to correct original express and implied representations through the original Disclosure Statement, about the 1996 projections, that they knew were no longer true as of the Second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669</w:t>
      </w:r>
      <w:r>
        <w:rPr>
          <w:rFonts w:ascii="arial" w:eastAsia="arial" w:hAnsi="arial" w:cs="arial"/>
          <w:color w:val="000000"/>
          <w:sz w:val="20"/>
          <w:lang w:val="en-US" w:eastAsia="en-US" w:bidi="ar-SA"/>
        </w:rPr>
        <w:t>  The Investors make a separate claim as well that a false representation was made by the Developers and OHR Grand in attaching as Schedule D to the HMA signed at closing the Operating Plan and Budget for 1999 that was included in the original Disclosure Statement, when it was no longer the true budget prepared for 1999.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670</w:t>
      </w:r>
      <w:r>
        <w:rPr>
          <w:rFonts w:ascii="arial" w:eastAsia="arial" w:hAnsi="arial" w:cs="arial"/>
          <w:color w:val="000000"/>
          <w:sz w:val="20"/>
          <w:lang w:val="en-US" w:eastAsia="en-US" w:bidi="ar-SA"/>
        </w:rPr>
        <w:t>  A Second Amendment was made to the Disclosure Statement on March 19,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671</w:t>
      </w:r>
      <w:r>
        <w:rPr>
          <w:rFonts w:ascii="arial" w:eastAsia="arial" w:hAnsi="arial" w:cs="arial"/>
          <w:color w:val="000000"/>
          <w:sz w:val="20"/>
          <w:lang w:val="en-US" w:eastAsia="en-US" w:bidi="ar-SA"/>
        </w:rPr>
        <w:t>  The Developer and the directors of its partners made the same declaration as they had in 1996, but updated to March 22, 1999,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foregoing declarations constitute full, true and plain disclosure of all material facts relating to the Development referred to above, proposed to be sold, as required by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of the Province of British Columbia, as of the 22nd day of March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672</w:t>
      </w:r>
      <w:r>
        <w:rPr>
          <w:rFonts w:ascii="arial" w:eastAsia="arial" w:hAnsi="arial" w:cs="arial"/>
          <w:color w:val="000000"/>
          <w:sz w:val="20"/>
          <w:lang w:val="en-US" w:eastAsia="en-US" w:bidi="ar-SA"/>
        </w:rPr>
        <w:t>  A similar Director's Declaration to 1996 was also included and signed by Mr. Evans as a director of two of the partners and Mr. Norman Cressey as director of the third partner. It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Original Disclosure Statement, as amended by the Amendment to Disclosure Statement, contains no untrue statement of a material fact, and does not omit to state a material fact that is required to be stated or that is necessary to prevent a statement that is made from being false or misleading in the circumstances in which it was made, and that every matter of fact stated in the Original Disclosure Statement, as amended by the said Amended to Disclosure Statement,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673</w:t>
      </w:r>
      <w:r>
        <w:rPr>
          <w:rFonts w:ascii="arial" w:eastAsia="arial" w:hAnsi="arial" w:cs="arial"/>
          <w:color w:val="000000"/>
          <w:sz w:val="20"/>
          <w:lang w:val="en-US" w:eastAsia="en-US" w:bidi="ar-SA"/>
        </w:rPr>
        <w:t>  The Investors say that these declarations were false representations because it was not disclosed as material facts by the Second Amendment:</w:t>
      </w:r>
      <w:r>
        <w:rPr>
          <w:rFonts w:ascii="arial" w:eastAsia="arial" w:hAnsi="arial" w:cs="arial"/>
          <w:sz w:val="20"/>
          <w:lang w:val="en-US" w:eastAsia="en-US" w:bidi="ar-SA"/>
        </w:rPr>
        <w:cr/>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Developer and/or OHR no longer had any honest or reasonable belief that the assumptions and hypotheses upon which the projections were originally based were still reasonable and reflected circumstances that were likely to exist.</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were other undisclosed material facts that would or might prevent the projections from being realized or seriously undermine the accuracy of the projections.</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property taxes would no longer be based on residential rates in year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Who benefits from the Second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674</w:t>
      </w:r>
      <w:r>
        <w:rPr>
          <w:rFonts w:ascii="arial" w:eastAsia="arial" w:hAnsi="arial" w:cs="arial"/>
          <w:color w:val="000000"/>
          <w:sz w:val="20"/>
          <w:lang w:val="en-US" w:eastAsia="en-US" w:bidi="ar-SA"/>
        </w:rPr>
        <w:t>  The first issue to determine is which Investors can benefit from any deficiency in the Second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675</w:t>
      </w:r>
      <w:r>
        <w:rPr>
          <w:rFonts w:ascii="arial" w:eastAsia="arial" w:hAnsi="arial" w:cs="arial"/>
          <w:color w:val="000000"/>
          <w:sz w:val="20"/>
          <w:lang w:val="en-US" w:eastAsia="en-US" w:bidi="ar-SA"/>
        </w:rPr>
        <w:t>  Investors' counsel advises that by the end of 1996 there were Sale Agreements in place for all of the units although some units were later assigned to other purchasers leading up to closing. A few sales collapsed and those units were remarketed by the Developers to and beyond April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676</w:t>
      </w:r>
      <w:r>
        <w:rPr>
          <w:rFonts w:ascii="arial" w:eastAsia="arial" w:hAnsi="arial" w:cs="arial"/>
          <w:color w:val="000000"/>
          <w:sz w:val="20"/>
          <w:lang w:val="en-US" w:eastAsia="en-US" w:bidi="ar-SA"/>
        </w:rPr>
        <w:t>  An amendment to a Disclosure statement becomes part of the original Disclosure Statement. It is not a new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677</w:t>
      </w:r>
      <w:r>
        <w:rPr>
          <w:rFonts w:ascii="arial" w:eastAsia="arial" w:hAnsi="arial" w:cs="arial"/>
          <w:color w:val="000000"/>
          <w:sz w:val="20"/>
          <w:lang w:val="en-US" w:eastAsia="en-US" w:bidi="ar-SA"/>
        </w:rPr>
        <w:t>  If an amendment is required before a binding Sale Agreement is entered into by an investor, in my view it must be delivered along with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678</w:t>
      </w:r>
      <w:r>
        <w:rPr>
          <w:rFonts w:ascii="arial" w:eastAsia="arial" w:hAnsi="arial" w:cs="arial"/>
          <w:color w:val="000000"/>
          <w:sz w:val="20"/>
          <w:lang w:val="en-US" w:eastAsia="en-US" w:bidi="ar-SA"/>
        </w:rPr>
        <w:t xml:space="preserve">  I conclude that </w:t>
      </w:r>
      <w:r>
        <w:rPr>
          <w:rFonts w:ascii="arial" w:eastAsia="arial" w:hAnsi="arial" w:cs="arial"/>
          <w:b/>
          <w:i/>
          <w:color w:val="000000"/>
          <w:sz w:val="20"/>
          <w:lang w:val="en-US" w:eastAsia="en-US" w:bidi="ar-SA"/>
        </w:rPr>
        <w:t>Pirog v. Carnarvon</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[1990] B.C.J. No. 2916</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Beaton v. Pygrom</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(1991), 56 B.C.L.R. (2d) 18</w:t>
        </w:r>
      </w:hyperlink>
      <w:r>
        <w:rPr>
          <w:rFonts w:ascii="arial" w:eastAsia="arial" w:hAnsi="arial" w:cs="arial"/>
          <w:color w:val="000000"/>
          <w:sz w:val="20"/>
          <w:lang w:val="en-US" w:eastAsia="en-US" w:bidi="ar-SA"/>
        </w:rPr>
        <w:t>, only stand for the proposition that an investor who received a Disclosure statement and then entered into a binding contract of purchase and sale does not obtain any new right of rescission upon filing of a subsequent amendment to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679</w:t>
      </w:r>
      <w:r>
        <w:rPr>
          <w:rFonts w:ascii="arial" w:eastAsia="arial" w:hAnsi="arial" w:cs="arial"/>
          <w:color w:val="000000"/>
          <w:sz w:val="20"/>
          <w:lang w:val="en-US" w:eastAsia="en-US" w:bidi="ar-SA"/>
        </w:rPr>
        <w:t>  In my view it would defeat the whole purpose of a required amendment if it did not become part of the original Disclosure statement for the purpose of delivering to a potential investor prior to the execution of a binding agreement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680</w:t>
      </w:r>
      <w:r>
        <w:rPr>
          <w:rFonts w:ascii="arial" w:eastAsia="arial" w:hAnsi="arial" w:cs="arial"/>
          <w:color w:val="000000"/>
          <w:sz w:val="20"/>
          <w:lang w:val="en-US" w:eastAsia="en-US" w:bidi="ar-SA"/>
        </w:rPr>
        <w:t xml:space="preserve">  Section 56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says that ss. 50, 53, 54 and 55 apply to the amendment. Section 59 is not mentioned. Does this mean that s. 59 does not apply to an amendment to give investors their statutory cause of action set out in s. 59, for any amendment to the disclosure statement delivered to them before they execute their Sale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Pirog</w:t>
      </w:r>
      <w:r>
        <w:rPr>
          <w:rFonts w:ascii="arial" w:eastAsia="arial" w:hAnsi="arial" w:cs="arial"/>
          <w:color w:val="000000"/>
          <w:sz w:val="20"/>
          <w:lang w:val="en-US" w:eastAsia="en-US" w:bidi="ar-SA"/>
        </w:rPr>
        <w:t>, Boyd J. pointed out that s. 56 did not provide that s. 63 dealing with rescission applied. She said that there was nothing in the statute that specifically provided a right of rescission on receipt of an amended Disclosure statement and if such a statutory right of rescission applied than s. 56 would have provided that s. 63 applied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Beaton</w:t>
      </w:r>
      <w:r>
        <w:rPr>
          <w:rFonts w:ascii="arial" w:eastAsia="arial" w:hAnsi="arial" w:cs="arial"/>
          <w:color w:val="000000"/>
          <w:sz w:val="20"/>
          <w:lang w:val="en-US" w:eastAsia="en-US" w:bidi="ar-SA"/>
        </w:rPr>
        <w:t xml:space="preserve">, Spencer J. was urged not to follow </w:t>
      </w:r>
      <w:r>
        <w:rPr>
          <w:rFonts w:ascii="arial" w:eastAsia="arial" w:hAnsi="arial" w:cs="arial"/>
          <w:b/>
          <w:i/>
          <w:color w:val="000000"/>
          <w:sz w:val="20"/>
          <w:lang w:val="en-US" w:eastAsia="en-US" w:bidi="ar-SA"/>
        </w:rPr>
        <w:t>Pirog</w:t>
      </w:r>
      <w:r>
        <w:rPr>
          <w:rFonts w:ascii="arial" w:eastAsia="arial" w:hAnsi="arial" w:cs="arial"/>
          <w:color w:val="000000"/>
          <w:sz w:val="20"/>
          <w:lang w:val="en-US" w:eastAsia="en-US" w:bidi="ar-SA"/>
        </w:rPr>
        <w:t xml:space="preserve"> but he said that decision was supported "by careful reasoning based upon a strict construction of the statutory language in a way that interferes as little as possible with the contract between the parties, and to rely upon the rule of construction that where a statute expressly includes one matter but makes no mention of another, that other was deliberately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683</w:t>
      </w:r>
      <w:r>
        <w:rPr>
          <w:rFonts w:ascii="arial" w:eastAsia="arial" w:hAnsi="arial" w:cs="arial"/>
          <w:color w:val="000000"/>
          <w:sz w:val="20"/>
          <w:lang w:val="en-US" w:eastAsia="en-US" w:bidi="ar-SA"/>
        </w:rPr>
        <w:t>  This is known as the "implied exclusion rule". Investors' counsel submits that this is only a presumptive rule of construction and can be rebutted by evidence that the consequences would defeat the overall object of the statute, would be manifestly absurd, and would result in an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684</w:t>
      </w:r>
      <w:r>
        <w:rPr>
          <w:rFonts w:ascii="arial" w:eastAsia="arial" w:hAnsi="arial" w:cs="arial"/>
          <w:color w:val="000000"/>
          <w:sz w:val="20"/>
          <w:lang w:val="en-US" w:eastAsia="en-US" w:bidi="ar-SA"/>
        </w:rPr>
        <w:t>  I agree with Investors' counsel that the implied exclusion rule should not apply here in these circumstances. I can see no logical reason why reliance on s. 59 would be denied to purchasers who entered into binding Sale Agreements after receipt of an amendment that must be delivered to them before they contract. In my view that would be a complete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685</w:t>
      </w:r>
      <w:r>
        <w:rPr>
          <w:rFonts w:ascii="arial" w:eastAsia="arial" w:hAnsi="arial" w:cs="arial"/>
          <w:color w:val="000000"/>
          <w:sz w:val="20"/>
          <w:lang w:val="en-US" w:eastAsia="en-US" w:bidi="ar-SA"/>
        </w:rPr>
        <w:t xml:space="preserve">  Both </w:t>
      </w:r>
      <w:r>
        <w:rPr>
          <w:rFonts w:ascii="arial" w:eastAsia="arial" w:hAnsi="arial" w:cs="arial"/>
          <w:b/>
          <w:i/>
          <w:color w:val="000000"/>
          <w:sz w:val="20"/>
          <w:lang w:val="en-US" w:eastAsia="en-US" w:bidi="ar-SA"/>
        </w:rPr>
        <w:t>Pirog</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Beaton</w:t>
      </w:r>
      <w:r>
        <w:rPr>
          <w:rFonts w:ascii="arial" w:eastAsia="arial" w:hAnsi="arial" w:cs="arial"/>
          <w:color w:val="000000"/>
          <w:sz w:val="20"/>
          <w:lang w:val="en-US" w:eastAsia="en-US" w:bidi="ar-SA"/>
        </w:rPr>
        <w:t xml:space="preserve"> concerned circumstances where the amendment was made after the Sale Agreements were entered into and the claimants were claiming new rescission rights following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686</w:t>
      </w:r>
      <w:r>
        <w:rPr>
          <w:rFonts w:ascii="arial" w:eastAsia="arial" w:hAnsi="arial" w:cs="arial"/>
          <w:color w:val="000000"/>
          <w:sz w:val="20"/>
          <w:lang w:val="en-US" w:eastAsia="en-US" w:bidi="ar-SA"/>
        </w:rPr>
        <w:t>  Here the circumstances are that some investors may not have entered into their Sale Agreements until after the Second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687</w:t>
      </w:r>
      <w:r>
        <w:rPr>
          <w:rFonts w:ascii="arial" w:eastAsia="arial" w:hAnsi="arial" w:cs="arial"/>
          <w:color w:val="000000"/>
          <w:sz w:val="20"/>
          <w:lang w:val="en-US" w:eastAsia="en-US" w:bidi="ar-SA"/>
        </w:rPr>
        <w:t xml:space="preserve">  Spencer J. in </w:t>
      </w:r>
      <w:r>
        <w:rPr>
          <w:rFonts w:ascii="arial" w:eastAsia="arial" w:hAnsi="arial" w:cs="arial"/>
          <w:b/>
          <w:i/>
          <w:color w:val="000000"/>
          <w:sz w:val="20"/>
          <w:lang w:val="en-US" w:eastAsia="en-US" w:bidi="ar-SA"/>
        </w:rPr>
        <w:t>Beaton</w:t>
      </w:r>
      <w:r>
        <w:rPr>
          <w:rFonts w:ascii="arial" w:eastAsia="arial" w:hAnsi="arial" w:cs="arial"/>
          <w:color w:val="000000"/>
          <w:sz w:val="20"/>
          <w:lang w:val="en-US" w:eastAsia="en-US" w:bidi="ar-SA"/>
        </w:rPr>
        <w:t xml:space="preserve"> said that </w:t>
      </w:r>
      <w:r>
        <w:rPr>
          <w:rFonts w:ascii="arial" w:eastAsia="arial" w:hAnsi="arial" w:cs="arial"/>
          <w:b/>
          <w:i/>
          <w:color w:val="000000"/>
          <w:sz w:val="20"/>
          <w:lang w:val="en-US" w:eastAsia="en-US" w:bidi="ar-SA"/>
        </w:rPr>
        <w:t>Pirog</w:t>
      </w:r>
      <w:r>
        <w:rPr>
          <w:rFonts w:ascii="arial" w:eastAsia="arial" w:hAnsi="arial" w:cs="arial"/>
          <w:color w:val="000000"/>
          <w:sz w:val="20"/>
          <w:lang w:val="en-US" w:eastAsia="en-US" w:bidi="ar-SA"/>
        </w:rPr>
        <w:t xml:space="preserve"> appeared to be a decision rendered </w:t>
      </w:r>
      <w:r>
        <w:rPr>
          <w:rFonts w:ascii="arial" w:eastAsia="arial" w:hAnsi="arial" w:cs="arial"/>
          <w:i/>
          <w:color w:val="000000"/>
          <w:sz w:val="20"/>
          <w:lang w:val="en-US" w:eastAsia="en-US" w:bidi="ar-SA"/>
        </w:rPr>
        <w:t>nisi prius</w:t>
      </w:r>
      <w:r>
        <w:rPr>
          <w:rFonts w:ascii="arial" w:eastAsia="arial" w:hAnsi="arial" w:cs="arial"/>
          <w:color w:val="000000"/>
          <w:sz w:val="20"/>
          <w:lang w:val="en-US" w:eastAsia="en-US" w:bidi="ar-SA"/>
        </w:rPr>
        <w:t>, although he considered the decision to be binding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688</w:t>
      </w:r>
      <w:r>
        <w:rPr>
          <w:rFonts w:ascii="arial" w:eastAsia="arial" w:hAnsi="arial" w:cs="arial"/>
          <w:color w:val="000000"/>
          <w:sz w:val="20"/>
          <w:lang w:val="en-US" w:eastAsia="en-US" w:bidi="ar-SA"/>
        </w:rPr>
        <w:t>  Here I consider that to apply the implied exclusion rule would deny to purchasers following the Second Amendment statutory rights that had been available to purchasers who contracted before the Second Amendment, thereby creating two classes of purchasers. This cannot be the result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689</w:t>
      </w:r>
      <w:r>
        <w:rPr>
          <w:rFonts w:ascii="arial" w:eastAsia="arial" w:hAnsi="arial" w:cs="arial"/>
          <w:color w:val="000000"/>
          <w:sz w:val="20"/>
          <w:lang w:val="en-US" w:eastAsia="en-US" w:bidi="ar-SA"/>
        </w:rPr>
        <w:t xml:space="preserve">  I conclude that the implied exclusion rule is not to be applied to s. 56 to deny purchasers who contracted by Sale Agreements for the first time following amendments, their statutory rights available under s. 59 and s. 63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690</w:t>
      </w:r>
      <w:r>
        <w:rPr>
          <w:rFonts w:ascii="arial" w:eastAsia="arial" w:hAnsi="arial" w:cs="arial"/>
          <w:color w:val="000000"/>
          <w:sz w:val="20"/>
          <w:lang w:val="en-US" w:eastAsia="en-US" w:bidi="ar-SA"/>
        </w:rPr>
        <w:t>  I doubt if that would include any purchasers after any amendments who took assignments of Sale Agreements entered into before the amendments, although I have not received specific submissions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691</w:t>
      </w:r>
      <w:r>
        <w:rPr>
          <w:rFonts w:ascii="arial" w:eastAsia="arial" w:hAnsi="arial" w:cs="arial"/>
          <w:color w:val="000000"/>
          <w:sz w:val="20"/>
          <w:lang w:val="en-US" w:eastAsia="en-US" w:bidi="ar-SA"/>
        </w:rPr>
        <w:t>  Investors' counsel also submits, as I understand it, that if there is no material false statement in the original Disclosure Statement but thereafter a failure to amend it to disclose new material facts, the Business Plan for instance, then even the 1996 investors who entered into binding Sale Agreements prior to any amendment should also be able to rely upon s. 59 rights for any failure of disclosure in the later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692</w:t>
      </w:r>
      <w:r>
        <w:rPr>
          <w:rFonts w:ascii="arial" w:eastAsia="arial" w:hAnsi="arial" w:cs="arial"/>
          <w:color w:val="000000"/>
          <w:sz w:val="20"/>
          <w:lang w:val="en-US" w:eastAsia="en-US" w:bidi="ar-SA"/>
        </w:rPr>
        <w:t>  I reject this submission. Any investors who contracted by binding Sale Agreement prior to any amendments are not entitled to rely for any statutory rights on any duty to amend for any changes thereafter. Their statutory rights are crystallized at the time they signed their binding Sale Agreements.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Alleged non-disclosure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693</w:t>
      </w:r>
      <w:r>
        <w:rPr>
          <w:rFonts w:ascii="arial" w:eastAsia="arial" w:hAnsi="arial" w:cs="arial"/>
          <w:color w:val="000000"/>
          <w:sz w:val="20"/>
          <w:lang w:val="en-US" w:eastAsia="en-US" w:bidi="ar-SA"/>
        </w:rPr>
        <w:t>  The allegation of non-disclosure in the Second Amendment that the Developer and/or OHR no longer had any honest or reasonable belief that the assumptions and hypotheses on which the projection had been based were still reasonable, is based on the original representation in that regard made in s. 1.4 of the Disclosure Act that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Projection has been prepared based on assumptions and hypotheses which reflect the course of action planned by the Developer and O'Neill for the period covered by the Projection given the judgment of the management committee of the Developer and management of O'Neill as of November 8, 1996, as to the most probable set of economic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reader is cautioned that some of the assumptions and hypotheses used in the preparation of the Projection, although considered reasonable by the Developer and O'Neill at the time of preparation, may prove to be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694</w:t>
      </w:r>
      <w:r>
        <w:rPr>
          <w:rFonts w:ascii="arial" w:eastAsia="arial" w:hAnsi="arial" w:cs="arial"/>
          <w:color w:val="000000"/>
          <w:sz w:val="20"/>
          <w:lang w:val="en-US" w:eastAsia="en-US" w:bidi="ar-SA"/>
        </w:rPr>
        <w:t>  It is alleged that these representations were no longer true and had to be corrected by the Second Amendment because of the existence of the information in the HVS Opus report and the information in the Business Plan in November 1998 that included budgets for 1999 and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695</w:t>
      </w:r>
      <w:r>
        <w:rPr>
          <w:rFonts w:ascii="arial" w:eastAsia="arial" w:hAnsi="arial" w:cs="arial"/>
          <w:color w:val="000000"/>
          <w:sz w:val="20"/>
          <w:lang w:val="en-US" w:eastAsia="en-US" w:bidi="ar-SA"/>
        </w:rPr>
        <w:t>  The allegation of non-disclosure of other material facts that would or might prevent the projections from being realised or seriously undermine the accuracy of the projection is again related to the existence of the Opus report and the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696</w:t>
      </w:r>
      <w:r>
        <w:rPr>
          <w:rFonts w:ascii="arial" w:eastAsia="arial" w:hAnsi="arial" w:cs="arial"/>
          <w:color w:val="000000"/>
          <w:sz w:val="20"/>
          <w:lang w:val="en-US" w:eastAsia="en-US" w:bidi="ar-SA"/>
        </w:rPr>
        <w:t>  The allegation of non-disclosure that property taxes would no longer be assessed at residential rates in year one, is based upon the allegation that the statements to that effect in the Notes were known by the Developer to be no longer true by the time of the Second Amendment and were required to be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697</w:t>
      </w:r>
      <w:r>
        <w:rPr>
          <w:rFonts w:ascii="arial" w:eastAsia="arial" w:hAnsi="arial" w:cs="arial"/>
          <w:color w:val="000000"/>
          <w:sz w:val="20"/>
          <w:lang w:val="en-US" w:eastAsia="en-US" w:bidi="ar-SA"/>
        </w:rPr>
        <w:t xml:space="preserve">  The obligation to file an amendment to a Disclosure Statement is set out in s. 56 (s. 73)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change occurs with regard to any of the matters set out in any prospectus</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would have the effect of rendering a statement in the prospectus false or misleading; or</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brings into being a fact or proposal which should have been disclosed in the prospectus if the fact or proposal had existed at the time of the filing,</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 shall immediately notify the superintendent in writing and shall file an amendment to the prospectus or a new prospectus as the superintendent may direct. Sections 50, 53, 54, and 55 apply to the amendment or new prospectus.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698</w:t>
      </w:r>
      <w:r>
        <w:rPr>
          <w:rFonts w:ascii="arial" w:eastAsia="arial" w:hAnsi="arial" w:cs="arial"/>
          <w:color w:val="000000"/>
          <w:sz w:val="20"/>
          <w:lang w:val="en-US" w:eastAsia="en-US" w:bidi="ar-SA"/>
        </w:rPr>
        <w:t>  The essentials of s. 56 are that it covers:</w:t>
      </w:r>
      <w:r>
        <w:rPr>
          <w:rFonts w:ascii="arial" w:eastAsia="arial" w:hAnsi="arial" w:cs="arial"/>
          <w:sz w:val="20"/>
          <w:lang w:val="en-US" w:eastAsia="en-US" w:bidi="ar-SA"/>
        </w:rPr>
        <w:cr/>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change to any matters in the prospectus</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would have the effect of rendering a statement in the prospectus false or misleading; or</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brings into being a fact or proposal that should have been disclosed in the prospectus if the fact or proposal had existed at the time of filing.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699</w:t>
      </w:r>
      <w:r>
        <w:rPr>
          <w:rFonts w:ascii="arial" w:eastAsia="arial" w:hAnsi="arial" w:cs="arial"/>
          <w:color w:val="000000"/>
          <w:sz w:val="20"/>
          <w:lang w:val="en-US" w:eastAsia="en-US" w:bidi="ar-SA"/>
        </w:rPr>
        <w:t>  A "matter" must cover anything in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Canadian Oxford Dictionary, 1998</w:t>
      </w:r>
      <w:r>
        <w:rPr>
          <w:rFonts w:ascii="arial" w:eastAsia="arial" w:hAnsi="arial" w:cs="arial"/>
          <w:color w:val="000000"/>
          <w:sz w:val="20"/>
          <w:lang w:val="en-US" w:eastAsia="en-US" w:bidi="ar-SA"/>
        </w:rPr>
        <w:t xml:space="preserve"> includes the following relevant definitions: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"statement" - (1) the act or an instance of stating or being stated; expression of words; (2) a thing stated, a declaration.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"false" - not according with fact; wrong, incorrect.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"misleading" - giving the wrong idea or impression.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"fact" - (1) a thing that is known to have occurred, to exist, or to be true; (2) a thing that is believed or claimed to be true; (3) a piece of evidence, an item of verified information, or events and circumstances as distinct from their interpretation; (4) truth, reality; (5) a thing assumed as the basis for argument or inference.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"proposal" - (1) the act or an instance of proposing something; a course of action etc. so proposed; a written document outlining a proposed undertaking; (2) an offer of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701</w:t>
      </w:r>
      <w:r>
        <w:rPr>
          <w:rFonts w:ascii="arial" w:eastAsia="arial" w:hAnsi="arial" w:cs="arial"/>
          <w:color w:val="000000"/>
          <w:sz w:val="20"/>
          <w:lang w:val="en-US" w:eastAsia="en-US" w:bidi="ar-SA"/>
        </w:rPr>
        <w:t>  The Investors say that the statement in the Disclosure Statement that was rendered false by the Business Plan was the belief of the Developers and OHR in the Projection and the assumptions and hypotheses as set out in s. 1.4 of the Disclosure Statement, and this change in belief was required to be covered in the Second Amendment by s. 56(a).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702</w:t>
      </w:r>
      <w:r>
        <w:rPr>
          <w:rFonts w:ascii="arial" w:eastAsia="arial" w:hAnsi="arial" w:cs="arial"/>
          <w:color w:val="000000"/>
          <w:sz w:val="20"/>
          <w:lang w:val="en-US" w:eastAsia="en-US" w:bidi="ar-SA"/>
        </w:rPr>
        <w:t>  The Developers and OHR point out that the statement of belief in s. 1.4 is restricted to a time period as of November 8, 1996 and the preparation of the Projection.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703</w:t>
      </w:r>
      <w:r>
        <w:rPr>
          <w:rFonts w:ascii="arial" w:eastAsia="arial" w:hAnsi="arial" w:cs="arial"/>
          <w:color w:val="000000"/>
          <w:sz w:val="20"/>
          <w:lang w:val="en-US" w:eastAsia="en-US" w:bidi="ar-SA"/>
        </w:rPr>
        <w:t>  The Investors say that these beliefs of the Developers and OHR were brought forward by the Second Amendment through the Developer's Declaration that says "there is full disclosure of all material facts relating to the development ... as of the 22nd day of March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704</w:t>
      </w:r>
      <w:r>
        <w:rPr>
          <w:rFonts w:ascii="arial" w:eastAsia="arial" w:hAnsi="arial" w:cs="arial"/>
          <w:color w:val="000000"/>
          <w:sz w:val="20"/>
          <w:lang w:val="en-US" w:eastAsia="en-US" w:bidi="ar-SA"/>
        </w:rPr>
        <w:t>  In my view the statements of belief in s. 1.4 of the Disclosure Statement have not been rendered false or misleading by any change in beliefs thereafter as the statements in s. 1.4 relate to the time period as of November 8, 1996 and were not brought forward by the Second Amendment. What was brought forward was the entire statement of belief as of November 8, 1996 and not merely the statements without the stated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705</w:t>
      </w:r>
      <w:r>
        <w:rPr>
          <w:rFonts w:ascii="arial" w:eastAsia="arial" w:hAnsi="arial" w:cs="arial"/>
          <w:color w:val="000000"/>
          <w:sz w:val="20"/>
          <w:lang w:val="en-US" w:eastAsia="en-US" w:bidi="ar-SA"/>
        </w:rPr>
        <w:t xml:space="preserve">  Accordingly, even if there was a change in the beliefs of the Developers and OHR by the Business Plan or otherwise after November 8, 1996, those changes of beliefs did not render the statements of belief in s. 1.4 false or misleading in order to require any amendment for that reason under s. 56(a)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706</w:t>
      </w:r>
      <w:r>
        <w:rPr>
          <w:rFonts w:ascii="arial" w:eastAsia="arial" w:hAnsi="arial" w:cs="arial"/>
          <w:color w:val="000000"/>
          <w:sz w:val="20"/>
          <w:lang w:val="en-US" w:eastAsia="en-US" w:bidi="ar-SA"/>
        </w:rPr>
        <w:t xml:space="preserve">  Apart from the statements in s. 1.4 that were restricted to the time period as of November 8, 1996, the Investors were also cautioned that the assumptions and hypotheses may prove to be incorrect. The Auditors' Report on Financial Projection informed the potential investors that the projection was based on assumptions regarding future events, that actual results will vary from the information presented even if the hypotheses occur, and that the variations may be material. The Notes to Financial Projection told the potential investors that "the assumptions disclosed herein are those that management believes are significant to the projection. The assumptions are inherently subject to uncertainty and variations depending on evolving events and circumstances </w:t>
      </w:r>
      <w:r>
        <w:rPr>
          <w:rFonts w:ascii="arial" w:eastAsia="arial" w:hAnsi="arial" w:cs="arial"/>
          <w:color w:val="000000"/>
          <w:sz w:val="20"/>
          <w:u w:val="single"/>
          <w:lang w:val="en-US" w:eastAsia="en-US" w:bidi="ar-SA"/>
        </w:rPr>
        <w:t>occurring subsequent to the date of this projection</w:t>
      </w:r>
      <w:r>
        <w:rPr>
          <w:rFonts w:ascii="arial" w:eastAsia="arial" w:hAnsi="arial" w:cs="arial"/>
          <w:color w:val="000000"/>
          <w:sz w:val="20"/>
          <w:lang w:val="en-US" w:eastAsia="en-US" w:bidi="ar-SA"/>
        </w:rPr>
        <w:t>." (Underlining added.) The notes also stated "Management does not intend to update this projection subsequent to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707</w:t>
      </w:r>
      <w:r>
        <w:rPr>
          <w:rFonts w:ascii="arial" w:eastAsia="arial" w:hAnsi="arial" w:cs="arial"/>
          <w:color w:val="000000"/>
          <w:sz w:val="20"/>
          <w:lang w:val="en-US" w:eastAsia="en-US" w:bidi="ar-SA"/>
        </w:rPr>
        <w:t>  Section 6.8 of the Disclosure Statement also sets out risk factors for the Investors to consider such as the risk of investing in real estate generally, an absence of any operating history for the hotel, the location of the hotel and the competitiveness of operating a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708</w:t>
      </w:r>
      <w:r>
        <w:rPr>
          <w:rFonts w:ascii="arial" w:eastAsia="arial" w:hAnsi="arial" w:cs="arial"/>
          <w:color w:val="000000"/>
          <w:sz w:val="20"/>
          <w:lang w:val="en-US" w:eastAsia="en-US" w:bidi="ar-SA"/>
        </w:rPr>
        <w:t>  A change did occur by 1998 with regard to the matter of expected property taxes when the policies of the B.C. Assessment Authority changed to assess the first year at commercial rates. Mr. Evans learned about this in 1998 through his interest in developing the Opus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709</w:t>
      </w:r>
      <w:r>
        <w:rPr>
          <w:rFonts w:ascii="arial" w:eastAsia="arial" w:hAnsi="arial" w:cs="arial"/>
          <w:color w:val="000000"/>
          <w:sz w:val="20"/>
          <w:lang w:val="en-US" w:eastAsia="en-US" w:bidi="ar-SA"/>
        </w:rPr>
        <w:t>  This change rendered false the hypothesis in the Notes to Financial Projections that said, "It is expected that for 1999 the property will be classified as residential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710</w:t>
      </w:r>
      <w:r>
        <w:rPr>
          <w:rFonts w:ascii="arial" w:eastAsia="arial" w:hAnsi="arial" w:cs="arial"/>
          <w:color w:val="000000"/>
          <w:sz w:val="20"/>
          <w:lang w:val="en-US" w:eastAsia="en-US" w:bidi="ar-SA"/>
        </w:rPr>
        <w:t xml:space="preserve">  Again, however, as with the other hypotheses and assumptions, the Developer and OHR only stated their beliefs as of November 8, 1996 and that statement concerning the expected property taxes for the first year was not rendered false or misleading by any change of policy in 1998, because it also was restricted to a belief as of November 8, 1996 and therefore was not required as an amendment under s. 56(a)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711</w:t>
      </w:r>
      <w:r>
        <w:rPr>
          <w:rFonts w:ascii="arial" w:eastAsia="arial" w:hAnsi="arial" w:cs="arial"/>
          <w:color w:val="000000"/>
          <w:sz w:val="20"/>
          <w:lang w:val="en-US" w:eastAsia="en-US" w:bidi="ar-SA"/>
        </w:rPr>
        <w:t>  I turn next to a consideration of s. 56(b) that requires an amendment to a Disclosure Statement when a change occurs to any matter in the Disclosure Statement that brings into being a fact or proposal that should have been disclosed in the Disclosure Statement if the fact or proposal had existed at the time of filing of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712</w:t>
      </w:r>
      <w:r>
        <w:rPr>
          <w:rFonts w:ascii="arial" w:eastAsia="arial" w:hAnsi="arial" w:cs="arial"/>
          <w:color w:val="000000"/>
          <w:sz w:val="20"/>
          <w:lang w:val="en-US" w:eastAsia="en-US" w:bidi="ar-SA"/>
        </w:rPr>
        <w:t>  I will consider firstly the issue as to what is a "fact" meant by s. 56(b).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713</w:t>
      </w:r>
      <w:r>
        <w:rPr>
          <w:rFonts w:ascii="arial" w:eastAsia="arial" w:hAnsi="arial" w:cs="arial"/>
          <w:color w:val="000000"/>
          <w:sz w:val="20"/>
          <w:lang w:val="en-US" w:eastAsia="en-US" w:bidi="ar-SA"/>
        </w:rPr>
        <w:t>  The Investors again say that the change was to the matter of the express statements of belief made in s. 1.4 of the Disclosure Statement, brought about by the Opus report and the November 1998 Business Plan, as well as the change to the expectations concerning property taxes in the first year. They say the "facts" brought into being were that the original statements of belief were no longer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714</w:t>
      </w:r>
      <w:r>
        <w:rPr>
          <w:rFonts w:ascii="arial" w:eastAsia="arial" w:hAnsi="arial" w:cs="arial"/>
          <w:color w:val="000000"/>
          <w:sz w:val="20"/>
          <w:lang w:val="en-US" w:eastAsia="en-US" w:bidi="ar-SA"/>
        </w:rPr>
        <w:t>  I accept that assumptions and hypotheses and projections considered reasonable by the Developers and OHR and the course of action planned and their judgment as to the most probable set of economic conditions are all matters that could all change over time. However, I do not believe that the word "fact" in s. 56(b) includes any change in belief in what was said in s. 1.4 of the original Disclosure Statement, because the issue of a change in belief is a matter already covered by s. 56(a) if it has the effect of rendering a statement in the Disclosure Statement false or misleading, and any change in belief here did not render the statement in s. 1.4 false or misleading as it was restricted to November 8, 1996. Accordingly I conclude it cannot be at the same time a "fact" within s. 56(b), brought into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715</w:t>
      </w:r>
      <w:r>
        <w:rPr>
          <w:rFonts w:ascii="arial" w:eastAsia="arial" w:hAnsi="arial" w:cs="arial"/>
          <w:color w:val="000000"/>
          <w:sz w:val="20"/>
          <w:lang w:val="en-US" w:eastAsia="en-US" w:bidi="ar-SA"/>
        </w:rPr>
        <w:t>  The defendants say that the word "fact" brought into being here must refer only to an existing thing and not to any new projection such as the November 1998 Business Plan with new assumptions and hypotheses because projections cannot be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716</w:t>
      </w:r>
      <w:r>
        <w:rPr>
          <w:rFonts w:ascii="arial" w:eastAsia="arial" w:hAnsi="arial" w:cs="arial"/>
          <w:color w:val="000000"/>
          <w:sz w:val="20"/>
          <w:lang w:val="en-US" w:eastAsia="en-US" w:bidi="ar-SA"/>
        </w:rPr>
        <w:t>  I agree a new projection itself cannot be a fact brought into being for the purpose of s. 56(b). Accordingly, even if the hypotheses and assumptions changed after November 8, 1996, that did not bring into being any fact, but at most a new projection. In my view the Business Plan was not a new fact but a further projection. In the context of s. 56(b) "fact" must only refer to an existing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717</w:t>
      </w:r>
      <w:r>
        <w:rPr>
          <w:rFonts w:ascii="arial" w:eastAsia="arial" w:hAnsi="arial" w:cs="arial"/>
          <w:color w:val="000000"/>
          <w:sz w:val="20"/>
          <w:lang w:val="en-US" w:eastAsia="en-US" w:bidi="ar-SA"/>
        </w:rPr>
        <w:t>  I also observe that the word "fact" in s. 56(b) is coupled with the word "proposal". Although a "proposal" is a form of planning as opposed to merely projecting, it speaks of the future as well and not the present. This is another indication to me that a fact in s. 56 must be an existing thing, as distinct from a future projection or new assumptions and hypotheses associated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718</w:t>
      </w:r>
      <w:r>
        <w:rPr>
          <w:rFonts w:ascii="arial" w:eastAsia="arial" w:hAnsi="arial" w:cs="arial"/>
          <w:color w:val="000000"/>
          <w:sz w:val="20"/>
          <w:lang w:val="en-US" w:eastAsia="en-US" w:bidi="ar-SA"/>
        </w:rPr>
        <w:t>  I turn next to the question of whether a change to any matter in the Disclosure Statement brought into being a "proposal" within s. 56(b) which should have been disclosed in the Disclosure Statement if it had existed at the time of filing.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719</w:t>
      </w:r>
      <w:r>
        <w:rPr>
          <w:rFonts w:ascii="arial" w:eastAsia="arial" w:hAnsi="arial" w:cs="arial"/>
          <w:color w:val="000000"/>
          <w:sz w:val="20"/>
          <w:lang w:val="en-US" w:eastAsia="en-US" w:bidi="ar-SA"/>
        </w:rPr>
        <w:t>  The OHR Business Plan could become a proposal in my view if it was a settled proposal accepted by the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720</w:t>
      </w:r>
      <w:r>
        <w:rPr>
          <w:rFonts w:ascii="arial" w:eastAsia="arial" w:hAnsi="arial" w:cs="arial"/>
          <w:color w:val="000000"/>
          <w:sz w:val="20"/>
          <w:lang w:val="en-US" w:eastAsia="en-US" w:bidi="ar-SA"/>
        </w:rPr>
        <w:t>  The evidence surrounding this is quite contentious as to whether the Business Plan or at least the year 1999 and 2000 budgets contained therein were proposed to be instituted.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721</w:t>
      </w:r>
      <w:r>
        <w:rPr>
          <w:rFonts w:ascii="arial" w:eastAsia="arial" w:hAnsi="arial" w:cs="arial"/>
          <w:color w:val="000000"/>
          <w:sz w:val="20"/>
          <w:lang w:val="en-US" w:eastAsia="en-US" w:bidi="ar-SA"/>
        </w:rPr>
        <w:t>  On November 6, 1998 the Business Plan in draft was presented by OHR personnel to Developers personnel at a meeting at OHR's offices in Vancouver. The Business Plan was a comprehensive document including a Mission Statement, an Executive Summary, a Three Year Strategic Plan, and 1999 and year 2000 Operating Budgets.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722</w:t>
      </w:r>
      <w:r>
        <w:rPr>
          <w:rFonts w:ascii="arial" w:eastAsia="arial" w:hAnsi="arial" w:cs="arial"/>
          <w:color w:val="000000"/>
          <w:sz w:val="20"/>
          <w:lang w:val="en-US" w:eastAsia="en-US" w:bidi="ar-SA"/>
        </w:rPr>
        <w:t>  The Executive Summary in the Plan advised that the Westin Grand would find itself in the midst of a highly competitive environment in 1999 because of changes to global and local market conditions that would impact potential growth and business strategies of the Westin Grand. Room supply was expected to increase 21% by 2001 and 62% by 2002, over 1996 levels. Room demand was expected to face a substantial downturn, putting pressure on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723</w:t>
      </w:r>
      <w:r>
        <w:rPr>
          <w:rFonts w:ascii="arial" w:eastAsia="arial" w:hAnsi="arial" w:cs="arial"/>
          <w:color w:val="000000"/>
          <w:sz w:val="20"/>
          <w:lang w:val="en-US" w:eastAsia="en-US" w:bidi="ar-SA"/>
        </w:rPr>
        <w:t>  The Westin Grand was still projected to exceed 100% on the occupancy share index by year 2000 and exceed 100% on the revenue share index by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724</w:t>
      </w:r>
      <w:r>
        <w:rPr>
          <w:rFonts w:ascii="arial" w:eastAsia="arial" w:hAnsi="arial" w:cs="arial"/>
          <w:color w:val="000000"/>
          <w:sz w:val="20"/>
          <w:lang w:val="en-US" w:eastAsia="en-US" w:bidi="ar-SA"/>
        </w:rPr>
        <w:t>  Confidence was expressed that the Westin Grand could perform well against the Disclosure Projections for average daily rate, but given marketplace conditions, for occupancy that was not expected to happen. Instead the expectation was that the Westin Grand would perform at only 80%-90% of the Disclosure Projections over the next three years. A projected negative variance in revenue per available room of 7%-8% against disclosure was expected over the next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725</w:t>
      </w:r>
      <w:r>
        <w:rPr>
          <w:rFonts w:ascii="arial" w:eastAsia="arial" w:hAnsi="arial" w:cs="arial"/>
          <w:color w:val="000000"/>
          <w:sz w:val="20"/>
          <w:lang w:val="en-US" w:eastAsia="en-US" w:bidi="ar-SA"/>
        </w:rPr>
        <w:t>  Gross operating profit was expected to be short of the Projections because of reduced revenue per available room, minor department revenues were expected to be well short of the Projections, and sales and marketing expenses were expected to be in excess of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726</w:t>
      </w:r>
      <w:r>
        <w:rPr>
          <w:rFonts w:ascii="arial" w:eastAsia="arial" w:hAnsi="arial" w:cs="arial"/>
          <w:color w:val="000000"/>
          <w:sz w:val="20"/>
          <w:lang w:val="en-US" w:eastAsia="en-US" w:bidi="ar-SA"/>
        </w:rPr>
        <w:t>  Net income was projected to be 5.41% less than the 1996 projections for 1999, 21.42% less for year 2000 and 27.98% for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727</w:t>
      </w:r>
      <w:r>
        <w:rPr>
          <w:rFonts w:ascii="arial" w:eastAsia="arial" w:hAnsi="arial" w:cs="arial"/>
          <w:color w:val="000000"/>
          <w:sz w:val="20"/>
          <w:lang w:val="en-US" w:eastAsia="en-US" w:bidi="ar-SA"/>
        </w:rPr>
        <w:t>  The Westin Grand occupancy rate for nine months in 1999 was projected to be 67.6%, for 2000 - 68.18% and for 2001 - 64.75%. The competitive set occupancy rates for the same time periods were expected to be 69.27% in 1999, 67.85% in year 2000 and 64.30%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728</w:t>
      </w:r>
      <w:r>
        <w:rPr>
          <w:rFonts w:ascii="arial" w:eastAsia="arial" w:hAnsi="arial" w:cs="arial"/>
          <w:color w:val="000000"/>
          <w:sz w:val="20"/>
          <w:lang w:val="en-US" w:eastAsia="en-US" w:bidi="ar-SA"/>
        </w:rPr>
        <w:t>  The 1999 and year 2000 net income figures and the relationship to the 1996 Projections were shown as part of the Operating Budgets for those years included in the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729</w:t>
      </w:r>
      <w:r>
        <w:rPr>
          <w:rFonts w:ascii="arial" w:eastAsia="arial" w:hAnsi="arial" w:cs="arial"/>
          <w:color w:val="000000"/>
          <w:sz w:val="20"/>
          <w:lang w:val="en-US" w:eastAsia="en-US" w:bidi="ar-SA"/>
        </w:rPr>
        <w:t>  The evidence of Messrs. Evans, Cressey and Johnston who attended for the Developers at the presentation is all to the effect that they had no confidence in the person presenting on behalf of OHR, Mr. Douglas, who they considered to be a junior, and others in attendance from OHR did not seem to be familiar with the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730</w:t>
      </w:r>
      <w:r>
        <w:rPr>
          <w:rFonts w:ascii="arial" w:eastAsia="arial" w:hAnsi="arial" w:cs="arial"/>
          <w:color w:val="000000"/>
          <w:sz w:val="20"/>
          <w:lang w:val="en-US" w:eastAsia="en-US" w:bidi="ar-SA"/>
        </w:rPr>
        <w:t>  Mr. Evans and Mr. Cressey say that Mr. Cressey raised questions no one appeared able to respond to and the discussion of the Business Plan ended quite quickly and inconclusively in 15 minutes or so before the meeting moved on to other matters. Mr. Johnston however says the meeting was about one hour and it was all about the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731</w:t>
      </w:r>
      <w:r>
        <w:rPr>
          <w:rFonts w:ascii="arial" w:eastAsia="arial" w:hAnsi="arial" w:cs="arial"/>
          <w:color w:val="000000"/>
          <w:sz w:val="20"/>
          <w:lang w:val="en-US" w:eastAsia="en-US" w:bidi="ar-SA"/>
        </w:rPr>
        <w:t>  The Developers' witnesses looked on the Business Plan as a preliminary view, as a work in progress only, and not as a final product. They had many questions in their minds and they were not in agreement with some of the basics of the projections for 1999 and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732</w:t>
      </w:r>
      <w:r>
        <w:rPr>
          <w:rFonts w:ascii="arial" w:eastAsia="arial" w:hAnsi="arial" w:cs="arial"/>
          <w:color w:val="000000"/>
          <w:sz w:val="20"/>
          <w:lang w:val="en-US" w:eastAsia="en-US" w:bidi="ar-SA"/>
        </w:rPr>
        <w:t>  Mr. Cressey says that at the meeting he looked at the 1999 budget and saw that the food and beverage figures looked large for the plan that the restaurant was going to be operated by a third party and no revenue was going to go to the Westin Grand except for a small surcharge. He says he asked at the meeting how the numbers were arrived at and could not get an answer as if the OHR people did not understand.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733</w:t>
      </w:r>
      <w:r>
        <w:rPr>
          <w:rFonts w:ascii="arial" w:eastAsia="arial" w:hAnsi="arial" w:cs="arial"/>
          <w:color w:val="000000"/>
          <w:sz w:val="20"/>
          <w:lang w:val="en-US" w:eastAsia="en-US" w:bidi="ar-SA"/>
        </w:rPr>
        <w:t>  He says parking revenue was going to go to a third party operator as well and so he asked about that figure but got no response either but instead an awkward silence.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734</w:t>
      </w:r>
      <w:r>
        <w:rPr>
          <w:rFonts w:ascii="arial" w:eastAsia="arial" w:hAnsi="arial" w:cs="arial"/>
          <w:color w:val="000000"/>
          <w:sz w:val="20"/>
          <w:lang w:val="en-US" w:eastAsia="en-US" w:bidi="ar-SA"/>
        </w:rPr>
        <w:t>  Mr. Evans left the meeting concerned that Mr. Robert O'Neill, who had been involved originally in the Projections, had not been involved in the Business Plan, and he wanted to contact him to see if he was involved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735</w:t>
      </w:r>
      <w:r>
        <w:rPr>
          <w:rFonts w:ascii="arial" w:eastAsia="arial" w:hAnsi="arial" w:cs="arial"/>
          <w:color w:val="000000"/>
          <w:sz w:val="20"/>
          <w:lang w:val="en-US" w:eastAsia="en-US" w:bidi="ar-SA"/>
        </w:rPr>
        <w:t>  Mr. Robert O'Neill had not been at the Business Plan presentation and in his evidence confirms that he did not have any involvement with it and had never reviewed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736</w:t>
      </w:r>
      <w:r>
        <w:rPr>
          <w:rFonts w:ascii="arial" w:eastAsia="arial" w:hAnsi="arial" w:cs="arial"/>
          <w:color w:val="000000"/>
          <w:sz w:val="20"/>
          <w:lang w:val="en-US" w:eastAsia="en-US" w:bidi="ar-SA"/>
        </w:rPr>
        <w:t>  The evidence from the OHR personnel at the presentation is different. Mr. John O'Neill says he was present and the meeting lasted two hours and all items in the Business Plan were addressed. He does agree the tone of the meeting was a bit uncomfortable and there may have been some errors in the presentation, but he has no recollection of the Developers taking issue with any part of the presentation other than the food and beverage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737</w:t>
      </w:r>
      <w:r>
        <w:rPr>
          <w:rFonts w:ascii="arial" w:eastAsia="arial" w:hAnsi="arial" w:cs="arial"/>
          <w:color w:val="000000"/>
          <w:sz w:val="20"/>
          <w:lang w:val="en-US" w:eastAsia="en-US" w:bidi="ar-SA"/>
        </w:rPr>
        <w:t>  Mr. Abji of OHR says the meeting was about two hours in length, was all about the Business Plan, and Mr. Douglas of OHR did a Power Point presentation for the Developers. He says the group worked through the Business Plan with questions from the Developers and answers from OHR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738</w:t>
      </w:r>
      <w:r>
        <w:rPr>
          <w:rFonts w:ascii="arial" w:eastAsia="arial" w:hAnsi="arial" w:cs="arial"/>
          <w:color w:val="000000"/>
          <w:sz w:val="20"/>
          <w:lang w:val="en-US" w:eastAsia="en-US" w:bidi="ar-SA"/>
        </w:rPr>
        <w:t>  Mr. Abji says at the end of the meeting he asked Mr. Evans whether he was obligated to give the new projections to the Investors and Mr. Evans said he was not obligated to do that as in the Disclosure Statement they were never guaranteed any of the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739</w:t>
      </w:r>
      <w:r>
        <w:rPr>
          <w:rFonts w:ascii="arial" w:eastAsia="arial" w:hAnsi="arial" w:cs="arial"/>
          <w:color w:val="000000"/>
          <w:sz w:val="20"/>
          <w:lang w:val="en-US" w:eastAsia="en-US" w:bidi="ar-SA"/>
        </w:rPr>
        <w:t>  Mr. Abji says the meeting adjourned with OHR responsible for looking at the food and beverage issue and getting back to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740</w:t>
      </w:r>
      <w:r>
        <w:rPr>
          <w:rFonts w:ascii="arial" w:eastAsia="arial" w:hAnsi="arial" w:cs="arial"/>
          <w:color w:val="000000"/>
          <w:sz w:val="20"/>
          <w:lang w:val="en-US" w:eastAsia="en-US" w:bidi="ar-SA"/>
        </w:rPr>
        <w:t>  Mr. Douglas says much the same as Mr. John O'Neill and Mr. Abji about the content of the meeting and he says he thinks the decision was made at the meeting not to present the new figures to the Investors until after the 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741</w:t>
      </w:r>
      <w:r>
        <w:rPr>
          <w:rFonts w:ascii="arial" w:eastAsia="arial" w:hAnsi="arial" w:cs="arial"/>
          <w:color w:val="000000"/>
          <w:sz w:val="20"/>
          <w:lang w:val="en-US" w:eastAsia="en-US" w:bidi="ar-SA"/>
        </w:rPr>
        <w:t>  Mr. Evans says he has no recollection of talking to Mr. Abji about duties to disclose, but he does not specifically deny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742</w:t>
      </w:r>
      <w:r>
        <w:rPr>
          <w:rFonts w:ascii="arial" w:eastAsia="arial" w:hAnsi="arial" w:cs="arial"/>
          <w:color w:val="000000"/>
          <w:sz w:val="20"/>
          <w:lang w:val="en-US" w:eastAsia="en-US" w:bidi="ar-SA"/>
        </w:rPr>
        <w:t>  Mr. Cressey cannot recall Mr. Abji even being present, but he denies that any discussion in his presence took place of whether the new projection would be disclosed to the Investors, as he says he would have remembered that if it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743</w:t>
      </w:r>
      <w:r>
        <w:rPr>
          <w:rFonts w:ascii="arial" w:eastAsia="arial" w:hAnsi="arial" w:cs="arial"/>
          <w:color w:val="000000"/>
          <w:sz w:val="20"/>
          <w:lang w:val="en-US" w:eastAsia="en-US" w:bidi="ar-SA"/>
        </w:rPr>
        <w:t>  Subsequent to the meeting Mr. Evans says he placed a telephone call to Mr. Robert O'Neill, in the presence of Mr. Johnston, during which he says he confirmed that Mr. O'Neill had not been involved in the Business Plan and knew nothing about it. He says Mr. O'Neill promised to look at it and get back to him if there were any issues. Mr. Robert O'Neill cannot recall this conversation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744</w:t>
      </w:r>
      <w:r>
        <w:rPr>
          <w:rFonts w:ascii="arial" w:eastAsia="arial" w:hAnsi="arial" w:cs="arial"/>
          <w:color w:val="000000"/>
          <w:sz w:val="20"/>
          <w:lang w:val="en-US" w:eastAsia="en-US" w:bidi="ar-SA"/>
        </w:rPr>
        <w:t>  Mr. Evans says he never heard back from Mr. Robert O'Neill on the business plan although he agrees there were a number of occasions after this telephone call when he would have seen him on other business and he did not follow up on this issue himself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745</w:t>
      </w:r>
      <w:r>
        <w:rPr>
          <w:rFonts w:ascii="arial" w:eastAsia="arial" w:hAnsi="arial" w:cs="arial"/>
          <w:color w:val="000000"/>
          <w:sz w:val="20"/>
          <w:lang w:val="en-US" w:eastAsia="en-US" w:bidi="ar-SA"/>
        </w:rPr>
        <w:t>  Mr. John O'Neill says at some time later Mr. Robert O'Neill came into his office and mentioned something about a telephone call with Mr. Evans asking about the Business Plan. Mr. John O'Neill says they had some discussion about it at that time but he cannot recall the details. However, whatever it was did not cause him to make any changes to the 1999/2000 Business Plan other than to the food and beverage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746</w:t>
      </w:r>
      <w:r>
        <w:rPr>
          <w:rFonts w:ascii="arial" w:eastAsia="arial" w:hAnsi="arial" w:cs="arial"/>
          <w:color w:val="000000"/>
          <w:sz w:val="20"/>
          <w:lang w:val="en-US" w:eastAsia="en-US" w:bidi="ar-SA"/>
        </w:rPr>
        <w:t>  The 1999 budget came up for discussion at a later meeting on December 4, 1998 where the food and beverage issue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747</w:t>
      </w:r>
      <w:r>
        <w:rPr>
          <w:rFonts w:ascii="arial" w:eastAsia="arial" w:hAnsi="arial" w:cs="arial"/>
          <w:color w:val="000000"/>
          <w:sz w:val="20"/>
          <w:lang w:val="en-US" w:eastAsia="en-US" w:bidi="ar-SA"/>
        </w:rPr>
        <w:t>  Mr. Cressey does not recall the meeting but he has a copy of this 1999 budget in his possession, dated December 4, 1998, with his handwriting on it. He does not recall when or how he received this budget but he remembers at some point asking questions about the food and beverage. He remembers having some concern about the November 6, 1998 budget and he remembers asking questions to see whether or not proper assumptions were made about how the restaurant was going to be run and whether there was proper allocation that was now being done to the income statement that the owners would be seeing.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748</w:t>
      </w:r>
      <w:r>
        <w:rPr>
          <w:rFonts w:ascii="arial" w:eastAsia="arial" w:hAnsi="arial" w:cs="arial"/>
          <w:color w:val="000000"/>
          <w:sz w:val="20"/>
          <w:lang w:val="en-US" w:eastAsia="en-US" w:bidi="ar-SA"/>
        </w:rPr>
        <w:t>  He says he was otherwise satisfied with the December 4, 1998 budget, for 1999, and considered it phenomenally close to the Projections at only a 3.5% variance.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749</w:t>
      </w:r>
      <w:r>
        <w:rPr>
          <w:rFonts w:ascii="arial" w:eastAsia="arial" w:hAnsi="arial" w:cs="arial"/>
          <w:color w:val="000000"/>
          <w:sz w:val="20"/>
          <w:lang w:val="en-US" w:eastAsia="en-US" w:bidi="ar-SA"/>
        </w:rPr>
        <w:t>  This December 4, 1998 edition of the 1999 budget showed the contribution to the Westin Grand from the food and beverage division of $17, 267 instead of the contribution that had showed in the November 6, 1998 edition of the 1999 budget, of $71,668.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750</w:t>
      </w:r>
      <w:r>
        <w:rPr>
          <w:rFonts w:ascii="arial" w:eastAsia="arial" w:hAnsi="arial" w:cs="arial"/>
          <w:color w:val="000000"/>
          <w:sz w:val="20"/>
          <w:lang w:val="en-US" w:eastAsia="en-US" w:bidi="ar-SA"/>
        </w:rPr>
        <w:t>  In this budget of December 4, 1998 the net income was shown as 3.5% less for 1999 than the 1996 Projections for 1999 had shown, adjusted for only a nine month period, instead of the figure of 5.4% less that had been shown in the November 6, 1998 edition of the 1999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751</w:t>
      </w:r>
      <w:r>
        <w:rPr>
          <w:rFonts w:ascii="arial" w:eastAsia="arial" w:hAnsi="arial" w:cs="arial"/>
          <w:color w:val="000000"/>
          <w:sz w:val="20"/>
          <w:lang w:val="en-US" w:eastAsia="en-US" w:bidi="ar-SA"/>
        </w:rPr>
        <w:t>  Net income from the November 6, 1998 edition of the 1999 budget was $2,732,188 and this was increased to $2,787,212 resulting in the reduced variation of 3.5% in the December 4, 1998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752</w:t>
      </w:r>
      <w:r>
        <w:rPr>
          <w:rFonts w:ascii="arial" w:eastAsia="arial" w:hAnsi="arial" w:cs="arial"/>
          <w:color w:val="000000"/>
          <w:sz w:val="20"/>
          <w:lang w:val="en-US" w:eastAsia="en-US" w:bidi="ar-SA"/>
        </w:rPr>
        <w:t>  There is no evidence of any further consideration of the 1999 or 2000 budget by the Developers and OHR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753</w:t>
      </w:r>
      <w:r>
        <w:rPr>
          <w:rFonts w:ascii="arial" w:eastAsia="arial" w:hAnsi="arial" w:cs="arial"/>
          <w:color w:val="000000"/>
          <w:sz w:val="20"/>
          <w:lang w:val="en-US" w:eastAsia="en-US" w:bidi="ar-SA"/>
        </w:rPr>
        <w:t>  On December 9, 1998 the Developers distributed a letter to the Investors that provided some statistics taken from the November 6, 1998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754</w:t>
      </w:r>
      <w:r>
        <w:rPr>
          <w:rFonts w:ascii="arial" w:eastAsia="arial" w:hAnsi="arial" w:cs="arial"/>
          <w:color w:val="000000"/>
          <w:sz w:val="20"/>
          <w:lang w:val="en-US" w:eastAsia="en-US" w:bidi="ar-SA"/>
        </w:rPr>
        <w:t>  OHR considered the Business Plan and budgets finalized save for the changes to the food and beverage figures and no more work was done by it on the budgets before the closing with the Investors on April 13,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755</w:t>
      </w:r>
      <w:r>
        <w:rPr>
          <w:rFonts w:ascii="arial" w:eastAsia="arial" w:hAnsi="arial" w:cs="arial"/>
          <w:color w:val="000000"/>
          <w:sz w:val="20"/>
          <w:lang w:val="en-US" w:eastAsia="en-US" w:bidi="ar-SA"/>
        </w:rPr>
        <w:t>  OHR did not independently disclose the budgets to any investors before closing. Mr. John O'Neill says that he disclosed these figures to the Developers and that is where his disclosure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756</w:t>
      </w:r>
      <w:r>
        <w:rPr>
          <w:rFonts w:ascii="arial" w:eastAsia="arial" w:hAnsi="arial" w:cs="arial"/>
          <w:color w:val="000000"/>
          <w:sz w:val="20"/>
          <w:lang w:val="en-US" w:eastAsia="en-US" w:bidi="ar-SA"/>
        </w:rPr>
        <w:t>  Mr. Evans says it always remained his belief that the Projections would be achieved notwithstanding the Business Plan of November 6,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757</w:t>
      </w:r>
      <w:r>
        <w:rPr>
          <w:rFonts w:ascii="arial" w:eastAsia="arial" w:hAnsi="arial" w:cs="arial"/>
          <w:color w:val="000000"/>
          <w:sz w:val="20"/>
          <w:lang w:val="en-US" w:eastAsia="en-US" w:bidi="ar-SA"/>
        </w:rPr>
        <w:t>  On April 14, 1999, one day after closing on April 13, OHR Grand in the presence of Mr. Cressey and Mr. Johnston for the Developers, conducted a presentation for the Investors who had closed, informing them of the current situation and informing them of current plans. The presentation advised of a downturn in the Asian economy in 1997/1998, potential instability in Europe, a downturn in overnight visitors to Vancouver, and an increase of approximately 21% of room nights available. Positive remarks were made about the Westin Grand and the ideal location of the hotel for its target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758</w:t>
      </w:r>
      <w:r>
        <w:rPr>
          <w:rFonts w:ascii="arial" w:eastAsia="arial" w:hAnsi="arial" w:cs="arial"/>
          <w:color w:val="000000"/>
          <w:sz w:val="20"/>
          <w:lang w:val="en-US" w:eastAsia="en-US" w:bidi="ar-SA"/>
        </w:rPr>
        <w:t>  Projections were given for future room night demand and occupancy.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759</w:t>
      </w:r>
      <w:r>
        <w:rPr>
          <w:rFonts w:ascii="arial" w:eastAsia="arial" w:hAnsi="arial" w:cs="arial"/>
          <w:color w:val="000000"/>
          <w:sz w:val="20"/>
          <w:lang w:val="en-US" w:eastAsia="en-US" w:bidi="ar-SA"/>
        </w:rPr>
        <w:t>  The Investors were informed by PowerPoint presentation of 1999 operating budget highlights (9 month adjusted figures), for revenue per available room of $123.73, room revenue of $7,000,000 and net income of $2,700,000.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760</w:t>
      </w:r>
      <w:r>
        <w:rPr>
          <w:rFonts w:ascii="arial" w:eastAsia="arial" w:hAnsi="arial" w:cs="arial"/>
          <w:color w:val="000000"/>
          <w:sz w:val="20"/>
          <w:lang w:val="en-US" w:eastAsia="en-US" w:bidi="ar-SA"/>
        </w:rPr>
        <w:t>  On the PowerPoint presentation of the 1999 Operating Budget highlights the words "as per 1996 Disclosure Statement" were found related to the word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761</w:t>
      </w:r>
      <w:r>
        <w:rPr>
          <w:rFonts w:ascii="arial" w:eastAsia="arial" w:hAnsi="arial" w:cs="arial"/>
          <w:color w:val="000000"/>
          <w:sz w:val="20"/>
          <w:lang w:val="en-US" w:eastAsia="en-US" w:bidi="ar-SA"/>
        </w:rPr>
        <w:t>  Mr. John O'Neill says the source of these numbers was the December 1998 updated Operating Budget for 1999 that OHR had continued to work with. He says that at the presentation meeting the budget presented was just for the balance of 1999 as his intention was to do a year 2000 budget in the Fall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762</w:t>
      </w:r>
      <w:r>
        <w:rPr>
          <w:rFonts w:ascii="arial" w:eastAsia="arial" w:hAnsi="arial" w:cs="arial"/>
          <w:color w:val="000000"/>
          <w:sz w:val="20"/>
          <w:lang w:val="en-US" w:eastAsia="en-US" w:bidi="ar-SA"/>
        </w:rPr>
        <w:t>  My conclusions on the Business Plan and budgets are as follows:</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the evidence of Mr. Abji that Mr. Evans told him he did not consider the Developers had any obligation to give new projections to the Investors before closing.</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conclude that Mr. Evans held this honest belief at that time.</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conclude that OHR had no duty to the Investors to provide any updated projections before closing as the Investors were the clients of the Developers.</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that the Developers never agreed with the November 6, 1998 draft Business Plan of OHR in total, and it therefore never became a settled proposal accepted by the Developers and required to be disclosed through an amendment to the Disclosure Statement.</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that the Developers came to accept the 1999 Budget, by December 4, 1998, when the amended budget was produced, through the acceptance of Mr. Cressey when he saw that the variance for 1999, adjusted, was only 3.5% less than the Projections.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that the Developers knew and expected that OHR Grand would put the 1999 Budget before the Investors at the presentation meeting on April 14, 1999.</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that the 1999 Budget became a proposal under s. 56(b) that required an amendment to disclose it at the time it was accepted by the Developer. At that point it was no longer a projection.</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any original purchaser following the establishment of this 1999 Budget would be entitled to have this budget disclosed to them before purchasing.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763</w:t>
      </w:r>
      <w:r>
        <w:rPr>
          <w:rFonts w:ascii="arial" w:eastAsia="arial" w:hAnsi="arial" w:cs="arial"/>
          <w:color w:val="000000"/>
          <w:sz w:val="20"/>
          <w:lang w:val="en-US" w:eastAsia="en-US" w:bidi="ar-SA"/>
        </w:rPr>
        <w:t>  If the year 2000 Budget also presented on November 6, 1998 had been a true budget intended to be implemented and was accepted by the Developer, I would have concluded that it also was a proposal and that it would have required an amendment to the Disclosure Statement because it showed a material change for the year 2000 of 21.4% from the year 2000 projections made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764</w:t>
      </w:r>
      <w:r>
        <w:rPr>
          <w:rFonts w:ascii="arial" w:eastAsia="arial" w:hAnsi="arial" w:cs="arial"/>
          <w:color w:val="000000"/>
          <w:sz w:val="20"/>
          <w:lang w:val="en-US" w:eastAsia="en-US" w:bidi="ar-SA"/>
        </w:rPr>
        <w:t xml:space="preserve">  However, I accept Mr. John O'Neill's evidence that OHR did not intend to prepare a year 2000 Budget until the Fall of 1999. Accordingly I conclude the year 2000 Budget presented on November 6, 1998 remained nothing more than a draft and did not ever attain the status of an established budget so that it became a proposal within s. 56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765</w:t>
      </w:r>
      <w:r>
        <w:rPr>
          <w:rFonts w:ascii="arial" w:eastAsia="arial" w:hAnsi="arial" w:cs="arial"/>
          <w:color w:val="000000"/>
          <w:sz w:val="20"/>
          <w:lang w:val="en-US" w:eastAsia="en-US" w:bidi="ar-SA"/>
        </w:rPr>
        <w:t xml:space="preserve">  The Developers Declaration to the Second Amendment says that the foregoing declarations (the Second Amendment) constitute full, true and plain disclosure of all material facts relating to the development ... as required by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as of the 22nd day of March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766</w:t>
      </w:r>
      <w:r>
        <w:rPr>
          <w:rFonts w:ascii="arial" w:eastAsia="arial" w:hAnsi="arial" w:cs="arial"/>
          <w:color w:val="000000"/>
          <w:sz w:val="20"/>
          <w:lang w:val="en-US" w:eastAsia="en-US" w:bidi="ar-SA"/>
        </w:rPr>
        <w:t>  I have already concluded that material facts are matters of existing facts and not matters of projection or forecast only, so there was no misrepresentation in the Developer's declaration because of any change in projections or assumptions and hypotheses.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767</w:t>
      </w:r>
      <w:r>
        <w:rPr>
          <w:rFonts w:ascii="arial" w:eastAsia="arial" w:hAnsi="arial" w:cs="arial"/>
          <w:color w:val="000000"/>
          <w:sz w:val="20"/>
          <w:lang w:val="en-US" w:eastAsia="en-US" w:bidi="ar-SA"/>
        </w:rPr>
        <w:t>  The original Disclosure Statement, as amended, did not contain any untrue statement of material fact and did not omit to state a material fact that was required to be stated or that was necessary to prevent a statement that was made from being false or misleading, because any change in beliefs as to the projections or assumptions and hypotheses I have concluded were not required to be stated as facts, and were not necessary to prevent the statements surrounding those matters made in the original Disclosure Statement false or misleading in the circumstances in which they were made, because those circumstances were only as of November 8,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768</w:t>
      </w:r>
      <w:r>
        <w:rPr>
          <w:rFonts w:ascii="arial" w:eastAsia="arial" w:hAnsi="arial" w:cs="arial"/>
          <w:color w:val="000000"/>
          <w:sz w:val="20"/>
          <w:lang w:val="en-US" w:eastAsia="en-US" w:bidi="ar-SA"/>
        </w:rPr>
        <w:t>  Finally, as to common law obligations to make further disclosure beyond the requirements of s. 56 I conclude that s. 56 is a complete code of disclosure requirements after the original Disclosure Statement and if any changes in matters after the original Disclosure Statement are not required by s. 56 to be disclosed then there are no additional common law obligations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Schedule "D" to the HMA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769</w:t>
      </w:r>
      <w:r>
        <w:rPr>
          <w:rFonts w:ascii="arial" w:eastAsia="arial" w:hAnsi="arial" w:cs="arial"/>
          <w:color w:val="000000"/>
          <w:sz w:val="20"/>
          <w:lang w:val="en-US" w:eastAsia="en-US" w:bidi="ar-SA"/>
        </w:rPr>
        <w:t>  The Developers forwarded the HMA to the purchasers for execution as part of a package of closing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770</w:t>
      </w:r>
      <w:r>
        <w:rPr>
          <w:rFonts w:ascii="arial" w:eastAsia="arial" w:hAnsi="arial" w:cs="arial"/>
          <w:color w:val="000000"/>
          <w:sz w:val="20"/>
          <w:lang w:val="en-US" w:eastAsia="en-US" w:bidi="ar-SA"/>
        </w:rPr>
        <w:t>  Section 6.3(c) of the Disclosure Statement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Rental Management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provided in the hotel use covenant, it is mandatory for each hotel lot owner to enter into a hotel management and rental pool agreement with the manager. The rental management agreement will be substantially in the form attached hereto as Exhibit K, subject to changes agreed to by the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771</w:t>
      </w:r>
      <w:r>
        <w:rPr>
          <w:rFonts w:ascii="arial" w:eastAsia="arial" w:hAnsi="arial" w:cs="arial"/>
          <w:color w:val="000000"/>
          <w:sz w:val="20"/>
          <w:lang w:val="en-US" w:eastAsia="en-US" w:bidi="ar-SA"/>
        </w:rPr>
        <w:t>  The HMA at Exhibit K to the Disclosure Statement, said in Article 5.1 that:</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first operating year, the Operating Plan and Budget has been prepared by the manager as set forth in Schedule 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first operating year, on or before November 1 of each year thereafter, the manager will prepare and deliver to a meeting of the strata corporation duly convened in accordance with this agreement a preliminary operating plan and budget for the following operating year and the manager will review such preliminary operating plan and budget with the strata corporation at such meeting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772</w:t>
      </w:r>
      <w:r>
        <w:rPr>
          <w:rFonts w:ascii="arial" w:eastAsia="arial" w:hAnsi="arial" w:cs="arial"/>
          <w:color w:val="000000"/>
          <w:sz w:val="20"/>
          <w:lang w:val="en-US" w:eastAsia="en-US" w:bidi="ar-SA"/>
        </w:rPr>
        <w:t>  "Operating Plan and Budget" was defined in Article 1 of the HMA to mean "the operating plan, marketing plan and operating budget for the operations of the hotel for any Operating Year established pursuant to the terms of ss. 5.1 and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773</w:t>
      </w:r>
      <w:r>
        <w:rPr>
          <w:rFonts w:ascii="arial" w:eastAsia="arial" w:hAnsi="arial" w:cs="arial"/>
          <w:color w:val="000000"/>
          <w:sz w:val="20"/>
          <w:lang w:val="en-US" w:eastAsia="en-US" w:bidi="ar-SA"/>
        </w:rPr>
        <w:t>  "Operating Year" was defined to mean:</w:t>
      </w:r>
      <w:r>
        <w:rPr>
          <w:rFonts w:ascii="arial" w:eastAsia="arial" w:hAnsi="arial" w:cs="arial"/>
          <w:sz w:val="20"/>
          <w:lang w:val="en-US" w:eastAsia="en-US" w:bidi="ar-SA"/>
        </w:rPr>
        <w:cr/>
      </w:r>
    </w:p>
    <w:p>
      <w:pPr>
        <w:numPr>
          <w:numId w:val="7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firstly, the period from the Commencement Date to and including December 31 in the year after the year in which the Commencement Date occurs; and</w:t>
      </w:r>
    </w:p>
    <w:p>
      <w:pPr>
        <w:numPr>
          <w:numId w:val="7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thereafter, each period of 12 months from and including the first day of January to and including the last day of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774</w:t>
      </w:r>
      <w:r>
        <w:rPr>
          <w:rFonts w:ascii="arial" w:eastAsia="arial" w:hAnsi="arial" w:cs="arial"/>
          <w:color w:val="000000"/>
          <w:sz w:val="20"/>
          <w:lang w:val="en-US" w:eastAsia="en-US" w:bidi="ar-SA"/>
        </w:rPr>
        <w:t>  "Commencement date" was defined to mean "the date that the Hotel (including the parking areas contained therein) is opened to the general public by the Manager for business as a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775</w:t>
      </w:r>
      <w:r>
        <w:rPr>
          <w:rFonts w:ascii="arial" w:eastAsia="arial" w:hAnsi="arial" w:cs="arial"/>
          <w:color w:val="000000"/>
          <w:sz w:val="20"/>
          <w:lang w:val="en-US" w:eastAsia="en-US" w:bidi="ar-SA"/>
        </w:rPr>
        <w:t>  "Manager" was defined to mean OHR and include its successors and permitted assigns.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776</w:t>
      </w:r>
      <w:r>
        <w:rPr>
          <w:rFonts w:ascii="arial" w:eastAsia="arial" w:hAnsi="arial" w:cs="arial"/>
          <w:color w:val="000000"/>
          <w:sz w:val="20"/>
          <w:lang w:val="en-US" w:eastAsia="en-US" w:bidi="ar-SA"/>
        </w:rPr>
        <w:t>  Schedule D to Exhibit K was entitled "Operating Plan and Budget", but otherwise, as previously indicated, was identical to the five year "Projected Statement of Net Income" attached as Exhibit "A" to the Auditors' Report on Financial Projection, part of Exhibit M to the Disclosure Statement, down to the line item "Net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777</w:t>
      </w:r>
      <w:r>
        <w:rPr>
          <w:rFonts w:ascii="arial" w:eastAsia="arial" w:hAnsi="arial" w:cs="arial"/>
          <w:color w:val="000000"/>
          <w:sz w:val="20"/>
          <w:lang w:val="en-US" w:eastAsia="en-US" w:bidi="ar-SA"/>
        </w:rPr>
        <w:t>  The Sale Agreements executed by the Investors required them to enter into the HMA in the form attached as Exhibit K to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778</w:t>
      </w:r>
      <w:r>
        <w:rPr>
          <w:rFonts w:ascii="arial" w:eastAsia="arial" w:hAnsi="arial" w:cs="arial"/>
          <w:color w:val="000000"/>
          <w:sz w:val="20"/>
          <w:lang w:val="en-US" w:eastAsia="en-US" w:bidi="ar-SA"/>
        </w:rPr>
        <w:t>  In the Second Amendment to the Disclosure Statement OHR was replaced as Manager by OHR Grand and other consequential amendments were made to the Disclosure Statement to effect that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779</w:t>
      </w:r>
      <w:r>
        <w:rPr>
          <w:rFonts w:ascii="arial" w:eastAsia="arial" w:hAnsi="arial" w:cs="arial"/>
          <w:color w:val="000000"/>
          <w:sz w:val="20"/>
          <w:lang w:val="en-US" w:eastAsia="en-US" w:bidi="ar-SA"/>
        </w:rPr>
        <w:t>  The HMA included in the package of closing documents for execution by the purchasers included the same Schedule D as had been included in the form of HMA attached as Exhibit K to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780</w:t>
      </w:r>
      <w:r>
        <w:rPr>
          <w:rFonts w:ascii="arial" w:eastAsia="arial" w:hAnsi="arial" w:cs="arial"/>
          <w:color w:val="000000"/>
          <w:sz w:val="20"/>
          <w:lang w:val="en-US" w:eastAsia="en-US" w:bidi="ar-SA"/>
        </w:rPr>
        <w:t>  Mr. Johnston of the Developers says that in early March 1999 he learned that Mr. John O'Neill of OHR was going to go on vacation and so he had a telephone conversation with him on March 10 to finalize documentation before Mr. O'Neill left for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781</w:t>
      </w:r>
      <w:r>
        <w:rPr>
          <w:rFonts w:ascii="arial" w:eastAsia="arial" w:hAnsi="arial" w:cs="arial"/>
          <w:color w:val="000000"/>
          <w:sz w:val="20"/>
          <w:lang w:val="en-US" w:eastAsia="en-US" w:bidi="ar-SA"/>
        </w:rPr>
        <w:t>  Mr. Johnston says that the two of them reviewed the HMA in that telephone conversation. He says he asked Mr. John O'Neill if there were any more changes, if everything was fine, were the schedules fine, although he says the two of them did not go through any of the schedules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782</w:t>
      </w:r>
      <w:r>
        <w:rPr>
          <w:rFonts w:ascii="arial" w:eastAsia="arial" w:hAnsi="arial" w:cs="arial"/>
          <w:color w:val="000000"/>
          <w:sz w:val="20"/>
          <w:lang w:val="en-US" w:eastAsia="en-US" w:bidi="ar-SA"/>
        </w:rPr>
        <w:t>  Mr. John O'Neill agrees that he was about to go out of town on holidays at that point in time but he says there were no documents that he had in his possession requiring his agreement before he left because he knew that he could always be reached on vacation. He says he does not recall receiving any documentation from Mr. Johnston before or during his vacation nor reviewing any documents with Mr.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783</w:t>
      </w:r>
      <w:r>
        <w:rPr>
          <w:rFonts w:ascii="arial" w:eastAsia="arial" w:hAnsi="arial" w:cs="arial"/>
          <w:color w:val="000000"/>
          <w:sz w:val="20"/>
          <w:lang w:val="en-US" w:eastAsia="en-US" w:bidi="ar-SA"/>
        </w:rPr>
        <w:t>  Mr. John O'Neill says that the practise was that OHR and the Developers would discuss arrangements at a high level in general terms but leave the drafting and detail to the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784</w:t>
      </w:r>
      <w:r>
        <w:rPr>
          <w:rFonts w:ascii="arial" w:eastAsia="arial" w:hAnsi="arial" w:cs="arial"/>
          <w:color w:val="000000"/>
          <w:sz w:val="20"/>
          <w:lang w:val="en-US" w:eastAsia="en-US" w:bidi="ar-SA"/>
        </w:rPr>
        <w:t>  He recalls a telephone conversation with Mr. Johnston in the same time period that was only about whether OHR would pay for all the photocopying costs for the HMA that had to be copied for execution by all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785</w:t>
      </w:r>
      <w:r>
        <w:rPr>
          <w:rFonts w:ascii="arial" w:eastAsia="arial" w:hAnsi="arial" w:cs="arial"/>
          <w:color w:val="000000"/>
          <w:sz w:val="20"/>
          <w:lang w:val="en-US" w:eastAsia="en-US" w:bidi="ar-SA"/>
        </w:rPr>
        <w:t>  He says his understanding was that the Developers' counsel was responsible for assembling the documents and sending them out to the purchasers and OHR had no role in that. He says he does not recall receiving any drafts of the HMA in that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786</w:t>
      </w:r>
      <w:r>
        <w:rPr>
          <w:rFonts w:ascii="arial" w:eastAsia="arial" w:hAnsi="arial" w:cs="arial"/>
          <w:color w:val="000000"/>
          <w:sz w:val="20"/>
          <w:lang w:val="en-US" w:eastAsia="en-US" w:bidi="ar-SA"/>
        </w:rPr>
        <w:t>  Specifically Mr. O'Neill says at the time of the telephone call with Mr. Johnston he had no form of HMA in front of him to discuss and the last one he had seen was the one included in the Disclosure Statement. He says he never saw any executed HMA until after the closing, in late April or early May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787</w:t>
      </w:r>
      <w:r>
        <w:rPr>
          <w:rFonts w:ascii="arial" w:eastAsia="arial" w:hAnsi="arial" w:cs="arial"/>
          <w:color w:val="000000"/>
          <w:sz w:val="20"/>
          <w:lang w:val="en-US" w:eastAsia="en-US" w:bidi="ar-SA"/>
        </w:rPr>
        <w:t>  He says there is no way that he would have expressly approved Schedule D as it existed because it was for a full calendar year budget for 1999, whereas by March 1999, already two months into the year, any 1999 budget could only be for the balance of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788</w:t>
      </w:r>
      <w:r>
        <w:rPr>
          <w:rFonts w:ascii="arial" w:eastAsia="arial" w:hAnsi="arial" w:cs="arial"/>
          <w:color w:val="000000"/>
          <w:sz w:val="20"/>
          <w:lang w:val="en-US" w:eastAsia="en-US" w:bidi="ar-SA"/>
        </w:rPr>
        <w:t>  He also says that he knew at that time that the Developers had no food and beverage deal with the hotel so he could not possibly verify a budget for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789</w:t>
      </w:r>
      <w:r>
        <w:rPr>
          <w:rFonts w:ascii="arial" w:eastAsia="arial" w:hAnsi="arial" w:cs="arial"/>
          <w:color w:val="000000"/>
          <w:sz w:val="20"/>
          <w:lang w:val="en-US" w:eastAsia="en-US" w:bidi="ar-SA"/>
        </w:rPr>
        <w:t>  He does say, however, that he expected that the HMA that would be forwarded to the purchasers for execution would be the same as had existed in the Disclosure Statement with Schedule D, with the only change being that the agreement would be with OHR Grand, the new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790</w:t>
      </w:r>
      <w:r>
        <w:rPr>
          <w:rFonts w:ascii="arial" w:eastAsia="arial" w:hAnsi="arial" w:cs="arial"/>
          <w:color w:val="000000"/>
          <w:sz w:val="20"/>
          <w:lang w:val="en-US" w:eastAsia="en-US" w:bidi="ar-SA"/>
        </w:rPr>
        <w:t>  Mr. O'Neill says it had already been made clear to OHR by the Developers that there were to be no changes to the numbers in Schedule D and so he was acting on their instructions. He says that by including Schedule D he did not intend to indicate to the Developers any OHR affirmation of the 1996 numbers. OHR had already provided its updated numbers to the Developers in its November and December 1998 budgets for 1999, and he says that OHR never told the Developers anything different after that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791</w:t>
      </w:r>
      <w:r>
        <w:rPr>
          <w:rFonts w:ascii="arial" w:eastAsia="arial" w:hAnsi="arial" w:cs="arial"/>
          <w:color w:val="000000"/>
          <w:sz w:val="20"/>
          <w:lang w:val="en-US" w:eastAsia="en-US" w:bidi="ar-SA"/>
        </w:rPr>
        <w:t>  In the documents produced at trial is an email of April 6, 1999 from the lawyer for the Developers, to Mr. Johnston, including what was said to be the final version of the HMA.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792</w:t>
      </w:r>
      <w:r>
        <w:rPr>
          <w:rFonts w:ascii="arial" w:eastAsia="arial" w:hAnsi="arial" w:cs="arial"/>
          <w:color w:val="000000"/>
          <w:sz w:val="20"/>
          <w:lang w:val="en-US" w:eastAsia="en-US" w:bidi="ar-SA"/>
        </w:rPr>
        <w:t>  As previously stated, the day after the closing, on April 14, 1999 at the presentation meeting, OHR Grand presented to the purchasers a 1999 Operating Budget which was nine month adjusted figures based on the 1999 budget that OHR had prepared in December 1998, and had presented to the Developers at that time. The 1999 Operating Budget presented to the purchasers at the presentation meeting was stated to be "as per 1996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793</w:t>
      </w:r>
      <w:r>
        <w:rPr>
          <w:rFonts w:ascii="arial" w:eastAsia="arial" w:hAnsi="arial" w:cs="arial"/>
          <w:color w:val="000000"/>
          <w:sz w:val="20"/>
          <w:lang w:val="en-US" w:eastAsia="en-US" w:bidi="ar-SA"/>
        </w:rPr>
        <w:t>  The Investors say Article 5.1 of the HMA provided to them by the Developer and OHR Grand for execution in April 1999, made a false representation to them at Schedule D of the true Operating Plan and Budget for 1999 that existed at that time, and was made knowing it was false or recklessly not caring whether it was true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794</w:t>
      </w:r>
      <w:r>
        <w:rPr>
          <w:rFonts w:ascii="arial" w:eastAsia="arial" w:hAnsi="arial" w:cs="arial"/>
          <w:color w:val="000000"/>
          <w:sz w:val="20"/>
          <w:lang w:val="en-US" w:eastAsia="en-US" w:bidi="ar-SA"/>
        </w:rPr>
        <w:t>  Further they say that by providing the same five year projected operating results as had been set out in the Disclosure Statement, OHR Grand and the Developers were expressly or impliedly representing that the 1996 projections themselves, to include the projected operating results, remained sound and reasonable in 1999, had been prepared by OHR Grand in good faith with reasonable care and skill, and were believed by OHR Grand and the Developers to be reasonable as representing the best judgment of OHR Grand as to the most probable set of economic conditions and planned course of action for the hotel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795</w:t>
      </w:r>
      <w:r>
        <w:rPr>
          <w:rFonts w:ascii="arial" w:eastAsia="arial" w:hAnsi="arial" w:cs="arial"/>
          <w:color w:val="000000"/>
          <w:sz w:val="20"/>
          <w:lang w:val="en-US" w:eastAsia="en-US" w:bidi="ar-SA"/>
        </w:rPr>
        <w:t>  They say that this misrepresentation was calculated to induce them to complete both the HMA and their Sale Agreements and they were not obliged to complete either with this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796</w:t>
      </w:r>
      <w:r>
        <w:rPr>
          <w:rFonts w:ascii="arial" w:eastAsia="arial" w:hAnsi="arial" w:cs="arial"/>
          <w:color w:val="000000"/>
          <w:sz w:val="20"/>
          <w:lang w:val="en-US" w:eastAsia="en-US" w:bidi="ar-SA"/>
        </w:rPr>
        <w:t>  Those Investors who executed their Sale Agreements prior to the Second Amendment, before OHR Grand became the Manager, say that an additional reason why they were not obliged to complete is their lack of agreement to accept OHR Grand as the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797</w:t>
      </w:r>
      <w:r>
        <w:rPr>
          <w:rFonts w:ascii="arial" w:eastAsia="arial" w:hAnsi="arial" w:cs="arial"/>
          <w:color w:val="000000"/>
          <w:sz w:val="20"/>
          <w:lang w:val="en-US" w:eastAsia="en-US" w:bidi="ar-SA"/>
        </w:rPr>
        <w:t>  The Developers say the HMA was a contract only between the Investors and OHR Grand and did not involve them at all. They say they considered OHR or OHR Grand was satisfied Schedule D was the true operating budget because Mr. Johnston had asked Mr. John O'Neill if the schedules were acceptable and he had confirmed that and thereafter OHR or OHR Grand never sought to change Schedule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798</w:t>
      </w:r>
      <w:r>
        <w:rPr>
          <w:rFonts w:ascii="arial" w:eastAsia="arial" w:hAnsi="arial" w:cs="arial"/>
          <w:color w:val="000000"/>
          <w:sz w:val="20"/>
          <w:lang w:val="en-US" w:eastAsia="en-US" w:bidi="ar-SA"/>
        </w:rPr>
        <w:t>  OHR and OHR Grand point to the HVS draft report of January 21, 1999 to OHR on its management contract for the hotel where HVS projected better results for the first two years of operation of the hotel than had been projected in the Disclosure Statement, and better results than OHR had projected itself in its December 1998 budget for 1999. They say that this opinion of HVS at that time confirms the conclusion that Schedule D to the HMA was in fact a reasonable operating plan and budget for the first operating year, defined in the circumstances as the first 20 or 21 months from April 13, 1999 to December 31,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799</w:t>
      </w:r>
      <w:r>
        <w:rPr>
          <w:rFonts w:ascii="arial" w:eastAsia="arial" w:hAnsi="arial" w:cs="arial"/>
          <w:color w:val="000000"/>
          <w:sz w:val="20"/>
          <w:lang w:val="en-US" w:eastAsia="en-US" w:bidi="ar-SA"/>
        </w:rPr>
        <w:t>  This reference to a period of time longer than 12 months is based upon the definition of the words "Commencement Date" and "Operating Year" in the HMA. Since the hotel was not open to the public until April 13, 1999 on these definitions that would place the first operating year as ending on December 31,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800</w:t>
      </w:r>
      <w:r>
        <w:rPr>
          <w:rFonts w:ascii="arial" w:eastAsia="arial" w:hAnsi="arial" w:cs="arial"/>
          <w:color w:val="000000"/>
          <w:sz w:val="20"/>
          <w:lang w:val="en-US" w:eastAsia="en-US" w:bidi="ar-SA"/>
        </w:rPr>
        <w:t>  OHR and OHR Grand submit that the Investors could not have been induced to complete their purchases by any misrepresentations surrounding Schedule D, because they were obliged by the terms of their Sale Agreements already executed, to enter into the HMA on the terms as set out in the original HMA, part of the Disclosure Statement, to include Schedule D, and that is what was presented to them. They say that the inclusion of the same Schedule D in 1999 was not any representation that the original projections, including the operating results, remained reasonable and achievable at that time. Schedule D only purported to be the Operating Plan and Budget for the first operating year, which at that time by the definitions, ended on December 31, 2000, approximately 21 months later. They submit that the purpose of the Budget was only to aid the Investors in overseeing OHR Grand in the management of the hotel, not in order to give the Investors any right to avoid completion of their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801</w:t>
      </w:r>
      <w:r>
        <w:rPr>
          <w:rFonts w:ascii="arial" w:eastAsia="arial" w:hAnsi="arial" w:cs="arial"/>
          <w:color w:val="000000"/>
          <w:sz w:val="20"/>
          <w:lang w:val="en-US" w:eastAsia="en-US" w:bidi="ar-SA"/>
        </w:rPr>
        <w:t>  OHR and OHR Grand also say that Schedule D did not contain any of the express representations in the Disclosure Statement that surrounded the original projections, and in view of the cautionary language in the Disclosure Statement about actual results versus projections, could not reasonably be taken as impliedly carrying any such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802</w:t>
      </w:r>
      <w:r>
        <w:rPr>
          <w:rFonts w:ascii="arial" w:eastAsia="arial" w:hAnsi="arial" w:cs="arial"/>
          <w:color w:val="000000"/>
          <w:sz w:val="20"/>
          <w:lang w:val="en-US" w:eastAsia="en-US" w:bidi="ar-SA"/>
        </w:rPr>
        <w:t>  Finally, they say there is no evidence that the Budget for the first operating year in Schedule D was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803</w:t>
      </w:r>
      <w:r>
        <w:rPr>
          <w:rFonts w:ascii="arial" w:eastAsia="arial" w:hAnsi="arial" w:cs="arial"/>
          <w:color w:val="000000"/>
          <w:sz w:val="20"/>
          <w:lang w:val="en-US" w:eastAsia="en-US" w:bidi="ar-SA"/>
        </w:rPr>
        <w:t>  The Investors submit that it does not assist OHR Grand to say that the Sale Agreements required them to enter into the HMA because that was an agreement with the Developer and not with OHR Grand.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804</w:t>
      </w:r>
      <w:r>
        <w:rPr>
          <w:rFonts w:ascii="arial" w:eastAsia="arial" w:hAnsi="arial" w:cs="arial"/>
          <w:color w:val="000000"/>
          <w:sz w:val="20"/>
          <w:lang w:val="en-US" w:eastAsia="en-US" w:bidi="ar-SA"/>
        </w:rPr>
        <w:t>  Article 5.1 of the HMA informed the Investors that the Operating Plan and Budget for the first Operating Year was as set forth in Schedule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805</w:t>
      </w:r>
      <w:r>
        <w:rPr>
          <w:rFonts w:ascii="arial" w:eastAsia="arial" w:hAnsi="arial" w:cs="arial"/>
          <w:color w:val="000000"/>
          <w:sz w:val="20"/>
          <w:lang w:val="en-US" w:eastAsia="en-US" w:bidi="ar-SA"/>
        </w:rPr>
        <w:t>  Schedule D described itself as the Operating Plan and Budget for the years ending December 31, 1999 through December 31, 2003 and it set out revenue and expense figures for each of those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806</w:t>
      </w:r>
      <w:r>
        <w:rPr>
          <w:rFonts w:ascii="arial" w:eastAsia="arial" w:hAnsi="arial" w:cs="arial"/>
          <w:color w:val="000000"/>
          <w:sz w:val="20"/>
          <w:lang w:val="en-US" w:eastAsia="en-US" w:bidi="ar-SA"/>
        </w:rPr>
        <w:t>  On the basis of what was said in Article 5.1, a prospective investor might look at the year 1999 in Schedule D as the first operating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807</w:t>
      </w:r>
      <w:r>
        <w:rPr>
          <w:rFonts w:ascii="arial" w:eastAsia="arial" w:hAnsi="arial" w:cs="arial"/>
          <w:color w:val="000000"/>
          <w:sz w:val="20"/>
          <w:lang w:val="en-US" w:eastAsia="en-US" w:bidi="ar-SA"/>
        </w:rPr>
        <w:t>  The fact is, however, by the definitions the first operating year was not to end until December 31st of the following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808</w:t>
      </w:r>
      <w:r>
        <w:rPr>
          <w:rFonts w:ascii="arial" w:eastAsia="arial" w:hAnsi="arial" w:cs="arial"/>
          <w:color w:val="000000"/>
          <w:sz w:val="20"/>
          <w:lang w:val="en-US" w:eastAsia="en-US" w:bidi="ar-SA"/>
        </w:rPr>
        <w:t>  Why the Developer and OHR would include five years of an Operating Plan and Budget when Article 5.1 only called for the first operating year, is a mystery.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809</w:t>
      </w:r>
      <w:r>
        <w:rPr>
          <w:rFonts w:ascii="arial" w:eastAsia="arial" w:hAnsi="arial" w:cs="arial"/>
          <w:color w:val="000000"/>
          <w:sz w:val="20"/>
          <w:lang w:val="en-US" w:eastAsia="en-US" w:bidi="ar-SA"/>
        </w:rPr>
        <w:t>  How the Developer and OHR could even know what a first year Operating Plan and Budget would look like, for a time not to start until three years later, is another mystery. Nevertheless that is what is stated by Article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810</w:t>
      </w:r>
      <w:r>
        <w:rPr>
          <w:rFonts w:ascii="arial" w:eastAsia="arial" w:hAnsi="arial" w:cs="arial"/>
          <w:color w:val="000000"/>
          <w:sz w:val="20"/>
          <w:lang w:val="en-US" w:eastAsia="en-US" w:bidi="ar-SA"/>
        </w:rPr>
        <w:t>  I accept the submissions that the Investors were obliged by their Sale Agreements to execute the HMA in the form it was presented to them with Schedule D, because that is what they contracted with the Developer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811</w:t>
      </w:r>
      <w:r>
        <w:rPr>
          <w:rFonts w:ascii="arial" w:eastAsia="arial" w:hAnsi="arial" w:cs="arial"/>
          <w:color w:val="000000"/>
          <w:sz w:val="20"/>
          <w:lang w:val="en-US" w:eastAsia="en-US" w:bidi="ar-SA"/>
        </w:rPr>
        <w:t>  The Developer presented it in that form and in my view the Investors were obliged to execute it in that form and complete their purchases of their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812</w:t>
      </w:r>
      <w:r>
        <w:rPr>
          <w:rFonts w:ascii="arial" w:eastAsia="arial" w:hAnsi="arial" w:cs="arial"/>
          <w:color w:val="000000"/>
          <w:sz w:val="20"/>
          <w:lang w:val="en-US" w:eastAsia="en-US" w:bidi="ar-SA"/>
        </w:rPr>
        <w:t>  I do not consider that Schedule D carried forward to 1999 any representations surrounding the 1996 Projections nor the Projections themselves, because Schedule D did not purport to carry forward projections but only to declare a first year Operating Plan and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813</w:t>
      </w:r>
      <w:r>
        <w:rPr>
          <w:rFonts w:ascii="arial" w:eastAsia="arial" w:hAnsi="arial" w:cs="arial"/>
          <w:color w:val="000000"/>
          <w:sz w:val="20"/>
          <w:lang w:val="en-US" w:eastAsia="en-US" w:bidi="ar-SA"/>
        </w:rPr>
        <w:t>  The numbers may have been the same as the Projections for the first operating year, but in my view a budget is different than a projection. A budget is an actual plan for how the hotel will be run while a projection at best is an estimation of how the hotel should perform given certain assumptions and hypotheses.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814</w:t>
      </w:r>
      <w:r>
        <w:rPr>
          <w:rFonts w:ascii="arial" w:eastAsia="arial" w:hAnsi="arial" w:cs="arial"/>
          <w:color w:val="000000"/>
          <w:sz w:val="20"/>
          <w:lang w:val="en-US" w:eastAsia="en-US" w:bidi="ar-SA"/>
        </w:rPr>
        <w:t>  I do, however, consider that the delivery of Schedule D with the HMA to the Investors for execution in 1999, constituted a representation to them by both the Developer and OHR Grand that the first year Operating Plan and Budget remained the same as had been set out originally in Schedule D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815</w:t>
      </w:r>
      <w:r>
        <w:rPr>
          <w:rFonts w:ascii="arial" w:eastAsia="arial" w:hAnsi="arial" w:cs="arial"/>
          <w:color w:val="000000"/>
          <w:sz w:val="20"/>
          <w:lang w:val="en-US" w:eastAsia="en-US" w:bidi="ar-SA"/>
        </w:rPr>
        <w:t>  I accept the evidence of Mr. John O'Neill over the evidence of Mr. Johnston, when Mr. O'Neill says he was never asked by Mr. Johnston to approve Schedule D before the HMA went out for execution, for the reasons given by Mr. O'Neill.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816</w:t>
      </w:r>
      <w:r>
        <w:rPr>
          <w:rFonts w:ascii="arial" w:eastAsia="arial" w:hAnsi="arial" w:cs="arial"/>
          <w:color w:val="000000"/>
          <w:sz w:val="20"/>
          <w:lang w:val="en-US" w:eastAsia="en-US" w:bidi="ar-SA"/>
        </w:rPr>
        <w:t>  However, I do not think that this finding changes the fact that the HMA was the contract of OHR Grand and represented to the Investors what the first year Operating Plan and Budget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817</w:t>
      </w:r>
      <w:r>
        <w:rPr>
          <w:rFonts w:ascii="arial" w:eastAsia="arial" w:hAnsi="arial" w:cs="arial"/>
          <w:color w:val="000000"/>
          <w:sz w:val="20"/>
          <w:lang w:val="en-US" w:eastAsia="en-US" w:bidi="ar-SA"/>
        </w:rPr>
        <w:t>  I also conclude that the inclusion of the original Schedule D in the HMA also constituted a representation of the Developer as to the first year Operating Plan and Budget as it was the Developer that required the HMA to be executed in order to complete the sales to the investors, and who forwarded the HMA for execution with the same Schedule D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818</w:t>
      </w:r>
      <w:r>
        <w:rPr>
          <w:rFonts w:ascii="arial" w:eastAsia="arial" w:hAnsi="arial" w:cs="arial"/>
          <w:color w:val="000000"/>
          <w:sz w:val="20"/>
          <w:lang w:val="en-US" w:eastAsia="en-US" w:bidi="ar-SA"/>
        </w:rPr>
        <w:t>  I do not think that neither OHR Grand, nor the Developer, can escape the consequences of the representation in 1996 of the first year Operating Plan and Budget, if it turns out to be a different first year Operating Plan and Budget in 1999, whatever that consequence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819</w:t>
      </w:r>
      <w:r>
        <w:rPr>
          <w:rFonts w:ascii="arial" w:eastAsia="arial" w:hAnsi="arial" w:cs="arial"/>
          <w:color w:val="000000"/>
          <w:sz w:val="20"/>
          <w:lang w:val="en-US" w:eastAsia="en-US" w:bidi="ar-SA"/>
        </w:rPr>
        <w:t>  Whether Schedule D does constitute a misrepresentation of the actual first year Operating Plan and Budget remains to be determined however, as does any remedy for the Investors for any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820</w:t>
      </w:r>
      <w:r>
        <w:rPr>
          <w:rFonts w:ascii="arial" w:eastAsia="arial" w:hAnsi="arial" w:cs="arial"/>
          <w:color w:val="000000"/>
          <w:sz w:val="20"/>
          <w:lang w:val="en-US" w:eastAsia="en-US" w:bidi="ar-SA"/>
        </w:rPr>
        <w:t>  The day after the closing, being on April 14, 1999, a Budget was presented for the approximate nine month period remaining in 1999. That is not the Operating Plan and Budget for the first operating year as defined because the first operating year did not end until December 31, 2000. Mr. John O'Neill says he did not intend to do a year 2000 budget until the Fall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821</w:t>
      </w:r>
      <w:r>
        <w:rPr>
          <w:rFonts w:ascii="arial" w:eastAsia="arial" w:hAnsi="arial" w:cs="arial"/>
          <w:color w:val="000000"/>
          <w:sz w:val="20"/>
          <w:lang w:val="en-US" w:eastAsia="en-US" w:bidi="ar-SA"/>
        </w:rPr>
        <w:t>  What actual Budget was put forward for the year 2000, what that produced for a first operating year budget when put together with the nine month budget for 1999, and what variance that was to the first year Operating Plan and Budget in Schedule D is unknown. What claims the Investors could have for any variance has not been canvassed and will have to remain for another day, but I am satisfied that the Investors were obliged to execute the HMA when they did and complete their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822</w:t>
      </w:r>
      <w:r>
        <w:rPr>
          <w:rFonts w:ascii="arial" w:eastAsia="arial" w:hAnsi="arial" w:cs="arial"/>
          <w:color w:val="000000"/>
          <w:sz w:val="20"/>
          <w:lang w:val="en-US" w:eastAsia="en-US" w:bidi="ar-SA"/>
        </w:rPr>
        <w:t>  I do not consider the substitution of OHR Grand for OHR, as the manager, to be any material variation affecting the project entitling the Investors to avoid execution of the HMA and completion of their contracts. OHR Grand was stated in the Second Amendment to be a wholly owned subsidiary of OHR and to have the same officers and directors. The definition of "Manager" in the HMA includes successors and permitted assigns of OHR. In my view there was no material variation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OHR Grand the alter ego of OHR?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823</w:t>
      </w:r>
      <w:r>
        <w:rPr>
          <w:rFonts w:ascii="arial" w:eastAsia="arial" w:hAnsi="arial" w:cs="arial"/>
          <w:color w:val="000000"/>
          <w:sz w:val="20"/>
          <w:lang w:val="en-US" w:eastAsia="en-US" w:bidi="ar-SA"/>
        </w:rPr>
        <w:t>  Counsel for the Investors and OHR Grand appear to be in agreement that the test for an alter ego relationship between OHR Grand and OHR sufficient to impose liability on OHR as the parent company, is stringent. The subsidiary OHR Grand must be under the complete control of the parent such that it has no independent function of its own and exercises no discretion independently of the parent (</w:t>
      </w:r>
      <w:r>
        <w:rPr>
          <w:rFonts w:ascii="arial" w:eastAsia="arial" w:hAnsi="arial" w:cs="arial"/>
          <w:b/>
          <w:i/>
          <w:color w:val="000000"/>
          <w:sz w:val="20"/>
          <w:lang w:val="en-US" w:eastAsia="en-US" w:bidi="ar-SA"/>
        </w:rPr>
        <w:t>Aluminum Co. of Canada v. Toronto (City)</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[1944] S.C.R. 267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Hunt v. TNN plc</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(1990), 41 B.C.L.R. (2d) 269</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824</w:t>
      </w:r>
      <w:r>
        <w:rPr>
          <w:rFonts w:ascii="arial" w:eastAsia="arial" w:hAnsi="arial" w:cs="arial"/>
          <w:color w:val="000000"/>
          <w:sz w:val="20"/>
          <w:lang w:val="en-US" w:eastAsia="en-US" w:bidi="ar-SA"/>
        </w:rPr>
        <w:t>  Here counsel for the Investors submits that OHR Grand was the alter ego of OHR such that OHR has liability for its actions in that OHR Grand was wholly owned by OHR and shared officers and directors, it was incorporated for tax reasons arising out of OHR's sale of the majority of its management contracts, and both companies shared office space with OHR Grand taking over the pre-opening team of OHR upon its incorporation, but remaining under the charge of the same officers and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825</w:t>
      </w:r>
      <w:r>
        <w:rPr>
          <w:rFonts w:ascii="arial" w:eastAsia="arial" w:hAnsi="arial" w:cs="arial"/>
          <w:color w:val="000000"/>
          <w:sz w:val="20"/>
          <w:lang w:val="en-US" w:eastAsia="en-US" w:bidi="ar-SA"/>
        </w:rPr>
        <w:t>  Counsel for OHR Grand submits that the requirements for an alter ego relationship have not been met. It is submitted that while OHR Grand is wholly owned by OHR and the two companies shared officers and directors, there is no proof that they were identical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826</w:t>
      </w:r>
      <w:r>
        <w:rPr>
          <w:rFonts w:ascii="arial" w:eastAsia="arial" w:hAnsi="arial" w:cs="arial"/>
          <w:color w:val="000000"/>
          <w:sz w:val="20"/>
          <w:lang w:val="en-US" w:eastAsia="en-US" w:bidi="ar-SA"/>
        </w:rPr>
        <w:t>  It is submitted there is no evidence OHR Grand was incorporated for tax purposes as the only evidence is it was incorporated on the sale of the OHR hotel management contracts, in order to take ownership of the Westin Grand management contract that OHR would not be 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827</w:t>
      </w:r>
      <w:r>
        <w:rPr>
          <w:rFonts w:ascii="arial" w:eastAsia="arial" w:hAnsi="arial" w:cs="arial"/>
          <w:color w:val="000000"/>
          <w:sz w:val="20"/>
          <w:lang w:val="en-US" w:eastAsia="en-US" w:bidi="ar-SA"/>
        </w:rPr>
        <w:t>  The evidence is that the officers and directors of OHR Grand were the same officers and directors: Mr. Rob O'Neill, Mr. John O'Neill and a lawyer as secretary.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828</w:t>
      </w:r>
      <w:r>
        <w:rPr>
          <w:rFonts w:ascii="arial" w:eastAsia="arial" w:hAnsi="arial" w:cs="arial"/>
          <w:color w:val="000000"/>
          <w:sz w:val="20"/>
          <w:lang w:val="en-US" w:eastAsia="en-US" w:bidi="ar-SA"/>
        </w:rPr>
        <w:t>  With the officers and directors being common to both I conclude that OHR Grand was under the complete control of OHR as its alter ego and OHR is responsible at law for any liability of OHR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829</w:t>
      </w:r>
      <w:r>
        <w:rPr>
          <w:rFonts w:ascii="arial" w:eastAsia="arial" w:hAnsi="arial" w:cs="arial"/>
          <w:color w:val="000000"/>
          <w:sz w:val="20"/>
          <w:lang w:val="en-US" w:eastAsia="en-US" w:bidi="ar-SA"/>
        </w:rPr>
        <w:t>  The projections are those financial projections set out in Exhibit "A" and "B" to the Auditors' Report at Exhibit M to the Disclosure Statement, including the Notes at Exhibit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830</w:t>
      </w:r>
      <w:r>
        <w:rPr>
          <w:rFonts w:ascii="arial" w:eastAsia="arial" w:hAnsi="arial" w:cs="arial"/>
          <w:color w:val="000000"/>
          <w:sz w:val="20"/>
          <w:lang w:val="en-US" w:eastAsia="en-US" w:bidi="ar-SA"/>
        </w:rPr>
        <w:t>  OHR was aware that the Projection was going to be included in the Disclosure Statement and was aware and accepted that the representations made in s. 1.4 of the Disclosure Statement would be attributed to it as well as to the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831</w:t>
      </w:r>
      <w:r>
        <w:rPr>
          <w:rFonts w:ascii="arial" w:eastAsia="arial" w:hAnsi="arial" w:cs="arial"/>
          <w:color w:val="000000"/>
          <w:sz w:val="20"/>
          <w:lang w:val="en-US" w:eastAsia="en-US" w:bidi="ar-SA"/>
        </w:rPr>
        <w:t>  The representations made in s. 1.4 of the Disclosure Statement together with the similar representations made in the Auditors' Report constitute representations by the Developer and OHR of objective reasonableness of the financial projections and hypotheses and assumptions set out in Exhibit 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832</w:t>
      </w:r>
      <w:r>
        <w:rPr>
          <w:rFonts w:ascii="arial" w:eastAsia="arial" w:hAnsi="arial" w:cs="arial"/>
          <w:color w:val="000000"/>
          <w:sz w:val="20"/>
          <w:lang w:val="en-US" w:eastAsia="en-US" w:bidi="ar-SA"/>
        </w:rPr>
        <w:t xml:space="preserve">  The Developer and its directors are liable to make compensation to the Investors pursuant to s. 59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for the material false statements in Note 2(a) of the Notes to Financial Projection in Exhibit M to the Disclosure Statement, that the hotel occupancy rates in the chart are equal to the expected average occupancy rates for downtown Vancouver hotels of similar quality except for 1999 and 2000 which are 92.5% and 97.5% of the average, respectively, recognizing the start-up nature of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833</w:t>
      </w:r>
      <w:r>
        <w:rPr>
          <w:rFonts w:ascii="arial" w:eastAsia="arial" w:hAnsi="arial" w:cs="arial"/>
          <w:color w:val="000000"/>
          <w:sz w:val="20"/>
          <w:lang w:val="en-US" w:eastAsia="en-US" w:bidi="ar-SA"/>
        </w:rPr>
        <w:t>  The Developer was the party that prepared footnote number one to the financial projection proforma provided to the auditor that formed the basis for the material false statement in Note 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834</w:t>
      </w:r>
      <w:r>
        <w:rPr>
          <w:rFonts w:ascii="arial" w:eastAsia="arial" w:hAnsi="arial" w:cs="arial"/>
          <w:color w:val="000000"/>
          <w:sz w:val="20"/>
          <w:lang w:val="en-US" w:eastAsia="en-US" w:bidi="ar-SA"/>
        </w:rPr>
        <w:t>  OHR and the Developer have no liability under s. 1.4 for the material false statement of Note 2(a) because it was not an hypothesis or assumption within s. 1.4 of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835</w:t>
      </w:r>
      <w:r>
        <w:rPr>
          <w:rFonts w:ascii="arial" w:eastAsia="arial" w:hAnsi="arial" w:cs="arial"/>
          <w:color w:val="000000"/>
          <w:sz w:val="20"/>
          <w:lang w:val="en-US" w:eastAsia="en-US" w:bidi="ar-SA"/>
        </w:rPr>
        <w:t>  HVS has no liability at common law for the material false statement at Note 2(a) nor for the other hypotheses and assumptions in Exhibit 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836</w:t>
      </w:r>
      <w:r>
        <w:rPr>
          <w:rFonts w:ascii="arial" w:eastAsia="arial" w:hAnsi="arial" w:cs="arial"/>
          <w:color w:val="000000"/>
          <w:sz w:val="20"/>
          <w:lang w:val="en-US" w:eastAsia="en-US" w:bidi="ar-SA"/>
        </w:rPr>
        <w:t xml:space="preserve">  The Developer and its directors are liable to make compensation to the Investors pursuant to s. 59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for the material false statement in s. 6.7 of the Disclosure Statement that "tourism is the number one growth industry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837</w:t>
      </w:r>
      <w:r>
        <w:rPr>
          <w:rFonts w:ascii="arial" w:eastAsia="arial" w:hAnsi="arial" w:cs="arial"/>
          <w:color w:val="000000"/>
          <w:sz w:val="20"/>
          <w:lang w:val="en-US" w:eastAsia="en-US" w:bidi="ar-SA"/>
        </w:rPr>
        <w:t xml:space="preserve">  The Projection in Exhibit M is not a statement within s. 59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838</w:t>
      </w:r>
      <w:r>
        <w:rPr>
          <w:rFonts w:ascii="arial" w:eastAsia="arial" w:hAnsi="arial" w:cs="arial"/>
          <w:color w:val="000000"/>
          <w:sz w:val="20"/>
          <w:lang w:val="en-US" w:eastAsia="en-US" w:bidi="ar-SA"/>
        </w:rPr>
        <w:t>  The Annual Operating Projections reviewed by HVS for the purpose of its opinion letter of November 8, 1996 were the same figures as set out in the Projected Statement of Net Income in Exhibit M to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839</w:t>
      </w:r>
      <w:r>
        <w:rPr>
          <w:rFonts w:ascii="arial" w:eastAsia="arial" w:hAnsi="arial" w:cs="arial"/>
          <w:color w:val="000000"/>
          <w:sz w:val="20"/>
          <w:lang w:val="en-US" w:eastAsia="en-US" w:bidi="ar-SA"/>
        </w:rPr>
        <w:t>  HVS owed the Investors a duty of care in preparing its opinions and the standard of care was that of reasonable care and skill of a hotel valuator.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840</w:t>
      </w:r>
      <w:r>
        <w:rPr>
          <w:rFonts w:ascii="arial" w:eastAsia="arial" w:hAnsi="arial" w:cs="arial"/>
          <w:color w:val="000000"/>
          <w:sz w:val="20"/>
          <w:lang w:val="en-US" w:eastAsia="en-US" w:bidi="ar-SA"/>
        </w:rPr>
        <w:t>  The projected occupancy rates for the Westin Grand for the period 1999-2003 were unreasonable and outside any range of reasonableness and were negligently formulated by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841</w:t>
      </w:r>
      <w:r>
        <w:rPr>
          <w:rFonts w:ascii="arial" w:eastAsia="arial" w:hAnsi="arial" w:cs="arial"/>
          <w:color w:val="000000"/>
          <w:sz w:val="20"/>
          <w:lang w:val="en-US" w:eastAsia="en-US" w:bidi="ar-SA"/>
        </w:rPr>
        <w:t>  HVS was negligent in giving its opinion of November 8, 1996 that the annual operating projections were reasonable and achievable because of the negligently overstated occupancy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842</w:t>
      </w:r>
      <w:r>
        <w:rPr>
          <w:rFonts w:ascii="arial" w:eastAsia="arial" w:hAnsi="arial" w:cs="arial"/>
          <w:color w:val="000000"/>
          <w:sz w:val="20"/>
          <w:lang w:val="en-US" w:eastAsia="en-US" w:bidi="ar-SA"/>
        </w:rPr>
        <w:t>  The Developer and OHR made negligent representations of objective reasonableness of the projections, to include the occupancy projection at Note 2(a), by the wording of s. 1.4 of the Disclosure Statement and the wording in the Auditors'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843</w:t>
      </w:r>
      <w:r>
        <w:rPr>
          <w:rFonts w:ascii="arial" w:eastAsia="arial" w:hAnsi="arial" w:cs="arial"/>
          <w:color w:val="000000"/>
          <w:sz w:val="20"/>
          <w:lang w:val="en-US" w:eastAsia="en-US" w:bidi="ar-SA"/>
        </w:rPr>
        <w:t>  HVS did not breach any duty of care and was not negligent in how it developed the month by month occupancy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844</w:t>
      </w:r>
      <w:r>
        <w:rPr>
          <w:rFonts w:ascii="arial" w:eastAsia="arial" w:hAnsi="arial" w:cs="arial"/>
          <w:color w:val="000000"/>
          <w:sz w:val="20"/>
          <w:lang w:val="en-US" w:eastAsia="en-US" w:bidi="ar-SA"/>
        </w:rPr>
        <w:t>  HVS did not breach any duty of care and was not negligent in how it formulated the penetration rates for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845</w:t>
      </w:r>
      <w:r>
        <w:rPr>
          <w:rFonts w:ascii="arial" w:eastAsia="arial" w:hAnsi="arial" w:cs="arial"/>
          <w:color w:val="000000"/>
          <w:sz w:val="20"/>
          <w:lang w:val="en-US" w:eastAsia="en-US" w:bidi="ar-SA"/>
        </w:rPr>
        <w:t>  HVS did not breach any duty of care and was not negligent in failing to include information on the competitive set occupancy rates and on the projected level of room night demand in its opinion letter of November 8,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846</w:t>
      </w:r>
      <w:r>
        <w:rPr>
          <w:rFonts w:ascii="arial" w:eastAsia="arial" w:hAnsi="arial" w:cs="arial"/>
          <w:color w:val="000000"/>
          <w:sz w:val="20"/>
          <w:lang w:val="en-US" w:eastAsia="en-US" w:bidi="ar-SA"/>
        </w:rPr>
        <w:t>  HVS, OHR and the Developer did not fail to collaborate so as to affect the opinions of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847</w:t>
      </w:r>
      <w:r>
        <w:rPr>
          <w:rFonts w:ascii="arial" w:eastAsia="arial" w:hAnsi="arial" w:cs="arial"/>
          <w:color w:val="000000"/>
          <w:sz w:val="20"/>
          <w:lang w:val="en-US" w:eastAsia="en-US" w:bidi="ar-SA"/>
        </w:rPr>
        <w:t>  HVS did not breach any duty of care and was not negligent in its projection of room expenses, energy expenses and property and operations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848</w:t>
      </w:r>
      <w:r>
        <w:rPr>
          <w:rFonts w:ascii="arial" w:eastAsia="arial" w:hAnsi="arial" w:cs="arial"/>
          <w:color w:val="000000"/>
          <w:sz w:val="20"/>
          <w:lang w:val="en-US" w:eastAsia="en-US" w:bidi="ar-SA"/>
        </w:rPr>
        <w:t>  There were no false declarations by the Developer and its directors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849</w:t>
      </w:r>
      <w:r>
        <w:rPr>
          <w:rFonts w:ascii="arial" w:eastAsia="arial" w:hAnsi="arial" w:cs="arial"/>
          <w:color w:val="000000"/>
          <w:sz w:val="20"/>
          <w:lang w:val="en-US" w:eastAsia="en-US" w:bidi="ar-SA"/>
        </w:rPr>
        <w:t>  There was one false declaration by the Developer and its directors to the Second Amendment in that the budget for 1999 accepted by the Developer should have been disclosed in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850</w:t>
      </w:r>
      <w:r>
        <w:rPr>
          <w:rFonts w:ascii="arial" w:eastAsia="arial" w:hAnsi="arial" w:cs="arial"/>
          <w:color w:val="000000"/>
          <w:sz w:val="20"/>
          <w:lang w:val="en-US" w:eastAsia="en-US" w:bidi="ar-SA"/>
        </w:rPr>
        <w:t>  Both the Developer and OHR Grand made representations to the Investors by requiring the Investors to sign the HMA with Schedule D but the Investors were obliged to complete their sales and the issue of whether Schedule D constituted a misrepresentation of the actual 1999 budget and what the consequences might be for that, all remain to be determined on further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851</w:t>
      </w:r>
      <w:r>
        <w:rPr>
          <w:rFonts w:ascii="arial" w:eastAsia="arial" w:hAnsi="arial" w:cs="arial"/>
          <w:color w:val="000000"/>
          <w:sz w:val="20"/>
          <w:lang w:val="en-US" w:eastAsia="en-US" w:bidi="ar-SA"/>
        </w:rPr>
        <w:t>  OHR Grand is the alter ego of OHR and OHR is responsible at law for any liability of OHR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Svangtun (Litigation guardian of) v. Pacific National Exhibition, [2019] B.C.J. No. 133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S. Scarth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10, October 31,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S128925, S128926, S128927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Eden Rose Svangtun an infant by her Litigation Guardian Patricia Svangtun, Plaintiff, and Pacific National Exhibition, Christine Kerr, John/Jane Doe #2, John/Jane Doe #3, John/Jane Doe #4 District of North Vancouver, John/Jane Doe #5, John/Jane Doe #6 Kenneth Linde, Langley Animal Clinic Ltd., and Vancouver Coastal Health Authority, Defendants, and District of North Vancouver, Pacific National Exhibition, Third Parties And between Tyler Enzo Nadalin an infant by his Litigation Guardian Lisa Ann Nadalin, Plaintiff, and Pacific National Exhibition, Christine Kerr, John/Jane Doe #2, John/Jane Doe #3, John/Jane Doe #4 District of North Vancouver, John/Jane Doe #5, John/Jane Doe #6 Kenneth Linde, Langley Animal Clinic Ltd., and Vancouver Coastal Health Authority, Defendants, and District of North Vancouver, Pacific National Exhibition, Third Parties And between Jakob William Nadalin an infant by his Litigation Guardian Lisa Ann Nadalin, Plaintiff, and Pacific National Exhibition, Christine Kerr, John/Jane Doe #2, John/Jane Doe #3, John/Jane Doe #4 District of North Vancouver, John/Jane Doe #5, John/Jane Doe #6 Kenneth Linde, Langley Animal Clinic Ltd., and Vancouver Coastal Health Authority, Defendants, and District of North Vancouver, Pacific National Exhibition,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9" w:name="Keywords_41"/>
      <w:bookmarkEnd w:id="269"/>
      <w:r>
        <w:rPr>
          <w:rFonts w:ascii="arial" w:eastAsia="arial" w:hAnsi="arial" w:cs="arial"/>
          <w:b/>
          <w:color w:val="000000"/>
          <w:sz w:val="20"/>
          <w:lang w:val="en-US" w:eastAsia="en-US" w:bidi="ar-SA"/>
        </w:rPr>
        <w:t>Government Law — Access to information and privacy — Access to information — Governmental or public information — Collected personal information — Right to information — Protection of privacy — Governmental or public information — Health and medical records — Disclosure or release of information — Application by minor plaintiffs for production of unredacted documents from defendant Vancouver Coastal Health Authority (VCHA) dismissed — Plaintiffs claimed they contracted infection while attending petting farm at exhibition — Plaintiffs obtained information from VCHA about cases of bacterial infections possibly linked to exhibition — Names and contact information was redacted — Plaintiffs sought unredacted information — Disclosure of information sought was precluded by s. 91 of Public Health Act — VCHA could not be compelled to disclose information sought by plaintiffs — Freedom of Information and Protection of Privacy Act, ss. 22, 22(1), 33.1(1)(t) — Health Act, s. 5 — Public Health Act, ss. 1, 9, 91, 91(1), 91(2) — Supreme Court Civil Rules, Rule 7-1.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0" w:name="Case Summary_36"/>
            <w:bookmarkEnd w:id="2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minor plaintiffs, by their litigation guardians, for the production of unredacted documents from the defendant the defendant Vancouver Coastal Health Authority (VCHA). The plaintiffs each claimed that they contracted an infection caused by E. Coli 0157-H7 while attending the petting farm at the Pacific National Exhibition (PNE) in the summer of 2009. Counsel for the plaintiffs obtained information from the VCHA about cases of bacterial infections possibly linked to the PNE. The names and contact information had been redacted in accordance with the Freedom of Information and Protection of Privacy Act (FIPPA) and the Public Health Act (PHA). The plaintiffs commenced separate actions against the PNE, the VCHA and others for damages for various causes of action. The plaintiffs applied for an order requiring the VCHA to produce documents showing the names and contact information that were redacted. The plaintiffs submitted that an unredacted list of E. Coli cases emanating from the PNE in 2009 should be disclosed because it would assist them in finding necessary witnesses and proving that their illnesses resulted from infection at the PNE. The Attorney General for British Columbia submitted that a plain reading of s. 91 of the PHA, in its grammatical and ordinary sense, supported the conclusion that the VCHA was not compellable to disclose the personal information sought, except in a proceeding under the PHA, which did not include the plaintiffs' personal injury actions.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1" w:name="Holdings of Court_30"/>
            <w:bookmarkEnd w:id="27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disclosure of the information sought was precluded by s. 91 of the PHA. The clear purpose of s. 91 was to ensure that any information collected under the PHA remained confidential, apart from the limited exceptions identified. Section 91(1) of the PHA, on its own, would be sufficient to authorize the disclosure of personal information under Rule 7-1 of the Supreme Court Civil Rules. However, s. 91(2) of the PHA stipulated that the disclosure of personal information was only compellable in a proceeding under the PHA. An application under Rule 7-1 was not a proceeding under the PHA. There was no indication in words used in s. 91(2) of any intention to distinguish between pre-trial and trial proceedings, and there was no discretion provided to the holders of personal information. The VCHA could not be compelled to disclose the information sought by the plaintiffs.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2" w:name="Legislation Cited_29"/>
      <w:bookmarkEnd w:id="2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6"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780" w:history="1">
        <w:r>
          <w:rPr>
            <w:rFonts w:ascii="arial" w:eastAsia="arial" w:hAnsi="arial" w:cs="arial"/>
            <w:i/>
            <w:color w:val="0077CC"/>
            <w:sz w:val="20"/>
            <w:u w:val="single"/>
            <w:shd w:val="clear" w:color="auto" w:fill="FFFFFF"/>
            <w:lang w:val="en-US" w:eastAsia="en-US" w:bidi="ar-SA"/>
          </w:rPr>
          <w:t>R.S.B.C. 1996, c. 50, s. 19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Protection of Privacy Act, </w:t>
      </w:r>
      <w:hyperlink r:id="rId781" w:history="1">
        <w:r>
          <w:rPr>
            <w:rFonts w:ascii="arial" w:eastAsia="arial" w:hAnsi="arial" w:cs="arial"/>
            <w:i/>
            <w:color w:val="0077CC"/>
            <w:sz w:val="20"/>
            <w:u w:val="single"/>
            <w:shd w:val="clear" w:color="auto" w:fill="FFFFFF"/>
            <w:lang w:val="en-US" w:eastAsia="en-US" w:bidi="ar-SA"/>
          </w:rPr>
          <w:t>R.S.B.C. 1996, c. 165, s. 22</w:t>
        </w:r>
      </w:hyperlink>
      <w:r>
        <w:rPr>
          <w:rFonts w:ascii="arial" w:eastAsia="arial" w:hAnsi="arial" w:cs="arial"/>
          <w:color w:val="000000"/>
          <w:sz w:val="20"/>
          <w:lang w:val="en-US" w:eastAsia="en-US" w:bidi="ar-SA"/>
        </w:rPr>
        <w:t>, s. 22(1), s. 33.1(1)(t), Schedule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Act, </w:t>
      </w:r>
      <w:hyperlink r:id="rId782" w:history="1">
        <w:r>
          <w:rPr>
            <w:rFonts w:ascii="arial" w:eastAsia="arial" w:hAnsi="arial" w:cs="arial"/>
            <w:i/>
            <w:color w:val="0077CC"/>
            <w:sz w:val="20"/>
            <w:u w:val="single"/>
            <w:shd w:val="clear" w:color="auto" w:fill="FFFFFF"/>
            <w:lang w:val="en-US" w:eastAsia="en-US" w:bidi="ar-SA"/>
          </w:rPr>
          <w:t>R.S.B.C. 1996, c. 179, s. 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Act Communicable Disease Regulation, </w:t>
      </w:r>
      <w:hyperlink r:id="rId783" w:history="1">
        <w:r>
          <w:rPr>
            <w:rFonts w:ascii="arial" w:eastAsia="arial" w:hAnsi="arial" w:cs="arial"/>
            <w:i/>
            <w:color w:val="0077CC"/>
            <w:sz w:val="20"/>
            <w:u w:val="single"/>
            <w:shd w:val="clear" w:color="auto" w:fill="FFFFFF"/>
            <w:lang w:val="en-US" w:eastAsia="en-US" w:bidi="ar-SA"/>
          </w:rPr>
          <w:t>B.C. Reg. 4/83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Public Health Act, </w:t>
      </w:r>
      <w:hyperlink r:id="rId784" w:history="1">
        <w:r>
          <w:rPr>
            <w:rFonts w:ascii="arial" w:eastAsia="arial" w:hAnsi="arial" w:cs="arial"/>
            <w:i/>
            <w:color w:val="0077CC"/>
            <w:sz w:val="20"/>
            <w:u w:val="single"/>
            <w:shd w:val="clear" w:color="auto" w:fill="FFFFFF"/>
            <w:lang w:val="en-US" w:eastAsia="en-US" w:bidi="ar-SA"/>
          </w:rPr>
          <w:t>S.B.C. 2008, c. 28, s. 1</w:t>
        </w:r>
      </w:hyperlink>
      <w:r>
        <w:rPr>
          <w:rFonts w:ascii="arial" w:eastAsia="arial" w:hAnsi="arial" w:cs="arial"/>
          <w:color w:val="000000"/>
          <w:sz w:val="20"/>
          <w:lang w:val="en-US" w:eastAsia="en-US" w:bidi="ar-SA"/>
        </w:rPr>
        <w:t>, s. 1, s. 9, ss. 10-12, s. 14, s. 14(3), s. 91, s. 91(1), s. 91(2), s. 99, s. 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3" w:name="Counsel_41"/>
      <w:bookmarkEnd w:id="2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7"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Gianacopoulos, K. Sandulescu.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Pacific National Exhibition and Christie Kerr: A. Greenwood, T. Siemens,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District of North Vancouver: A.G. Atherton.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Vancouver Coastal Health Authority: D.J.A. Bell, A.C.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L.F. de Lima.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4" w:name="Judgment_41"/>
      <w:bookmarkEnd w:id="274"/>
      <w:r>
        <w:pict>
          <v:line id="_x0000_s1228"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5" w:name="MASTER S. SCARTH"/>
            <w:bookmarkEnd w:id="275"/>
            <w:r>
              <w:rPr>
                <w:rFonts w:ascii="arial" w:eastAsia="arial" w:hAnsi="arial" w:cs="arial"/>
                <w:b/>
                <w:color w:val="000000"/>
                <w:sz w:val="30"/>
                <w:lang w:val="en-US" w:eastAsia="en-US" w:bidi="ar-SA"/>
              </w:rPr>
              <w:t>MASTER S. SCARTH</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each allege that they contracted an infection caused by E. Coli 0157-H7 ("E. Coli") while attending the petting farm at the Pacific National Exhibition ("PNE") in the summer of 2009. They seek an order pursuant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R. 7-1, that the defendant Vancouver Coastal Health Authority ("VCHA") produce documents showing the names and contact information of each individual who contracted E. Coli in a manner that is possibly linked to the 2009 Pacific National Exhibition.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say this information will allow them to identify potential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VCHA and the intervenor, the Attorney General of British Columbia, take the position that this is personal information collected pursuant to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which VCHA cannot be compelled to produce by virtue of statutory prohibitions contained in s. 91(2) of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underlying actions were commenced in 2012. A summary of the litigation is set out in the reasons of Madam Justice Norell, indexed at </w:t>
      </w:r>
      <w:hyperlink r:id="rId785" w:history="1">
        <w:r>
          <w:rPr>
            <w:rFonts w:ascii="arial" w:eastAsia="arial" w:hAnsi="arial" w:cs="arial"/>
            <w:i/>
            <w:color w:val="0077CC"/>
            <w:sz w:val="20"/>
            <w:u w:val="single"/>
            <w:shd w:val="clear" w:color="auto" w:fill="FFFFFF"/>
            <w:lang w:val="en-US" w:eastAsia="en-US" w:bidi="ar-SA"/>
          </w:rPr>
          <w:t>2018 BCSC 656</w:t>
        </w:r>
      </w:hyperlink>
      <w:r>
        <w:rPr>
          <w:rFonts w:ascii="arial" w:eastAsia="arial" w:hAnsi="arial" w:cs="arial"/>
          <w:color w:val="000000"/>
          <w:sz w:val="20"/>
          <w:lang w:val="en-US" w:eastAsia="en-US" w:bidi="ar-SA"/>
        </w:rPr>
        <w:t>, in which she dismissed an application to sever liability and quantum: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This matter concerns three actions, each commenced by an infant plaintiff. The plaintiffs each allege that they contracted an E. Coli 0157-H7 ("E. Coli") infection while attending the Pacific National Exhibition petting farm in the summer of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plaintiffs' notices of civil claim allege that in 2009 there was an E. Coli outbreak at the PNE petting farm. The plaintiffs visited the petting farm and subsequently became ill. The plaintiffs allege the defendants failed to take reasonable steps to avoid transmission of E. Coli to the plaintiffs. The allegations include failures with respect to design, presentation, supply of equipment and animals, maintenance, operation, inspection, warnings, hand washing facilities, and supervision of the petting farm. The claims are based on strict liability,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contract, and statutory obligations including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their respective responses to civil claim, some defendants deny a duty of care, and each defendant denies breach of any standard of care and causation. Each defendant makes cross-claims against the other defendants. All of the defendants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plaintiffs, and some defendants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plaintiffs' parents or guardians. Those allegations include inadequate hand washing and failure to supervise.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Causation is a live issue. After the Nadalin brothers fell ill and were hospitalized, they were found to have E. Coli in their stool. The defendants do not admit that the Nadalin brothers contracted the E. Coli infections from the petting farm, or if they did, do not admit it was from a breach of any standard of care. In the case of Svangtun, the defendants do not admit that Svangtun had an E. Coli infection. While she was hospitalized, no E. Coli was found in her stool. Further, the defendants allege that if Svangtun did have an E. Coli infection, she did not contract it at the petting farm, and if she did, they allege it was not from a breach of any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2010, prior to the actions being filed, plaintiffs' counsel made a request under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In its response to the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request, VCHA provided documents of the kind sought by the plaintiffs on these applications, with names and contact information redacted. VCHA stated that it was withholding the redacted information pursuant to s. 22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and s. 91(1) of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Section 22(1)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requires a head of a public body to "refuse to disclose personal information to an applicant if the disclosure would be an unreasonable invasion of a third party's personal privacy" and provides guidance for determining what is unreasonable. I note that some unedited documents were produced pursuant to the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request, showing the names and contact information of affected individuals. This disclosure was made in error, and may be the subject of further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VCHA has also provided disclosure in this litigation. It has produced documents relating to reports of potential E. Coli infections potentially emanating from visits to the 2009 PNE. However, the documents have been edited to remove names and contact information of individuals other than the plaintiffs. The plaintiffs are not satisfied with this and say that the documents should be produced in unredacted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As noted, VCHA opposes production of the personal information sought, citing s. 91(2) of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VCHA says that to the extent that names and contact information have already been disclosed, this was an error and that no reliance should be placed on that error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Disclosure is also opposed by the Attorney General of British Columbia who was granted leave to intervene on the issue of the construction and applicability of s. 91 by order of Madam Justice Gropper on April 23,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PNE and the District of North Vancouver adopt the submissions of the Attorney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SECTION 91 OF THE PHA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Section 91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91(1) A person who has custody of, access to or control over personal information under this Act must not disclose the personal information to any other person except as authorized under this or any other enactment.</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referred to in subsection (1) is not, except in a proceeding under this Act, compellable to disclose or provide evidence about personal information the person has custody of, access to or control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defines "personal information" as including: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personal information within the meaning of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Personal Information Protection Act</w:t>
      </w:r>
      <w:r>
        <w:rPr>
          <w:rFonts w:ascii="arial" w:eastAsia="arial" w:hAnsi="arial" w:cs="arial"/>
          <w:color w:val="000000"/>
          <w:sz w:val="20"/>
          <w:lang w:val="en-US" w:eastAsia="en-US" w:bidi="ar-SA"/>
        </w:rPr>
        <w: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defines "personal information" as recorded information about an identifiable individual other than contact information: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Schedule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"Contact information" is defined in s. 1 of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to mean "information sufficient to contact a person, including the person's home and business address, telephone number and email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parties agree on the following:</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documents sought are relevant documents pursuant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R. 7-1(11);</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redacted portions that set out the names and contact information in the documents are "personal information" as defined in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and</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personal information was received by VCHA pursuant to the mandatory reporting system put in place by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Health Act Communicable Disease Regulation</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B.C. Reg. 4/83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will set out the submissions of the parties in the order in which they were made at the hearing of the applications.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submit that VCHA is required by R. 7-1 to produce the documents sought and that no statutory prohibition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terms of general disclosure principles, the plaintiffs say the usual rule is that a party must list and produce a document in its entirety if some part of it relates to a matter in question, unless it can establish a good reason for the document not to be produced: </w:t>
      </w:r>
      <w:r>
        <w:rPr>
          <w:rFonts w:ascii="arial" w:eastAsia="arial" w:hAnsi="arial" w:cs="arial"/>
          <w:i/>
          <w:color w:val="000000"/>
          <w:sz w:val="20"/>
          <w:lang w:val="en-US" w:eastAsia="en-US" w:bidi="ar-SA"/>
        </w:rPr>
        <w:t>North American Trust v. Mercer International Inc</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(1999), 71 B.C.L.R. (3d) 72</w:t>
        </w:r>
      </w:hyperlink>
      <w:r>
        <w:rPr>
          <w:rFonts w:ascii="arial" w:eastAsia="arial" w:hAnsi="arial" w:cs="arial"/>
          <w:color w:val="000000"/>
          <w:sz w:val="20"/>
          <w:lang w:val="en-US" w:eastAsia="en-US" w:bidi="ar-SA"/>
        </w:rPr>
        <w:t xml:space="preserve"> at para. 13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They submit that in appropriate circumstances, the privacy interests of non-parties can be outweighed by society's interest in the just disposition of litigation: </w:t>
      </w:r>
      <w:r>
        <w:rPr>
          <w:rFonts w:ascii="arial" w:eastAsia="arial" w:hAnsi="arial" w:cs="arial"/>
          <w:i/>
          <w:color w:val="000000"/>
          <w:sz w:val="20"/>
          <w:lang w:val="en-US" w:eastAsia="en-US" w:bidi="ar-SA"/>
        </w:rPr>
        <w:t>D.E.P. v. N.J.P</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(1997), 38 B.C.L.R. (3d) 65</w:t>
        </w:r>
      </w:hyperlink>
      <w:r>
        <w:rPr>
          <w:rFonts w:ascii="arial" w:eastAsia="arial" w:hAnsi="arial" w:cs="arial"/>
          <w:color w:val="000000"/>
          <w:sz w:val="20"/>
          <w:lang w:val="en-US" w:eastAsia="en-US" w:bidi="ar-SA"/>
        </w:rPr>
        <w:t xml:space="preserve"> at paras. 38 - 40 (S.C.). The Court should consider whether the alleged invasion of privacy is necessary for the proper administration of justice, and if so, whether some terms are appropriate to limit that invasion: </w:t>
      </w:r>
      <w:r>
        <w:rPr>
          <w:rFonts w:ascii="arial" w:eastAsia="arial" w:hAnsi="arial" w:cs="arial"/>
          <w:i/>
          <w:color w:val="000000"/>
          <w:sz w:val="20"/>
          <w:lang w:val="en-US" w:eastAsia="en-US" w:bidi="ar-SA"/>
        </w:rPr>
        <w:t>A.M. v. Ryan</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119 D.L.R. (4th) 19</w:t>
        </w:r>
      </w:hyperlink>
      <w:r>
        <w:rPr>
          <w:rFonts w:ascii="arial" w:eastAsia="arial" w:hAnsi="arial" w:cs="arial"/>
          <w:color w:val="000000"/>
          <w:sz w:val="20"/>
          <w:lang w:val="en-US" w:eastAsia="en-US" w:bidi="ar-SA"/>
        </w:rPr>
        <w:t xml:space="preserve"> at para. 45 (B.C.C.A.), aff'd </w:t>
      </w:r>
      <w:hyperlink r:id="rId789" w:history="1">
        <w:r>
          <w:rPr>
            <w:rFonts w:ascii="arial" w:eastAsia="arial" w:hAnsi="arial" w:cs="arial"/>
            <w:i/>
            <w:color w:val="0077CC"/>
            <w:sz w:val="20"/>
            <w:u w:val="single"/>
            <w:shd w:val="clear" w:color="auto" w:fill="FFFFFF"/>
            <w:lang w:val="en-US" w:eastAsia="en-US" w:bidi="ar-SA"/>
          </w:rPr>
          <w:t>[1997] 1 S.C.R. 157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submit that an unredacted list of E. Coli cases emanating from the PNE in 2009 should be disclosed because it will assist them in finding necessary witnesses and proving that their illnesses resulted from infection at the PNE. They argue that justice requires disclosure of the names of the persons who were affected. Furthermore, the invasion of privacy is minimal because they do not seek the disclosure of medical records or other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terms of statutory prohibitions against disclosure of records in the custody or control of public bodies, the plaintiffs say that while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protects against the disclosure of such records, the statute also expressly provides for the disclosure of such information pursuant to a court order. Accordingly,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does not stand in the way of an order for production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As noted above, s. 91(1) of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91(1) A person who has custody of, access to or control over personal information under this Act must not disclose the personal information to any other person except as authorized under this or any other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plaintiffs say that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are an enactment and thus fall within the express exception provided for in the subsection: </w:t>
      </w:r>
      <w:r>
        <w:rPr>
          <w:rFonts w:ascii="arial" w:eastAsia="arial" w:hAnsi="arial" w:cs="arial"/>
          <w:i/>
          <w:color w:val="000000"/>
          <w:sz w:val="20"/>
          <w:lang w:val="en-US" w:eastAsia="en-US" w:bidi="ar-SA"/>
        </w:rPr>
        <w:t>Rebic v. Yuma</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50 B.C.L.R. 393</w:t>
        </w:r>
      </w:hyperlink>
      <w:r>
        <w:rPr>
          <w:rFonts w:ascii="arial" w:eastAsia="arial" w:hAnsi="arial" w:cs="arial"/>
          <w:color w:val="000000"/>
          <w:sz w:val="20"/>
          <w:lang w:val="en-US" w:eastAsia="en-US" w:bidi="ar-SA"/>
        </w:rPr>
        <w:t xml:space="preserve"> at para. 11 (S.C.);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R.S.B.C. 1996, c. 238, s. 1</w:t>
        </w:r>
      </w:hyperlink>
      <w:r>
        <w:rPr>
          <w:rFonts w:ascii="arial" w:eastAsia="arial" w:hAnsi="arial" w:cs="arial"/>
          <w:color w:val="000000"/>
          <w:sz w:val="20"/>
          <w:lang w:val="en-US" w:eastAsia="en-US" w:bidi="ar-SA"/>
        </w:rPr>
        <w:t>. Accordingly, this subsection does not prohibit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Section 91(2) provides that:</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referred to in subsection (1) is not, except in a proceeding under this Act, compellable to disclose or provide evidence about personal information the person has custody of, access to or control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submit that s. 91(2) applies only to evidence in court "about personal information" and that, properly interpreted, it has no bearing on this application which concerns the production of information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They submit that the purpose of the provision is to allow the custodian of personal information to perform their duties without being concerned about having to testify about it. The plaintiffs submit that this interpretation enables the harmonious operation of s. 91(2) with other sections of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including s. 91(1), and other enactments including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say this interpretation is supported by three points. First, the language of s. 91(2), which provides that a custodian is not compellable to disclose or provide evidence "</w:t>
      </w:r>
      <w:r>
        <w:rPr>
          <w:rFonts w:ascii="arial" w:eastAsia="arial" w:hAnsi="arial" w:cs="arial"/>
          <w:color w:val="000000"/>
          <w:sz w:val="20"/>
          <w:u w:val="single"/>
          <w:lang w:val="en-US" w:eastAsia="en-US" w:bidi="ar-SA"/>
        </w:rPr>
        <w:t>about</w:t>
      </w:r>
      <w:r>
        <w:rPr>
          <w:rFonts w:ascii="arial" w:eastAsia="arial" w:hAnsi="arial" w:cs="arial"/>
          <w:color w:val="000000"/>
          <w:sz w:val="20"/>
          <w:lang w:val="en-US" w:eastAsia="en-US" w:bidi="ar-SA"/>
        </w:rPr>
        <w:t xml:space="preserve"> personal information"; in contrast to s. 91(1) which provides that the custodian must not disclose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personal information". They submit that s. 91(2) is intended to address VCHA's "thoughts, views, comments, opinions, considerations, assessments" about personal information, rather than the personal information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Second, s. 91(2) should be read as pertaining to the disclosure of evidence to the Court, rather than the disclosure of documents in the pre-trial discovery process. On this interpretation, s. 91(2) further safeguards personal information by preventing the circumvention of s. 91(1) through the issuance of a subpoena.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Third, s. 91(2) should be interpreted to prevent the giving of evidence, but not document disclosure. Documentary disclosure raises different concerns. The plaintiffs submit that if the legislature intended to prevent document disclosure, it would have done so more clearly as it has in other legislation. Examples given are the </w:t>
      </w:r>
      <w:r>
        <w:rPr>
          <w:rFonts w:ascii="arial" w:eastAsia="arial" w:hAnsi="arial" w:cs="arial"/>
          <w:i/>
          <w:color w:val="000000"/>
          <w:sz w:val="20"/>
          <w:lang w:val="en-US" w:eastAsia="en-US" w:bidi="ar-SA"/>
        </w:rPr>
        <w:t>Medical Practitioners Act</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R.S.B.C. 1996, c. 285</w:t>
        </w:r>
      </w:hyperlink>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Health Professions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183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plaintiffs refer to two statutory provisions which reflect the legislative history of s. 91. The first is s. 5 of the </w:t>
      </w:r>
      <w:r>
        <w:rPr>
          <w:rFonts w:ascii="arial" w:eastAsia="arial" w:hAnsi="arial" w:cs="arial"/>
          <w:i/>
          <w:color w:val="000000"/>
          <w:sz w:val="20"/>
          <w:lang w:val="en-US" w:eastAsia="en-US" w:bidi="ar-SA"/>
        </w:rPr>
        <w:t>Health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179</w:t>
      </w:r>
      <w:r>
        <w:rPr>
          <w:rFonts w:ascii="arial" w:eastAsia="arial" w:hAnsi="arial" w:cs="arial"/>
          <w:color w:val="000000"/>
          <w:sz w:val="20"/>
          <w:lang w:val="en-US" w:eastAsia="en-US" w:bidi="ar-SA"/>
        </w:rPr>
        <w:t>, which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Provincial health officer must not, insofar as the laws of British Columbia apply, give or be compelled to give evidence in a court or in proceedings of a judicial nature concerning knowledge gained in the exercise of a power or duty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second provision is s. 6.1 of the </w:t>
      </w:r>
      <w:r>
        <w:rPr>
          <w:rFonts w:ascii="arial" w:eastAsia="arial" w:hAnsi="arial" w:cs="arial"/>
          <w:i/>
          <w:color w:val="000000"/>
          <w:sz w:val="20"/>
          <w:lang w:val="en-US" w:eastAsia="en-US" w:bidi="ar-SA"/>
        </w:rPr>
        <w:t>Health Act Communicable Disease Regulation</w:t>
      </w:r>
      <w:r>
        <w:rPr>
          <w:rFonts w:ascii="arial" w:eastAsia="arial" w:hAnsi="arial" w:cs="arial"/>
          <w:color w:val="000000"/>
          <w:sz w:val="20"/>
          <w:lang w:val="en-US" w:eastAsia="en-US" w:bidi="ar-SA"/>
        </w:rPr>
        <w:t xml:space="preserve">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person shall disclose or permit to be disclosed to any person other than the medical health officer information contained in the report or the results of an examination or test, without the written consent of the person who so volunteered.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These provisions were interpreted by this Court in </w:t>
      </w:r>
      <w:r>
        <w:rPr>
          <w:rFonts w:ascii="arial" w:eastAsia="arial" w:hAnsi="arial" w:cs="arial"/>
          <w:i/>
          <w:color w:val="000000"/>
          <w:sz w:val="20"/>
          <w:lang w:val="en-US" w:eastAsia="en-US" w:bidi="ar-SA"/>
        </w:rPr>
        <w:t>Dalhuisen v. Maxim's Bakery Ltd.</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2002 BCSC 1146</w:t>
        </w:r>
      </w:hyperlink>
      <w:r>
        <w:rPr>
          <w:rFonts w:ascii="arial" w:eastAsia="arial" w:hAnsi="arial" w:cs="arial"/>
          <w:color w:val="000000"/>
          <w:sz w:val="20"/>
          <w:lang w:val="en-US" w:eastAsia="en-US" w:bidi="ar-SA"/>
        </w:rPr>
        <w:t>. The plaintiffs submit that this analysis is highly relevant to the question of how s. 91 should be interpreted.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Dalhuisen</w:t>
      </w:r>
      <w:r>
        <w:rPr>
          <w:rFonts w:ascii="arial" w:eastAsia="arial" w:hAnsi="arial" w:cs="arial"/>
          <w:color w:val="000000"/>
          <w:sz w:val="20"/>
          <w:lang w:val="en-US" w:eastAsia="en-US" w:bidi="ar-SA"/>
        </w:rPr>
        <w:t>, the plaintiff sought an order directing the B.C. Centre for Disease Control to disclose the names and last known addresses of 48 people who suffered from a salmonella infection after eating baked products purchased from the defendant. The disclosure was sought for the purpose of notifying all potential class members of the fact that a settlement had been reached. Unlike in the present case, the health authority in control of the information was not a party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Dalhuisen</w:t>
      </w:r>
      <w:r>
        <w:rPr>
          <w:rFonts w:ascii="arial" w:eastAsia="arial" w:hAnsi="arial" w:cs="arial"/>
          <w:color w:val="000000"/>
          <w:sz w:val="20"/>
          <w:lang w:val="en-US" w:eastAsia="en-US" w:bidi="ar-SA"/>
        </w:rPr>
        <w:t xml:space="preserve"> granted the order for disclosure after considering s. 5 of the </w:t>
      </w:r>
      <w:r>
        <w:rPr>
          <w:rFonts w:ascii="arial" w:eastAsia="arial" w:hAnsi="arial" w:cs="arial"/>
          <w:i/>
          <w:color w:val="000000"/>
          <w:sz w:val="20"/>
          <w:lang w:val="en-US" w:eastAsia="en-US" w:bidi="ar-SA"/>
        </w:rPr>
        <w:t>Health Act, FIPPA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all of which were given equal status in the analysis. The Court found at para. 13 that the "purpose of the </w:t>
      </w:r>
      <w:r>
        <w:rPr>
          <w:rFonts w:ascii="arial" w:eastAsia="arial" w:hAnsi="arial" w:cs="arial"/>
          <w:i/>
          <w:color w:val="000000"/>
          <w:sz w:val="20"/>
          <w:lang w:val="en-US" w:eastAsia="en-US" w:bidi="ar-SA"/>
        </w:rPr>
        <w:t>Health Act</w:t>
      </w:r>
      <w:r>
        <w:rPr>
          <w:rFonts w:ascii="arial" w:eastAsia="arial" w:hAnsi="arial" w:cs="arial"/>
          <w:color w:val="000000"/>
          <w:sz w:val="20"/>
          <w:lang w:val="en-US" w:eastAsia="en-US" w:bidi="ar-SA"/>
        </w:rPr>
        <w:t xml:space="preserve"> is to protect the confidence in the public that information that an individual provides to his or her physician will remain confidential". However, this is subject to the requirement that the physician forward certain information to the Provincial Health Officer and the B.C. Centre for Disease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Considering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the Court found that the disclosure of the requested information was clearly in the public interest. In light of the purpose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which is to promote the consolidation of litigation and enable potential plaintiffs to band together, the Court found disclosure of the individuals' names was not an unreasonable invasion of their privacy, as it would facilitate informing those individuals that they were entitled to money through the class settlement. The Court found there was no risk of unfairly damaging the reputation of the persons whose names were sought as there was no social stigma attached to having been infected by salmonella.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Leave to appeal the decision in </w:t>
      </w:r>
      <w:r>
        <w:rPr>
          <w:rFonts w:ascii="arial" w:eastAsia="arial" w:hAnsi="arial" w:cs="arial"/>
          <w:i/>
          <w:color w:val="000000"/>
          <w:sz w:val="20"/>
          <w:lang w:val="en-US" w:eastAsia="en-US" w:bidi="ar-SA"/>
        </w:rPr>
        <w:t>Dalhuisen</w:t>
      </w:r>
      <w:r>
        <w:rPr>
          <w:rFonts w:ascii="arial" w:eastAsia="arial" w:hAnsi="arial" w:cs="arial"/>
          <w:color w:val="000000"/>
          <w:sz w:val="20"/>
          <w:lang w:val="en-US" w:eastAsia="en-US" w:bidi="ar-SA"/>
        </w:rPr>
        <w:t xml:space="preserve"> was initially refused by Mackenzie J.A., but this refusal was overturned on review and leave was granted: </w:t>
      </w:r>
      <w:hyperlink r:id="rId794" w:history="1">
        <w:r>
          <w:rPr>
            <w:rFonts w:ascii="arial" w:eastAsia="arial" w:hAnsi="arial" w:cs="arial"/>
            <w:i/>
            <w:color w:val="0077CC"/>
            <w:sz w:val="20"/>
            <w:u w:val="single"/>
            <w:shd w:val="clear" w:color="auto" w:fill="FFFFFF"/>
            <w:lang w:val="en-US" w:eastAsia="en-US" w:bidi="ar-SA"/>
          </w:rPr>
          <w:t>2002 BCCA 554</w:t>
        </w:r>
      </w:hyperlink>
      <w:r>
        <w:rPr>
          <w:rFonts w:ascii="arial" w:eastAsia="arial" w:hAnsi="arial" w:cs="arial"/>
          <w:color w:val="000000"/>
          <w:sz w:val="20"/>
          <w:lang w:val="en-US" w:eastAsia="en-US" w:bidi="ar-SA"/>
        </w:rPr>
        <w:t xml:space="preserve"> and 541, respectively. It appears, however, that the appeal was never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Applying the considerations in </w:t>
      </w:r>
      <w:r>
        <w:rPr>
          <w:rFonts w:ascii="arial" w:eastAsia="arial" w:hAnsi="arial" w:cs="arial"/>
          <w:i/>
          <w:color w:val="000000"/>
          <w:sz w:val="20"/>
          <w:lang w:val="en-US" w:eastAsia="en-US" w:bidi="ar-SA"/>
        </w:rPr>
        <w:t>Dalhuisen</w:t>
      </w:r>
      <w:r>
        <w:rPr>
          <w:rFonts w:ascii="arial" w:eastAsia="arial" w:hAnsi="arial" w:cs="arial"/>
          <w:color w:val="000000"/>
          <w:sz w:val="20"/>
          <w:lang w:val="en-US" w:eastAsia="en-US" w:bidi="ar-SA"/>
        </w:rPr>
        <w:t>, the plaintiffs submit that there are minimal privacy concerns with disclosing the personal information sought on this application and there is no reason to conclude that there is any social stigma attached to E. Coli. Further, the plaintiffs note that VCHA has already disclosed documents containing personal information including the names, dates of birth and contact information of third parties. The plaintiffs submit that, in all the circumstances, their requests for further disclosure of limited personal information are reasonable and the Court should order production of the documents in unredacted form.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Attorney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Attorney General submits that a plain reading of s. 91, in its grammatical and ordinary sense, supports the conclusion that VCHA is not compellable to disclose the personal information sought, except in a proceeding under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which does not include the plaintiffs' personal injury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Attorney General submits that there is no conflict between ss. 91(1) and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former should be read as providing that the custodian may not disclose personal information except when statutorily authorized to do so. The Attorney General accepts that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are an enactment for the purposes of the exception in the subsection. The Attorney General argues that the subsection does not mandate disclosure where there is statutory authorization. The authorization merely provides an exception to the prohibition. Specifically, when VCHA is authorized to make such disclosure, as it would be by a court order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it can do so, notwithstanding the prohibition in s-s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Attorney General then submits that s-s (2) provides that the custodian cannot be compelled to make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effect of the two subsections together is said to be that the custodian can make disclosure but is not compellable to do so. It has a discretion whether or not to make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support of this interpretation of s. 91, the Attorney General points to provisions in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that indicate how such discretion is to be exercised in light of a public health or other purpose contemplated by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These include provisions such as ss. 10 to 12 that mandate disclosure in certain circumstances and s. 14(3), which, in the submission of the Attorney General, enables VCHA to engage in discretionary reporting for the purposes of health promotion and health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Attorney General submits that s. 91(2) should be interpreted as contemplating two situations. First, the VCHA, as a person with custody of, access to or control over personal information under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is not, except in a proceeding under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compellable to "disclose...personal information of which it has custody, access to or control over". Second, VCHA is not, except in a proceeding under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compellable to "provide evidence about personal information it has custody of, access to or control over." The submission is that the subsection prevents compellability of both personal information and evidence about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Finally, the Attorney General submits that any apparent inconsistency between the disclosure requirements of R. 7-1 and s. 91(2) can be resolved by the principle of </w:t>
      </w:r>
      <w:r>
        <w:rPr>
          <w:rFonts w:ascii="arial" w:eastAsia="arial" w:hAnsi="arial" w:cs="arial"/>
          <w:i/>
          <w:color w:val="000000"/>
          <w:sz w:val="20"/>
          <w:lang w:val="en-US" w:eastAsia="en-US" w:bidi="ar-SA"/>
        </w:rPr>
        <w:t>lex generalis non derogate lex specialis</w:t>
      </w:r>
      <w:r>
        <w:rPr>
          <w:rFonts w:ascii="arial" w:eastAsia="arial" w:hAnsi="arial" w:cs="arial"/>
          <w:color w:val="000000"/>
          <w:sz w:val="20"/>
          <w:lang w:val="en-US" w:eastAsia="en-US" w:bidi="ar-SA"/>
        </w:rPr>
        <w:t>. The submission is that the rules of court that compel disclosure of relevant documents must coexist with statutory prohibitions on disclosure of information. The general law of disclosure cannot derogate the special law in s. 91(2) which protects personal information from disclosure except in narrow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VCHA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VCHA adopts the submissions of the Attorney General. VCHA concedes that R. 7-1 is an enactment for the purpose of s. 91(1) but argues that s. 91(2) is a broadly-constructed non-compellability provision. Thus, the relevance of the documents under R. 7-1 is not determinative of the application, and indeed, has no bearing on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VCHA submits that s. 91(2) should be read as stating that VCHA "is not, except in a proceeding under this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compellable to disclose, or provide evidence about, personal information the person has custody of, access to, or control over." The submission is that it is clear on the face of s. 91(2) that personal information is not compellable, whether in testimonial or documentary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VCHA submits that every enactment must be given a fair, large and liberal interpretation to ensure the achievement of its objectives. It submits that section headings can be used as a guide to interpret a statutory provision and should be read and relied on like any other contextual feature as a valid indicator of legislative intent: </w:t>
      </w:r>
      <w:r>
        <w:rPr>
          <w:rFonts w:ascii="arial" w:eastAsia="arial" w:hAnsi="arial" w:cs="arial"/>
          <w:i/>
          <w:color w:val="000000"/>
          <w:sz w:val="20"/>
          <w:lang w:val="en-US" w:eastAsia="en-US" w:bidi="ar-SA"/>
        </w:rPr>
        <w:t>Arts Umbrella v. British Columbia (Assessor of Area 09 - Vancouver)</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2007 BCCA 45</w:t>
        </w:r>
      </w:hyperlink>
      <w:r>
        <w:rPr>
          <w:rFonts w:ascii="arial" w:eastAsia="arial" w:hAnsi="arial" w:cs="arial"/>
          <w:color w:val="000000"/>
          <w:sz w:val="20"/>
          <w:lang w:val="en-US" w:eastAsia="en-US" w:bidi="ar-SA"/>
        </w:rPr>
        <w:t xml:space="preserve"> at para. 3 and </w:t>
      </w:r>
      <w:r>
        <w:rPr>
          <w:rFonts w:ascii="arial" w:eastAsia="arial" w:hAnsi="arial" w:cs="arial"/>
          <w:i/>
          <w:color w:val="000000"/>
          <w:sz w:val="20"/>
          <w:lang w:val="en-US" w:eastAsia="en-US" w:bidi="ar-SA"/>
        </w:rPr>
        <w:t>Jacob v. Laumaillet</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2010 BCSC 1229</w:t>
        </w:r>
      </w:hyperlink>
      <w:r>
        <w:rPr>
          <w:rFonts w:ascii="arial" w:eastAsia="arial" w:hAnsi="arial" w:cs="arial"/>
          <w:color w:val="000000"/>
          <w:sz w:val="20"/>
          <w:lang w:val="en-US" w:eastAsia="en-US" w:bidi="ar-SA"/>
        </w:rPr>
        <w:t xml:space="preserve"> at paras. 31-32. The section heading to s. 91 - "Confidentiality of Personal Information" - indicates clearly that the intent of s. 91(2) is to protect personal information, not just evidence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VCHA submits that the Attorney General's interpretation of s. 91(2) flows from the public health and confidentiality purposes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submission is that the legislation's public health objectives require transparency from individuals in the community and members of the public will only provide information if they are assured that it will remain confidential. The order for disclosure sought by the plaintiffs would place a chill on the public's willingness to be open about health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VCHA notes that in interpreting s. 91, reference to other legislative schemes must be made with caution. However, it submits that the decision in </w:t>
      </w:r>
      <w:r>
        <w:rPr>
          <w:rFonts w:ascii="arial" w:eastAsia="arial" w:hAnsi="arial" w:cs="arial"/>
          <w:i/>
          <w:color w:val="000000"/>
          <w:sz w:val="20"/>
          <w:lang w:val="en-US" w:eastAsia="en-US" w:bidi="ar-SA"/>
        </w:rPr>
        <w:t>Beale v. Nagra</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(1998), 167 D.L.R. (4th) 140</w:t>
        </w:r>
      </w:hyperlink>
      <w:r>
        <w:rPr>
          <w:rFonts w:ascii="arial" w:eastAsia="arial" w:hAnsi="arial" w:cs="arial"/>
          <w:color w:val="000000"/>
          <w:sz w:val="20"/>
          <w:lang w:val="en-US" w:eastAsia="en-US" w:bidi="ar-SA"/>
        </w:rPr>
        <w:t xml:space="preserve"> (B.C.C.A.) provides some assistance. In </w:t>
      </w:r>
      <w:r>
        <w:rPr>
          <w:rFonts w:ascii="arial" w:eastAsia="arial" w:hAnsi="arial" w:cs="arial"/>
          <w:i/>
          <w:color w:val="000000"/>
          <w:sz w:val="20"/>
          <w:lang w:val="en-US" w:eastAsia="en-US" w:bidi="ar-SA"/>
        </w:rPr>
        <w:t>Beale</w:t>
      </w:r>
      <w:r>
        <w:rPr>
          <w:rFonts w:ascii="arial" w:eastAsia="arial" w:hAnsi="arial" w:cs="arial"/>
          <w:color w:val="000000"/>
          <w:sz w:val="20"/>
          <w:lang w:val="en-US" w:eastAsia="en-US" w:bidi="ar-SA"/>
        </w:rPr>
        <w:t xml:space="preserve">, the Court considered the effect of ss. 61(3) and (4.1) of the </w:t>
      </w:r>
      <w:r>
        <w:rPr>
          <w:rFonts w:ascii="arial" w:eastAsia="arial" w:hAnsi="arial" w:cs="arial"/>
          <w:i/>
          <w:color w:val="000000"/>
          <w:sz w:val="20"/>
          <w:lang w:val="en-US" w:eastAsia="en-US" w:bidi="ar-SA"/>
        </w:rPr>
        <w:t>Medical Practitioners Act</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R.S.B.C. 1996, c. 285</w:t>
        </w:r>
      </w:hyperlink>
      <w:r>
        <w:rPr>
          <w:rFonts w:ascii="arial" w:eastAsia="arial" w:hAnsi="arial" w:cs="arial"/>
          <w:color w:val="000000"/>
          <w:sz w:val="20"/>
          <w:lang w:val="en-US" w:eastAsia="en-US" w:bidi="ar-SA"/>
        </w:rPr>
        <w:t xml:space="preserve">, as amended, (repealed by the </w:t>
      </w:r>
      <w:r>
        <w:rPr>
          <w:rFonts w:ascii="arial" w:eastAsia="arial" w:hAnsi="arial" w:cs="arial"/>
          <w:i/>
          <w:color w:val="000000"/>
          <w:sz w:val="20"/>
          <w:lang w:val="en-US" w:eastAsia="en-US" w:bidi="ar-SA"/>
        </w:rPr>
        <w:t>Health Professions Amendment Act, 2003</w:t>
      </w:r>
      <w:r>
        <w:rPr>
          <w:rFonts w:ascii="arial" w:eastAsia="arial" w:hAnsi="arial" w:cs="arial"/>
          <w:color w:val="000000"/>
          <w:sz w:val="20"/>
          <w:lang w:val="en-US" w:eastAsia="en-US" w:bidi="ar-SA"/>
        </w:rPr>
        <w:t xml:space="preserve">, S.B.C. 2003, c. 57, s. 58) on the obligation of a physician, as a defendant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to disclose documents from an inquiry by the College of Physicians and Surgeons.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My reason for concluding that what is in issue here is purely a matter of statutory interpretation is simple. When the Legislature has addressed a question and promulgated what appears to be a code on the subject - the court should not be quick to find ways to undermine the legislative purpose. The plain purpose of s. 61 is to insulate, from the processes of civil litigation, the College and those engaged by it to assist in its processes concerning the quality of medical care in the Province. What the College does or does not do is not to be used in medical malpractice 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VCHA submits that it is fair to conclude that the Legislature has carved out an exception to compellability for personal information collected for a particular public health purpose in order to support the legislative scheme of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Accordingly, VCHA submits that it has met the onus of establishing that it is not required to provide unedited documents as is generally required by R.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With respect to the documents which were disclosed in response to the 2010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request, VCHA submits that disclosing the names of the plaintiffs was appropriate because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is intended to allow individuals to obtain information about themselves held by public entities. The release of personal information concerning any of the other fourteen individuals was an error. VCHA submits that this error should not operate as a waiver such that the personal information in its entirety should be disclosed. Further, VCHA submits that there is no legal basis to override the statutory language of s. 91(2) on the basis of erroneous disclosure by the information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When interpreting a statutory provision, the Court must read the words in their entire context and in their grammatical and ordinary sense harmoniously with the scheme of the act in question, the object of the act, and the intention of the legislature: </w:t>
      </w:r>
      <w:r>
        <w:rPr>
          <w:rFonts w:ascii="arial" w:eastAsia="arial" w:hAnsi="arial" w:cs="arial"/>
          <w:i/>
          <w:color w:val="000000"/>
          <w:sz w:val="20"/>
          <w:lang w:val="en-US" w:eastAsia="en-US" w:bidi="ar-SA"/>
        </w:rPr>
        <w:t>Rizzo v. Rizzo Shoes Ltd.</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xml:space="preserve">. The Court begins with a plain reading of the provision at issue, but must complete its analysis by considering the provision in context. The term "context" may refer to anything that contributes to a text's meaning, including the section within which it appears, the act as a whole, related legislation and the common law: R. Sullivan, </w:t>
      </w:r>
      <w:r>
        <w:rPr>
          <w:rFonts w:ascii="arial" w:eastAsia="arial" w:hAnsi="arial" w:cs="arial"/>
          <w:i/>
          <w:color w:val="000000"/>
          <w:sz w:val="20"/>
          <w:lang w:val="en-US" w:eastAsia="en-US" w:bidi="ar-SA"/>
        </w:rPr>
        <w:t>Sullivan on the Construction of Statutes</w:t>
      </w:r>
      <w:r>
        <w:rPr>
          <w:rFonts w:ascii="arial" w:eastAsia="arial" w:hAnsi="arial" w:cs="arial"/>
          <w:color w:val="000000"/>
          <w:sz w:val="20"/>
          <w:lang w:val="en-US" w:eastAsia="en-US" w:bidi="ar-SA"/>
        </w:rPr>
        <w:t>, 5th ed. (Markham: LexisNexis, 2008) at 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For ease of reference, I set out below the statutory provisions that are most directly relevant to the issue before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Purposes for collection, use and disclosure of personal information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 (1) A person may collect, use or disclose personal information for the purposes of this Division, but only if it is necessary for one or more of the following purposes:</w:t>
      </w:r>
    </w:p>
    <w:p>
      <w:pPr>
        <w:numPr>
          <w:numId w:val="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identify an individual who needs or is receiving health services;</w:t>
      </w:r>
    </w:p>
    <w:p>
      <w:pPr>
        <w:numPr>
          <w:numId w:val="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health services to, or facilitate the care of, an individual;</w:t>
      </w:r>
    </w:p>
    <w:p>
      <w:pPr>
        <w:numPr>
          <w:numId w:val="1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identify a person who is providing health services;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prevent or manage chronic conditions, at the individual or population level;</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assess and address public health needs;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engage in health system planning, management, evaluation or improvement, including</w:t>
      </w:r>
    </w:p>
    <w:p>
      <w:pPr>
        <w:numPr>
          <w:numId w:val="14"/>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health service development, management, delivery, monitoring and evaluation,</w:t>
      </w:r>
    </w:p>
    <w:p>
      <w:pPr>
        <w:numPr>
          <w:numId w:val="15"/>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compilation of statistical information,</w:t>
      </w:r>
    </w:p>
    <w:p>
      <w:pPr>
        <w:numPr>
          <w:numId w:val="16"/>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health surveillance, and</w:t>
      </w:r>
    </w:p>
    <w:p>
      <w:pPr>
        <w:numPr>
          <w:numId w:val="17"/>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the safety and effectiveness of health services;</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conduct or facilitate research into health issues;</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assess and address threats to public health.</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collected, used or disclosed under this Division may be further collected, used or disclosed for a stewardship purpose within the meaning of, and in accordance with, the Ministry of Health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Requesting and disclosing information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 (1) For the purposes of health promotion or health protection, a health officer and a prescribed person may, if permitted by the regulations, request information from, and disclose information to, the following persons:</w:t>
      </w:r>
    </w:p>
    <w:p>
      <w:pPr>
        <w:numPr>
          <w:numId w:val="2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makes or receives a report under this Division;</w:t>
      </w:r>
    </w:p>
    <w:p>
      <w:pPr>
        <w:numPr>
          <w:numId w:val="2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the subject of a report under this Division;</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health professionals, including persons authorized in other jurisdictions to practise a health profession;</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officers responsible for health, including public officers responsible for health in other jurisdictions;</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persons employed by a health authority, hospital or laboratory;</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prescribed persons.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greater certainty, information may be disclosed outside British Columbia for the purposes of subsection (1) regardless of whether there is a threat to public health, or a person's health, in British Columbia.</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receives a request for information under subsection (1) must, if the person has custody or control of the information, provide the information in the manner and form requested, and within the time requested.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Confidentiality of personal information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91 (1) A person who has custody of, access to or control over personal information under this Act must not disclose the personal information to any other person except as authorized under this or any other enactment.</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referred to in subsection (1) is not, except in a proceeding under this Act, compellable to disclose or provide evidence about personal information the person has custody of, access to or control 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Offences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99 (2) A person who contravenes any of the following commits an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91 </w:t>
      </w:r>
      <w:r>
        <w:rPr>
          <w:rFonts w:ascii="arial" w:eastAsia="arial" w:hAnsi="arial" w:cs="arial"/>
          <w:i/>
          <w:color w:val="000000"/>
          <w:sz w:val="20"/>
          <w:lang w:val="en-US" w:eastAsia="en-US" w:bidi="ar-SA"/>
        </w:rPr>
        <w:t>[unauthorized disclosure of personal information]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relevant provisions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Disclosure inside or outside Canada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33.1 (1) A public body may disclose personal information referred to in section 33 inside or outside Canada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comply with a subpoena, a warrant or an order issued or made by a court, person or body in Canada with jurisdiction to compel the production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Rule 7-1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Party may demand additional documents</w:t>
      </w:r>
    </w:p>
    <w:p>
      <w:pPr>
        <w:numPr>
          <w:numId w:val="4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party who has received a list of documents believes that the list should include documents or classes of documents that</w:t>
      </w:r>
    </w:p>
    <w:p>
      <w:pPr>
        <w:numPr>
          <w:numId w:val="4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are within the listing party's possession, power or control,</w:t>
      </w:r>
    </w:p>
    <w:p>
      <w:pPr>
        <w:numPr>
          <w:numId w:val="4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relate to any or all matters in question in the action,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additional to the documents or classes of documents required under subrule (1) (a) or (9),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party, by written demand that identifies the additional documents or classes of documents with reasonable specificity and that indicates the reason why such additional documents or classes of documents should be disclosed, may require the listing party to</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amend the list of documents,</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on the demanding party the amended list of documents, and</w:t>
      </w:r>
    </w:p>
    <w:p>
      <w:pPr>
        <w:numPr>
          <w:numId w:val="5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the originals of the newly listed documents available for inspection and copying in accordance with subrules (15) and (16).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Response to demand for documents</w:t>
      </w:r>
    </w:p>
    <w:p>
      <w:pPr>
        <w:numPr>
          <w:numId w:val="5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who receives a demand under subrule (10) or (11) must, within 35 days after receipt, do one of the following:</w:t>
      </w:r>
    </w:p>
    <w:p>
      <w:pPr>
        <w:numPr>
          <w:numId w:val="5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comply with the demand in relation to the demanded documents;</w:t>
      </w:r>
    </w:p>
    <w:p>
      <w:pPr>
        <w:numPr>
          <w:numId w:val="5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comply with the demand in relation to those of the demanded documents that the party is prepared to list and indicate, in relation to the balance of the demanded documents,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why an amended list of documents that includes those documents is not being prepared and served, and</w:t>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why those documents are not being made available;</w:t>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indicate, in relation to the demanded documents,</w:t>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why an amended list of documents that includes those documents is not being prepared and served, and</w:t>
      </w:r>
    </w:p>
    <w:p>
      <w:pPr>
        <w:numPr>
          <w:numId w:val="6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why those documents are not being made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for production of documents</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party who receives a demand under subrule (10) or (11) does not, within 35 days after receipt, comply with the demand in relation to the demanded documents, the demanding party may apply for an order requiring the listing party to comply with the demand.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 may alter requirements</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under subrule (13) or otherwise, the court may</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party be excused from compliance with subrule (1), (3), (6), (15) or (16) or with a demand under subrule (10) or (11), either generally or in respect of one or more documents or classes of documents, or</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 party to</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 the list of documents to list additional documents that are or have been in the party's possession, power or control relating to any or all matters in question in the action,</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the amended list of documents on all parties of record,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the originals of the newly listed documents available for inspection and copying in accordance with subrules (15) and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Section 9 of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sets out the purposes for collection, use and disclosure of personal information. These purposes do not include the adjudication of lawsuits.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More specifically, s. 91(1) of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provides for a general obligation on the part of a holder of personal information to keep it confidential except where authorized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any other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Taken on its own, by virtue of this exception, s. 91(1) would allow for disclosure of personal information under s. 33.1(1)(t)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where an order for disclosure is made by this Court, since the Court clearly has jurisdiction to compel the production of information pursuant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Furthermore, as acknowledged by all parties, </w:t>
      </w:r>
      <w:r>
        <w:rPr>
          <w:rFonts w:ascii="arial" w:eastAsia="arial" w:hAnsi="arial" w:cs="arial"/>
          <w:i/>
          <w:color w:val="000000"/>
          <w:sz w:val="20"/>
          <w:lang w:val="en-US" w:eastAsia="en-US" w:bidi="ar-SA"/>
        </w:rPr>
        <w:t>the Supreme Court Civil Rules</w:t>
      </w:r>
      <w:r>
        <w:rPr>
          <w:rFonts w:ascii="arial" w:eastAsia="arial" w:hAnsi="arial" w:cs="arial"/>
          <w:color w:val="000000"/>
          <w:sz w:val="20"/>
          <w:lang w:val="en-US" w:eastAsia="en-US" w:bidi="ar-SA"/>
        </w:rPr>
        <w:t xml:space="preserve"> are an "enactment" for the purposes of s. 91(1) of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Thus, the exception would apply on that basis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subsection would therefore be sufficient to authorize disclosure of personal information under R.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However, it is necessary to address the meaning of s. 91(2) and how it fits together with s. 91(1). Subsection (2) provides that, except in a proceeding under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a custodian is not compellable to disclose or provide evidence about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It is clear that the application before me is not brought in a proceeding under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Part 4 for examples of proceedings under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The exception therefore does not apply. The Court must consider the scope of the prohibition and how it fits with the exception in s-s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Looking first at the language of the subsection, it appears to me to be significant that the subsection speaks of both disclosure and providing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statement that a custodian is not compellable to "disclose or provide evidence about personal information" could mean either:</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custodian is not compellable to (i) disclose personal information or (ii) provide evidence about personal information; or</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custodian is not compellable to (i) disclose evidence about personal information or (ii) provide evidence about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the first of these interpretations is more consistent with the plain and ordinary meaning of the words, using normal sentence construction. The prohibition of compelled "</w:t>
      </w:r>
      <w:r>
        <w:rPr>
          <w:rFonts w:ascii="arial" w:eastAsia="arial" w:hAnsi="arial" w:cs="arial"/>
          <w:color w:val="000000"/>
          <w:sz w:val="20"/>
          <w:u w:val="single"/>
          <w:lang w:val="en-US" w:eastAsia="en-US" w:bidi="ar-SA"/>
        </w:rPr>
        <w:t>disclosure</w:t>
      </w:r>
      <w:r>
        <w:rPr>
          <w:rFonts w:ascii="arial" w:eastAsia="arial" w:hAnsi="arial" w:cs="arial"/>
          <w:color w:val="000000"/>
          <w:sz w:val="20"/>
          <w:lang w:val="en-US" w:eastAsia="en-US" w:bidi="ar-SA"/>
        </w:rPr>
        <w:t>" also suggests that the subsection is intended to prevent compelled disclosure of personal information through document disclosure as well as through testimony. The concept of legal "disclosure" includes documents and is not limited to oral disclosure. Accordingly, subject to considering the legislation as a whole, I disagree with the plaintiffs' interpretation that the subsection only applies to testimonial compulsion.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This prohibition has to be read together with the exception in s. 91(1). In my view, s. 91(2) is a more specific provision because the use of the word "compellable" indicates that its intended subject matter is legal proceedings. Using this analysis, s. 91(2) is intended to specifically address circumstances such as this application, while s. 91(1) is intended to address the issue of non-disclosure generally. As such, the principle of </w:t>
      </w:r>
      <w:r>
        <w:rPr>
          <w:rFonts w:ascii="arial" w:eastAsia="arial" w:hAnsi="arial" w:cs="arial"/>
          <w:i/>
          <w:color w:val="000000"/>
          <w:sz w:val="20"/>
          <w:lang w:val="en-US" w:eastAsia="en-US" w:bidi="ar-SA"/>
        </w:rPr>
        <w:t>specialibus generalia non derogant</w:t>
      </w:r>
      <w:r>
        <w:rPr>
          <w:rFonts w:ascii="arial" w:eastAsia="arial" w:hAnsi="arial" w:cs="arial"/>
          <w:color w:val="000000"/>
          <w:sz w:val="20"/>
          <w:lang w:val="en-US" w:eastAsia="en-US" w:bidi="ar-SA"/>
        </w:rPr>
        <w:t xml:space="preserve"> applies. I conclude, on the language of the provision, and subject to a consideration of the statute as a whole, and the more general context, that s. 91(2) provides that a custodian is not compellable in legal proceedings either to give evidence about personal information or to disclose it in documents that the custodian holds pursuant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also conclude that this denial of compulsion is intended to apply not only to trial and final hearings, but also pre-trial proceedings, there being no indication in the words used of any intention to distinguish between pre-trial and trial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Attorney General submits that the proper interpretation is that, while the custodian cannot be compelled to disclose the personal information, they have a discretion whether to disclose it. I disagree. It appears to me that either s. 91 provides that the information may not be disclosed, or it is subject to an order of the Court pursuant to the Rules of Court (and perhaps s. 33.1(t)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in which case, the custodian is subject to the compulsion of the Court pursuant to the rule. There is no discretion provided to the custodian.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Another way of putting this is that nowhere is there any discretion vested in the custodian to make a decision as to whether to disclose the personal information. A discretionary power to disclose cannot be constructed from any of the relevant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noted above, the principles of statutory interpretation require a broader consideration of the relevant context, starting with the purpose of the legislation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Attorney General filed an affidavit from Dr. Bonnie Henry, the provincial health officer, in which she describes the scheme of the statute and how it works. The plaintiffs objected to the admissibility of this evidence on the basis that opinion evidence is not properly considered by the Court on matters of statutory interpretation. I have reviewed the affidavit. I find that it does not add anything of significance beyond what is readily discernible from the language of the statute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plaintiffs did not object to the Attorney General's references to legislative debates at the time the legislation was introduced, as recorded in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Statements made during debates at that time include that the legislation is intended to "provide health officials with the tools to quickly and effectively mobilize public health initiatives to address" global threats. The main purpose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stated to be to "provide public health officials with the authority to take action and with direction to promote and protect the health and well-being of British Columbians": </w:t>
      </w:r>
      <w:r>
        <w:rPr>
          <w:rFonts w:ascii="arial" w:eastAsia="arial" w:hAnsi="arial" w:cs="arial"/>
          <w:i/>
          <w:color w:val="000000"/>
          <w:sz w:val="20"/>
          <w:lang w:val="en-US" w:eastAsia="en-US" w:bidi="ar-SA"/>
        </w:rPr>
        <w:t>Debates of the Legislative Assembly</w:t>
      </w:r>
      <w:r>
        <w:rPr>
          <w:rFonts w:ascii="arial" w:eastAsia="arial" w:hAnsi="arial" w:cs="arial"/>
          <w:color w:val="000000"/>
          <w:sz w:val="20"/>
          <w:lang w:val="en-US" w:eastAsia="en-US" w:bidi="ar-SA"/>
        </w:rPr>
        <w:t>, 38th Parliament, 4th Session, Vol. 30 and 32 (April 9 and May 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As noted above, s. 9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sets out the permitted purposes for collection, use and disclosure of personal information and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(1) A person may collect, use or disclose personal information for the purposes of this Division, but only if it is necessary for one or more of the following purposes: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identify an individual who needs or is receiving health services;</w:t>
      </w:r>
    </w:p>
    <w:p>
      <w:pPr>
        <w:numPr>
          <w:numId w:val="7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health services to, or facilitate the care of, an individual;</w:t>
      </w:r>
    </w:p>
    <w:p>
      <w:pPr>
        <w:numPr>
          <w:numId w:val="7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identify a person who is providing health services;</w:t>
      </w:r>
    </w:p>
    <w:p>
      <w:pPr>
        <w:numPr>
          <w:numId w:val="7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prevent or manage chronic conditions, at the individual or population level;</w:t>
      </w:r>
    </w:p>
    <w:p>
      <w:pPr>
        <w:numPr>
          <w:numId w:val="7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assess and address public health needs;</w:t>
      </w:r>
    </w:p>
    <w:p>
      <w:pPr>
        <w:numPr>
          <w:numId w:val="8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engage in health system planning, management, evaluation or improvement, including</w:t>
      </w:r>
    </w:p>
    <w:p>
      <w:pPr>
        <w:numPr>
          <w:numId w:val="8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health service development, management, delivery, monitoring and evaluation,</w:t>
      </w:r>
    </w:p>
    <w:p>
      <w:pPr>
        <w:numPr>
          <w:numId w:val="8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compilation of statistical information,</w:t>
      </w:r>
    </w:p>
    <w:p>
      <w:pPr>
        <w:numPr>
          <w:numId w:val="8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health surveillance, and</w:t>
      </w:r>
    </w:p>
    <w:p>
      <w:pPr>
        <w:numPr>
          <w:numId w:val="8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the safety and effectiveness of health services;</w:t>
      </w:r>
    </w:p>
    <w:p>
      <w:pPr>
        <w:numPr>
          <w:numId w:val="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conduct or facilitate research into health issues;</w:t>
      </w:r>
    </w:p>
    <w:p>
      <w:pPr>
        <w:numPr>
          <w:numId w:val="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assess and address threats to public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clear purpose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permit the collection of personal information in order to address public health concerns. The clear purpose of s. 91 is to ensure that any information collected in the process will remain confidential, apart from the limited exceptions identified. In my view the general purpose of the statute does not provide support for interpreting s. 91 as authorizing the use of collected information for the purpose of the adjudication of civil litigation brought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potential use of the information for litigation purposes threatens to undermine the purpose of the statute. Disclosure of the information and the potential for its publication may have the effect of discouraging members of the public from providing information to the authorities which may be vital for public health purposes. This is underlined by the fact that breaching s. 91 is an offence: see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s.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specific prohibition against compelling a custodian to disclose or give evidence about the personal information is clear. There is no satisfactory statutory basis for finding that the custodian has a discretionary power to make disclosure. The legislature could easily have made an express provision for the disclosure of such information in the course of civil proceedings but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It is however, necessary for me to determine whether I am bound by this Court's decision in </w:t>
      </w:r>
      <w:r>
        <w:rPr>
          <w:rFonts w:ascii="arial" w:eastAsia="arial" w:hAnsi="arial" w:cs="arial"/>
          <w:i/>
          <w:color w:val="000000"/>
          <w:sz w:val="20"/>
          <w:lang w:val="en-US" w:eastAsia="en-US" w:bidi="ar-SA"/>
        </w:rPr>
        <w:t>Dalhuisen</w:t>
      </w:r>
      <w:r>
        <w:rPr>
          <w:rFonts w:ascii="arial" w:eastAsia="arial" w:hAnsi="arial" w:cs="arial"/>
          <w:color w:val="000000"/>
          <w:sz w:val="20"/>
          <w:lang w:val="en-US" w:eastAsia="en-US" w:bidi="ar-SA"/>
        </w:rPr>
        <w:t xml:space="preserve"> to come to the opposite result. In my view, I am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First, I accept the submissions of VCHA and the Attorney General that </w:t>
      </w:r>
      <w:r>
        <w:rPr>
          <w:rFonts w:ascii="arial" w:eastAsia="arial" w:hAnsi="arial" w:cs="arial"/>
          <w:i/>
          <w:color w:val="000000"/>
          <w:sz w:val="20"/>
          <w:lang w:val="en-US" w:eastAsia="en-US" w:bidi="ar-SA"/>
        </w:rPr>
        <w:t>Dalhuisen</w:t>
      </w:r>
      <w:r>
        <w:rPr>
          <w:rFonts w:ascii="arial" w:eastAsia="arial" w:hAnsi="arial" w:cs="arial"/>
          <w:color w:val="000000"/>
          <w:sz w:val="20"/>
          <w:lang w:val="en-US" w:eastAsia="en-US" w:bidi="ar-SA"/>
        </w:rPr>
        <w:t xml:space="preserve"> is distinguishable on the basis that the disclosure was ordered by applying s. 19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which "requires that notice be given to all potential class members after a proceeding has been certified". The Court held that this statutory provision was to be considered as equally applicable with the provisions of the </w:t>
      </w:r>
      <w:r>
        <w:rPr>
          <w:rFonts w:ascii="arial" w:eastAsia="arial" w:hAnsi="arial" w:cs="arial"/>
          <w:i/>
          <w:color w:val="000000"/>
          <w:sz w:val="20"/>
          <w:lang w:val="en-US" w:eastAsia="en-US" w:bidi="ar-SA"/>
        </w:rPr>
        <w:t>Health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It has no application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Second, the Court in </w:t>
      </w:r>
      <w:r>
        <w:rPr>
          <w:rFonts w:ascii="arial" w:eastAsia="arial" w:hAnsi="arial" w:cs="arial"/>
          <w:i/>
          <w:color w:val="000000"/>
          <w:sz w:val="20"/>
          <w:lang w:val="en-US" w:eastAsia="en-US" w:bidi="ar-SA"/>
        </w:rPr>
        <w:t>Dalhuisen</w:t>
      </w:r>
      <w:r>
        <w:rPr>
          <w:rFonts w:ascii="arial" w:eastAsia="arial" w:hAnsi="arial" w:cs="arial"/>
          <w:color w:val="000000"/>
          <w:sz w:val="20"/>
          <w:lang w:val="en-US" w:eastAsia="en-US" w:bidi="ar-SA"/>
        </w:rPr>
        <w:t xml:space="preserve"> was concerned with s. 5 of the </w:t>
      </w:r>
      <w:r>
        <w:rPr>
          <w:rFonts w:ascii="arial" w:eastAsia="arial" w:hAnsi="arial" w:cs="arial"/>
          <w:i/>
          <w:color w:val="000000"/>
          <w:sz w:val="20"/>
          <w:lang w:val="en-US" w:eastAsia="en-US" w:bidi="ar-SA"/>
        </w:rPr>
        <w:t>Health Act</w:t>
      </w:r>
      <w:r>
        <w:rPr>
          <w:rFonts w:ascii="arial" w:eastAsia="arial" w:hAnsi="arial" w:cs="arial"/>
          <w:color w:val="000000"/>
          <w:sz w:val="20"/>
          <w:lang w:val="en-US" w:eastAsia="en-US" w:bidi="ar-SA"/>
        </w:rPr>
        <w:t>, which provided that:</w:t>
      </w:r>
      <w:r>
        <w:rPr>
          <w:rFonts w:ascii="arial" w:eastAsia="arial" w:hAnsi="arial" w:cs="arial"/>
          <w:sz w:val="20"/>
          <w:lang w:val="en-US" w:eastAsia="en-US" w:bidi="ar-SA"/>
        </w:rPr>
        <w:cr/>
      </w:r>
    </w:p>
    <w:p>
      <w:pPr>
        <w:numPr>
          <w:numId w:val="8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Provincial Health Officer must not, insofar as the laws of British Columbia apply, give or be compelled to give, evidence in a court or in proceedings of a judicial nature concerning knowledge gained in the exercise of a power or duty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This former provision did not speak of disclosure, only of giving evidence and is therefore distinguishable from s. 91 of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Finally, the reasoning in </w:t>
      </w:r>
      <w:r>
        <w:rPr>
          <w:rFonts w:ascii="arial" w:eastAsia="arial" w:hAnsi="arial" w:cs="arial"/>
          <w:i/>
          <w:color w:val="000000"/>
          <w:sz w:val="20"/>
          <w:lang w:val="en-US" w:eastAsia="en-US" w:bidi="ar-SA"/>
        </w:rPr>
        <w:t>Dalhuisen</w:t>
      </w:r>
      <w:r>
        <w:rPr>
          <w:rFonts w:ascii="arial" w:eastAsia="arial" w:hAnsi="arial" w:cs="arial"/>
          <w:color w:val="000000"/>
          <w:sz w:val="20"/>
          <w:lang w:val="en-US" w:eastAsia="en-US" w:bidi="ar-SA"/>
        </w:rPr>
        <w:t xml:space="preserve"> is based on the conclusion that disclosure was in the interests of the individuals whose personal information was sought: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Here, there is no obvious benefit to the individuals named in the documents if their personal information is disclosed. The plaintiffs submit that there is no stigma attached to contracting E. Coli and thus the privacy concerns raised by the respondents are minimal. It is difficult to determine where E. Coli lies on the scale of infectious diseases as far as stigma is concerned. However, there is a privacy concern inherent in the scheme of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Contrary to </w:t>
      </w:r>
      <w:r>
        <w:rPr>
          <w:rFonts w:ascii="arial" w:eastAsia="arial" w:hAnsi="arial" w:cs="arial"/>
          <w:i/>
          <w:color w:val="000000"/>
          <w:sz w:val="20"/>
          <w:lang w:val="en-US" w:eastAsia="en-US" w:bidi="ar-SA"/>
        </w:rPr>
        <w:t>Dalhuisen</w:t>
      </w:r>
      <w:r>
        <w:rPr>
          <w:rFonts w:ascii="arial" w:eastAsia="arial" w:hAnsi="arial" w:cs="arial"/>
          <w:color w:val="000000"/>
          <w:sz w:val="20"/>
          <w:lang w:val="en-US" w:eastAsia="en-US" w:bidi="ar-SA"/>
        </w:rPr>
        <w:t>, there is no benefit to the other individuals which could be taken to override the privacy interest. In any event, I do not find a legal basis for engaging in this sort of balancing exercise in the application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have concluded that s. 91 insulates holders of personal information under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such as VCHA from the usual disclosure obligations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to assist in the processes of mobilizing responses to public health threats. The prohibition on disclosure in s. 91 is not unprecedented. In </w:t>
      </w:r>
      <w:r>
        <w:rPr>
          <w:rFonts w:ascii="arial" w:eastAsia="arial" w:hAnsi="arial" w:cs="arial"/>
          <w:i/>
          <w:color w:val="000000"/>
          <w:sz w:val="20"/>
          <w:lang w:val="en-US" w:eastAsia="en-US" w:bidi="ar-SA"/>
        </w:rPr>
        <w:t>Beale</w:t>
      </w:r>
      <w:r>
        <w:rPr>
          <w:rFonts w:ascii="arial" w:eastAsia="arial" w:hAnsi="arial" w:cs="arial"/>
          <w:color w:val="000000"/>
          <w:sz w:val="20"/>
          <w:lang w:val="en-US" w:eastAsia="en-US" w:bidi="ar-SA"/>
        </w:rPr>
        <w:t>, the Court allowed an appeal from an order for disclosure, stating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When the Legislature has addressed a question and promulgated what appears to be a code on the subject, the court should not be quick to find ways in which to undermine the legislative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my opinion, Rule 26(10) must be read in the light of s. 61 of the </w:t>
      </w:r>
      <w:r>
        <w:rPr>
          <w:rFonts w:ascii="arial" w:eastAsia="arial" w:hAnsi="arial" w:cs="arial"/>
          <w:i/>
          <w:color w:val="000000"/>
          <w:sz w:val="20"/>
          <w:lang w:val="en-US" w:eastAsia="en-US" w:bidi="ar-SA"/>
        </w:rPr>
        <w:t>Medical Practitioners Act</w:t>
      </w:r>
      <w:r>
        <w:rPr>
          <w:rFonts w:ascii="arial" w:eastAsia="arial" w:hAnsi="arial" w:cs="arial"/>
          <w:color w:val="000000"/>
          <w:sz w:val="20"/>
          <w:lang w:val="en-US" w:eastAsia="en-US" w:bidi="ar-SA"/>
        </w:rPr>
        <w:t>. Implicit in it are the words, "Subject to any statutory provision to the contrary..." Here there is a statutory provision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Here, as in </w:t>
      </w:r>
      <w:r>
        <w:rPr>
          <w:rFonts w:ascii="arial" w:eastAsia="arial" w:hAnsi="arial" w:cs="arial"/>
          <w:i/>
          <w:color w:val="000000"/>
          <w:sz w:val="20"/>
          <w:lang w:val="en-US" w:eastAsia="en-US" w:bidi="ar-SA"/>
        </w:rPr>
        <w:t>Beale</w:t>
      </w:r>
      <w:r>
        <w:rPr>
          <w:rFonts w:ascii="arial" w:eastAsia="arial" w:hAnsi="arial" w:cs="arial"/>
          <w:color w:val="000000"/>
          <w:sz w:val="20"/>
          <w:lang w:val="en-US" w:eastAsia="en-US" w:bidi="ar-SA"/>
        </w:rPr>
        <w:t xml:space="preserve">, there is a statutory provision specifically prohibiting disclosure of personal information in legal proceedings which applies to displace the obligation of a party under R. 7-1 (see also the reasoning of the review panel in </w:t>
      </w:r>
      <w:r>
        <w:rPr>
          <w:rFonts w:ascii="arial" w:eastAsia="arial" w:hAnsi="arial" w:cs="arial"/>
          <w:i/>
          <w:color w:val="000000"/>
          <w:sz w:val="20"/>
          <w:lang w:val="en-US" w:eastAsia="en-US" w:bidi="ar-SA"/>
        </w:rPr>
        <w:t>Dalhuisen v. Maxim's Bakery</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2002 BCCA 541</w:t>
        </w:r>
      </w:hyperlink>
      <w:r>
        <w:rPr>
          <w:rFonts w:ascii="arial" w:eastAsia="arial" w:hAnsi="arial" w:cs="arial"/>
          <w:color w:val="000000"/>
          <w:sz w:val="20"/>
          <w:lang w:val="en-US" w:eastAsia="en-US" w:bidi="ar-SA"/>
        </w:rPr>
        <w:t xml:space="preserve"> at paras.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VCHA cannot be compelled to disclose the information sought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With respect to costs, I note that VCHA originally took no position on the application and amended their position only after the Court recommended further examination of the legislation. Madam Justice Gropper's order giving leave to the Attorney General to intervene provides that "no costs are awarded in favour of, or against, the Attorney General on this application or as a result of the intervention" but allows for an order for "increased disbursements". No submissions were made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Unless the parties advise that they wish to make further submissions on costs, they will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S. SCARTH</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Telford v. Maple Ridge &amp; Pitt Meadows School District No. 42, [2018] B.C.J. No. 6832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16-19, 23-27, 30-May 4, 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July 24, 30, August 3, 8-10,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S166066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6832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2165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Darren Ernest Telford, Plaintiff, and School District No. 42 (Maple Ridge &amp; Pitt Meadows) and Principal John Doe,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6" w:name="Keywords_42"/>
      <w:bookmarkEnd w:id="276"/>
      <w:r>
        <w:rPr>
          <w:rFonts w:ascii="arial" w:eastAsia="arial" w:hAnsi="arial" w:cs="arial"/>
          <w:b/>
          <w:color w:val="000000"/>
          <w:sz w:val="20"/>
          <w:lang w:val="en-US" w:eastAsia="en-US" w:bidi="ar-SA"/>
        </w:rPr>
        <w:t>Education law — Civil liabilities — Of school boards and schools — Injuries and property damage — On school premises — Off school premises — Physical injuries — Physical assault or abuse — Sexual assault or abuse — Harm prevention and safety policies — Action for damages against school district and unnamed principal for alleged sexual abuse by assailant dismissed — Plaintiff reported sexual touching by assailant prior to starting, as confirmed by police report — Plaintiff alleged that once he began school, assailant accessed school property regularly and continued to sexually abuse him — No further police report was made, plaintiff did not mention it in later police interview and all of defendants witnesses denied knowledge — It was implausible that group of adults charged with student safety systematically permitted outside male unfettered access to students as claimed by plaintiff and his witnesses.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7" w:name="Case Summary_37"/>
            <w:bookmarkEnd w:id="2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former student against the school district and an unnamed principal for damages arising from his alleged sexual abuse by an outside assailant. The plaintiff testified that he was sexually assaulted by the assailant while riding his bicycle, prior to starting school. The plaintiff told his mother what had happened and his mother went to the police. This was confirmed by a police report, which showed the matter was investigated but charged were not laid. The plaintiff testified that, once he started school, the assailant continued to lead him off school property to his home or the woods and sexually assaulted him. The plaintiff testified the assailant was frequently on school property and attended school events, where he sexually assaulted the plaintiff in the hallway. The plaintiff testified that, when he was in grade two, he told him mother that he was still being abused and the mother went to the police and the family sold its home and the plaintiff changed schools. Other former students testified that they recalled being told to stay away from the assailant, who was frequently at the school, interacting with students and handing out candy. The plaintiff's father testified that the mother went to the police and school but they did not take her seriously.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8" w:name="Holdings of Court_31"/>
            <w:bookmarkEnd w:id="27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evidence was inconsistent on some details about the school, and he admitted he had no memory of when the first incident occurred, and psychological testing showed some concerns about his forthrightness. When the plaintiff was interviewed by the police at age 13, in relation to concerns that other children were assaulted, he made no mention of any abuse subsequent to the first incident. The plaintiff's explanation that this was because the police were graphic, peppered him with questions and he was crying was completed contradicted by the audiotape of the interview. The mother's interview at that time made no mention of her going to the police after the initial complaint. The father's evidence also contained inaccuracies about the school and the plaintiff's history of emotional and academic issues. The father's testimony and discovery evidence were inconsistent with respect to the mother speaking to police, and he made no mention of any later abuse or speaking to the school in his 1999 compensation claim. There were numerous inconstancies and irregularities about the events and timeline in the evidence of other former students. On the other hand, the defendants' witnesses were clear and consistent that no one recalled seeking the assailant on or near school grounds. It was almost inconceivable that a group of adults charged with protecting children permitted an unknown man to walk amongst the children on a daily basis, hand out candy and lead them off school property. The defendants also gave clear evidence that random members of the public did not assist with school events. The police swiftly investigated the 1991 abuse complaint, so it made no sense that they would have done nothing if the mother made a complaint about ongoing abuse. No one at the school during the relevant period was aware of any concerns of abuse, and it was difficult to imagine the principal would not have reported a complaint to the authorities or at least discussed it with colleagues and would continue to allow the assailant access to school property. There was no evidence to corroborate the father's claim that he and the mother became quite vocal about the issue. To the contrary, the defendants denied any knowledge of an issue and it was not in any records. The objective record showed the plaintiff did not switch schools mid-year but rather completed the year after moving. The plaintiff did not establish he was sexually abused while a student at the school or that the defendants were negligent.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9" w:name="Counsel_42"/>
      <w:bookmarkEnd w:id="2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1"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K.R. Hamilton, K. Campbell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R.J. Harper, D.M. Peck.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0" w:name="Judgment_42"/>
      <w:bookmarkEnd w:id="280"/>
      <w:r>
        <w:pict>
          <v:line id="_x0000_s1232" style="position:absolute;z-index:2518046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SOME THRESHOLD LEGAL ISSUES</w:t>
      </w:r>
      <w:r>
        <w:rPr>
          <w:rFonts w:ascii="arial" w:eastAsia="arial" w:hAnsi="arial" w:cs="arial"/>
          <w:sz w:val="20"/>
          <w:lang w:val="en-US" w:eastAsia="en-US" w:bidi="ar-SA"/>
        </w:rPr>
        <w:cr/>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Burden of Proof and Standard of Proof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Credibility, Reliability and Findings of Fact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iii) The Passage of Time and the Evidence of Witnesses who were Children at the Time of the Events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EVIDENCE IN RELATION TO ALLEGATIONS OF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OTHER LAY WITNESSES THAT WERE CALLED ON BEHALF OF THE PLAINTIFF</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Matthew</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Telford Senior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Labelle, Ms. Stuart and Mr. Ealey</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Olsen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 ADDUCED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WEIGHING THE EVIDENCE OF THE PLAINTIFF AND OF THE WITNESSES CALLED ON BEHALF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Matthew's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Telford Senior's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from the Other Witnesses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WEIGHING THE EVIDENCE OF THE DEFENDANTS'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FURTHER DIFFICULTIES WITH THE PLAINTIFF'S CASE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 The Frequency with which Mr. Duff is Alleged to have been on School Property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ii) The Absence of any Objective Record that Relates to any Conduct on the Part of Mr. Duff or to any Complaint by the Plaintiff from 1991 to 1993</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Change of School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1" w:name="P.G. VOITH J."/>
            <w:bookmarkEnd w:id="281"/>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Darren Telford, is presently 32 years old. He alleges that he was sexually abused by Mr. Duff, a neighbour, when he was a young boy. Specifically, he alleges that he was sexually abused or assaulted before he went to kindergarten when he was four or five years old. He further alleges that the abuse continued from the time he first started to go to school at Glenwood Elementary School in 1991 through to when his parents moved him from Glenwood Elementary to another elementary school in 1994. He alleges that he was repeatedly abused during the school day and on school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Telford's claim as against the Defendants, School District No. 43 (Maple Ridge and Pitt Meadows School District) (the "School District") and an unnamed principal, is brought both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as a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These causes of action each have various constituent elements.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example, requires that a plaintiff establish the existence of a duty of care on the part of the defendant, a breach of that duty of care, causation, and damage or loss. Each of these various elements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addressed in the lay and expert evidence that was advanced by the parties. The same is true of the Plaintiff's claim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central question or issue that arose at trial, in respect of both causes of action, was, however, factual. That question was whether Mr. Telford was able to establish, on the balance of probabilities, that he was sexually abused while he was a student at Glenwood Elementary and while he was in the care of the school. On account of the conclusions I have arrived at in relation to that threshold question, I do not consider that I need to address the remainder or balance of the legal and factual issues that were raised at trial. On account of the importance of that issue, however, I have described and weighed the evidence of the witnesses and, the Plaintiff's witnesses in particular, in more detail than I normally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Some Threshold 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are two important threshold legal issues.</w:t>
      </w:r>
      <w:r>
        <w:rPr>
          <w:rFonts w:ascii="arial" w:eastAsia="arial" w:hAnsi="arial" w:cs="arial"/>
          <w:sz w:val="20"/>
          <w:lang w:val="en-US" w:eastAsia="en-US" w:bidi="ar-SA"/>
        </w:rPr>
        <w:cr/>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Burden of Proof and 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common ground that the burden of proof in this case lies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argue that in cases of historic sexual abuse, the evidence offered in proof must establish the allegations with a degree of probability which is "commensurate with the occasion&gt;". This was in the past often described as the "clear and cogent standard" in which there was a need to subject evidence to greater scrutiny where it was offered as proof of allegations which carried serious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Thus, in </w:t>
      </w:r>
      <w:r>
        <w:rPr>
          <w:rFonts w:ascii="arial" w:eastAsia="arial" w:hAnsi="arial" w:cs="arial"/>
          <w:i/>
          <w:color w:val="000000"/>
          <w:sz w:val="20"/>
          <w:lang w:val="en-US" w:eastAsia="en-US" w:bidi="ar-SA"/>
        </w:rPr>
        <w:t>J.L.M. v. P.H</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(1997), 31 B.C.L.R. (3d) 155</w:t>
        </w:r>
      </w:hyperlink>
      <w:r>
        <w:rPr>
          <w:rFonts w:ascii="arial" w:eastAsia="arial" w:hAnsi="arial" w:cs="arial"/>
          <w:color w:val="000000"/>
          <w:sz w:val="20"/>
          <w:lang w:val="en-US" w:eastAsia="en-US" w:bidi="ar-SA"/>
        </w:rPr>
        <w:t xml:space="preserve"> (S.C.), in a civil sexual abuse claim, Justice Stromberg-Stein, at 189-190,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civil standard of proof on a balance of probabilities is a flexible standard that enables Courts to require a higher degree of probability or persuasion in a case involving allegations of sexual, physical and emotional abuse made by a child against a parent. The seriousness of the allegations and the gravity of the consequences requires a high degree of probability that the allegations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She relied on the statement of Lord Denning in </w:t>
      </w:r>
      <w:r>
        <w:rPr>
          <w:rFonts w:ascii="arial" w:eastAsia="arial" w:hAnsi="arial" w:cs="arial"/>
          <w:i/>
          <w:color w:val="000000"/>
          <w:sz w:val="20"/>
          <w:lang w:val="en-US" w:eastAsia="en-US" w:bidi="ar-SA"/>
        </w:rPr>
        <w:t>Bater v. Bater</w:t>
      </w:r>
      <w:r>
        <w:rPr>
          <w:rFonts w:ascii="arial" w:eastAsia="arial" w:hAnsi="arial" w:cs="arial"/>
          <w:color w:val="000000"/>
          <w:sz w:val="20"/>
          <w:lang w:val="en-US" w:eastAsia="en-US" w:bidi="ar-SA"/>
        </w:rPr>
        <w:t>, [1950] 2 All E.R. 458 (C.A.) at 459: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may be proved by a preponderance of probability, but there may be degrees of probability within that standard. The degree depends upon the subject matter. A civil court, when considering a charge of fraud, will naturally require a higher standard of probability than that which it would require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is commensurate with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need to calibrate the standard of proof to a higher degree of probability, commensurate with the occasion, was also recognised in </w:t>
      </w:r>
      <w:r>
        <w:rPr>
          <w:rFonts w:ascii="arial" w:eastAsia="arial" w:hAnsi="arial" w:cs="arial"/>
          <w:i/>
          <w:color w:val="000000"/>
          <w:sz w:val="20"/>
          <w:lang w:val="en-US" w:eastAsia="en-US" w:bidi="ar-SA"/>
        </w:rPr>
        <w:t>R.C. v. McDougall [F.H. v. McDougall]</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2007 BCCA 212</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2001 BCCA 227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W.R.B. v. Plint</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both of which were cases of historical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do not, however, accept the foregoing submission of the Defendants and consider that the authorities they relied on, and that I have referred to, have been overtaken by more recent authority. In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Justice Rothstein, for the Court, said:</w:t>
      </w:r>
      <w:r>
        <w:rPr>
          <w:rFonts w:ascii="arial" w:eastAsia="arial" w:hAnsi="arial" w:cs="arial"/>
          <w:sz w:val="20"/>
          <w:lang w:val="en-US" w:eastAsia="en-US" w:bidi="ar-SA"/>
        </w:rPr>
        <w:cr/>
      </w:r>
    </w:p>
    <w:p>
      <w:pPr>
        <w:numPr>
          <w:numId w:val="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summarize the various approaches in civil cases where criminal or morally blameworthy conduct is alleged as I understand them:</w:t>
      </w:r>
    </w:p>
    <w:p>
      <w:pPr>
        <w:numPr>
          <w:numId w:val="1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criminal standard of proof applies in civil cases depending upon the seriousness of the allegation;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intermediate standard of proof between the civil standard and the criminal standard commensurate with the occasion applies to civil cases;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heightened standard of proof applies in civil cases, but the evidence must be scrutinized with greater care where the allegation is serious;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heightened standard of proof applies in civil cases, but evidence must be clear, convincing and cogent; and</w:t>
      </w:r>
    </w:p>
    <w:p>
      <w:pPr>
        <w:numPr>
          <w:numId w:val="1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heightened standard of proof applies in civil cases, but the more improbable the event, the stronger the evidence is needed to meet the balance of probabilities test.</w:t>
      </w:r>
    </w:p>
    <w:p>
      <w:pPr>
        <w:numPr>
          <w:numId w:val="1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Approach Canadian Courts Should Now Adopt</w:t>
      </w:r>
    </w:p>
    <w:p>
      <w:pPr>
        <w:numPr>
          <w:numId w:val="1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Like the House of Lords, I think it is time to say, once and for all in Canada, that there is only one civil standard of proof at common law and that is proof on a balance of probabilities. Of course, context is all important and a judge should not be unmindful, where appropriate, of inherent probabilities or improbabilities or the seriousness of the allegations or consequences. However, these considerations do not change the standard of proof. I am of the respectful opinion that the alternatives I have listed above should be rejected for the reasons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Wanson (Bristol) Development Ltd. v. Sahba</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2018 BCCA 260</w:t>
        </w:r>
      </w:hyperlink>
      <w:r>
        <w:rPr>
          <w:rFonts w:ascii="arial" w:eastAsia="arial" w:hAnsi="arial" w:cs="arial"/>
          <w:color w:val="000000"/>
          <w:sz w:val="20"/>
          <w:lang w:val="en-US" w:eastAsia="en-US" w:bidi="ar-SA"/>
        </w:rPr>
        <w:t xml:space="preserve"> at para. 29 and </w:t>
      </w:r>
      <w:r>
        <w:rPr>
          <w:rFonts w:ascii="arial" w:eastAsia="arial" w:hAnsi="arial" w:cs="arial"/>
          <w:i/>
          <w:color w:val="000000"/>
          <w:sz w:val="20"/>
          <w:lang w:val="en-US" w:eastAsia="en-US" w:bidi="ar-SA"/>
        </w:rPr>
        <w:t>Canada (Attorney General) v. Fairmont Hotels Inc.</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2016 SCC 56</w:t>
        </w:r>
      </w:hyperlink>
      <w:r>
        <w:rPr>
          <w:rFonts w:ascii="arial" w:eastAsia="arial" w:hAnsi="arial" w:cs="arial"/>
          <w:color w:val="000000"/>
          <w:sz w:val="20"/>
          <w:lang w:val="en-US" w:eastAsia="en-US" w:bidi="ar-SA"/>
        </w:rPr>
        <w:t xml:space="preserve"> at paras. 35-36.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Accordingly, I consider that the appropriate standard of proof is proof on a balance of probabilities.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Credibility, Reliability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case very much turns on the credibility and reliability of the various witnesses who were called and, in particular, the witnesses who gave evidence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distinction between reliability and credibility, each of which is relevant to the assessment of a witness's evidence, was explained in </w:t>
      </w:r>
      <w:r>
        <w:rPr>
          <w:rFonts w:ascii="arial" w:eastAsia="arial" w:hAnsi="arial" w:cs="arial"/>
          <w:i/>
          <w:color w:val="000000"/>
          <w:sz w:val="20"/>
          <w:lang w:val="en-US" w:eastAsia="en-US" w:bidi="ar-SA"/>
        </w:rPr>
        <w:t>Regina. v. Morrissey</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(1995), 22 O.R. (3d) 514</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Testimonial evidence can raise veracity and accuracy concerns. The former relates to the witness's sincerity, that is, his or her willingness to speak the truth as the witness believes it to be. The latter concerns relate to the actual accuracy of the witness's testimony. The accuracy of a witness's testimony involves considerations of the witness's ability to accurately observe, recall and recount the events in issue. When one is concerned with a witness's veracity, one speaks of the witness's credibility. When one is concerned with the accuracy of a witness's testimony, one speaks of the reliability of that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R. v. H.C.</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2009 ONCA 56</w:t>
        </w:r>
      </w:hyperlink>
      <w:r>
        <w:rPr>
          <w:rFonts w:ascii="arial" w:eastAsia="arial" w:hAnsi="arial" w:cs="arial"/>
          <w:color w:val="000000"/>
          <w:sz w:val="20"/>
          <w:lang w:val="en-US" w:eastAsia="en-US" w:bidi="ar-SA"/>
        </w:rPr>
        <w:t>, Justice Watt, for the court, said:</w:t>
      </w:r>
      <w:r>
        <w:rPr>
          <w:rFonts w:ascii="arial" w:eastAsia="arial" w:hAnsi="arial" w:cs="arial"/>
          <w:sz w:val="20"/>
          <w:lang w:val="en-US" w:eastAsia="en-US" w:bidi="ar-SA"/>
        </w:rPr>
        <w:cr/>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Credibility and reliability are different. Credibility has to do with a witness's veracity, reliability with the accuracy of the witness's testimony. Accuracy engages consideration of the witness's ability to accurately</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recall; and</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events in issue. Any witness whose evidence on an issue is not credible cannot give reliable evidence on the same point. Credibility, on the other hand, is not a proxy for reliability: a credible witness may give unreliable evidence: </w:t>
      </w:r>
      <w:r>
        <w:rPr>
          <w:rFonts w:ascii="arial" w:eastAsia="arial" w:hAnsi="arial" w:cs="arial"/>
          <w:i/>
          <w:color w:val="000000"/>
          <w:sz w:val="20"/>
          <w:lang w:val="en-US" w:eastAsia="en-US" w:bidi="ar-SA"/>
        </w:rPr>
        <w:t>R. v. Morrissey</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(1995), 22 O R. (3d) 514</w:t>
        </w:r>
      </w:hyperlink>
      <w:r>
        <w:rPr>
          <w:rFonts w:ascii="arial" w:eastAsia="arial" w:hAnsi="arial" w:cs="arial"/>
          <w:color w:val="000000"/>
          <w:sz w:val="20"/>
          <w:lang w:val="en-US" w:eastAsia="en-US" w:bidi="ar-SA"/>
        </w:rPr>
        <w:t>, at 526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assessing a witness's credibility, the following comments from </w:t>
      </w:r>
      <w:r>
        <w:rPr>
          <w:rFonts w:ascii="arial" w:eastAsia="arial" w:hAnsi="arial" w:cs="arial"/>
          <w:i/>
          <w:color w:val="000000"/>
          <w:sz w:val="20"/>
          <w:lang w:val="en-US" w:eastAsia="en-US" w:bidi="ar-SA"/>
        </w:rPr>
        <w:t>R. v. Langlet</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2013 BCSC 2274</w:t>
        </w:r>
      </w:hyperlink>
      <w:r>
        <w:rPr>
          <w:rFonts w:ascii="arial" w:eastAsia="arial" w:hAnsi="arial" w:cs="arial"/>
          <w:color w:val="000000"/>
          <w:sz w:val="20"/>
          <w:lang w:val="en-US" w:eastAsia="en-US" w:bidi="ar-SA"/>
        </w:rPr>
        <w:t xml:space="preserve"> are helpful:</w:t>
      </w:r>
      <w:r>
        <w:rPr>
          <w:rFonts w:ascii="arial" w:eastAsia="arial" w:hAnsi="arial" w:cs="arial"/>
          <w:sz w:val="20"/>
          <w:lang w:val="en-US" w:eastAsia="en-US" w:bidi="ar-SA"/>
        </w:rPr>
        <w:cr/>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accepted factors that bear on credibility include internal consistency of a witness's testimony, consistency over time, corroboration or external consistency with other evidence, any interest the witness may have in testifying including motive to lie, whether the witness is independent, the presence or absence of an oath or affirmation, and prior criminal convictions where relevant.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note that the consistency of a witness's testimony is an important factor in an analysis of the credibility of a witness, both internally and externally. Can the witness provide the same account at different times? Can the witness provide consistent answers as he or she is asked questions about portions of their testimony or particular aspects of it? Similarly, is a witness's testimony externally consistent? Do aspects of the witness's testimony correspond with testimony of other witnesses (absent evidence of collusion) or other real evidence? Is the account provided by the witness a plausible one? Does it accord with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Further guidance was provided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815"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at para. 186, where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R. v. S.(R.D.), </w:t>
      </w:r>
      <w:hyperlink r:id="rId819"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weighing questions of credibility, courts will also frequently rely on the guidance provided by Justice O'Halloran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where he said,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The Passage of Time and the Evidence of Witnesses who were Children at the Time of the Events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making the necessary findings of fact, and the determinations of credibility and reliability in relation to numerous witnesses, is complicated by several factors. The Plaintiff's mother, who played a central role in the events in question, died in 2002. The principal at Glenwood Elementary from 1991-1993, Mr. Sikora, also passed away. The evidence at trial establishes that other individuals who were supervisors at Glenwood Elementary, in the years in question, have since passed away. Many of the records of the School District, as a result of the passage of time, are no longer available. The same may be true of certain police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Still further, the passage of time necessarily affects the reliability of a witness's memory; </w:t>
      </w:r>
      <w:r>
        <w:rPr>
          <w:rFonts w:ascii="arial" w:eastAsia="arial" w:hAnsi="arial" w:cs="arial"/>
          <w:i/>
          <w:color w:val="000000"/>
          <w:sz w:val="20"/>
          <w:lang w:val="en-US" w:eastAsia="en-US" w:bidi="ar-SA"/>
        </w:rPr>
        <w:t>R. v. G.L.</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2013 ONSC 7876</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R. v.R.E.L.</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2013 ONSC 7512</w:t>
        </w:r>
      </w:hyperlink>
      <w:r>
        <w:rPr>
          <w:rFonts w:ascii="arial" w:eastAsia="arial" w:hAnsi="arial" w:cs="arial"/>
          <w:color w:val="000000"/>
          <w:sz w:val="20"/>
          <w:lang w:val="en-US" w:eastAsia="en-US" w:bidi="ar-SA"/>
        </w:rPr>
        <w:t xml:space="preserve"> at para. 27 and </w:t>
      </w:r>
      <w:r>
        <w:rPr>
          <w:rFonts w:ascii="arial" w:eastAsia="arial" w:hAnsi="arial" w:cs="arial"/>
          <w:i/>
          <w:color w:val="000000"/>
          <w:sz w:val="20"/>
          <w:lang w:val="en-US" w:eastAsia="en-US" w:bidi="ar-SA"/>
        </w:rPr>
        <w:t>R. v. R.L.</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2011 ONSC 697</w:t>
        </w:r>
      </w:hyperlink>
      <w:r>
        <w:rPr>
          <w:rFonts w:ascii="arial" w:eastAsia="arial" w:hAnsi="arial" w:cs="arial"/>
          <w:color w:val="000000"/>
          <w:sz w:val="20"/>
          <w:lang w:val="en-US" w:eastAsia="en-US" w:bidi="ar-SA"/>
        </w:rPr>
        <w:t xml:space="preserve"> at para. 34. In this case, more than 25 years have elapsed since many of the events that are alleged to have occurred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Further considerations are relevant. Several of the Plaintiff's witnesses, including the Plaintiff and his brother, were young children at the time. This reality adds another level of complexity. Numerous cases confirm that the evidence and memory of children have to be addressed and weighed differently. It is often wrong to apply adult tests for credibility and reliability to the evidence of children; </w:t>
      </w:r>
      <w:r>
        <w:rPr>
          <w:rFonts w:ascii="arial" w:eastAsia="arial" w:hAnsi="arial" w:cs="arial"/>
          <w:i/>
          <w:color w:val="000000"/>
          <w:sz w:val="20"/>
          <w:lang w:val="en-US" w:eastAsia="en-US" w:bidi="ar-SA"/>
        </w:rPr>
        <w:t>R. v. W.(R.) [R.W.]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2 S.C.R. 122</w:t>
      </w:r>
      <w:r>
        <w:rPr>
          <w:rFonts w:ascii="arial" w:eastAsia="arial" w:hAnsi="arial" w:cs="arial"/>
          <w:color w:val="000000"/>
          <w:sz w:val="20"/>
          <w:lang w:val="en-US" w:eastAsia="en-US" w:bidi="ar-SA"/>
        </w:rPr>
        <w:t xml:space="preserve"> at 132-133; </w:t>
      </w:r>
      <w:r>
        <w:rPr>
          <w:rFonts w:ascii="arial" w:eastAsia="arial" w:hAnsi="arial" w:cs="arial"/>
          <w:i/>
          <w:color w:val="000000"/>
          <w:sz w:val="20"/>
          <w:lang w:val="en-US" w:eastAsia="en-US" w:bidi="ar-SA"/>
        </w:rPr>
        <w:t>R. v.C.C.F.</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[1997] 3 S.C.R. 1183</w:t>
        </w:r>
      </w:hyperlink>
      <w:r>
        <w:rPr>
          <w:rFonts w:ascii="arial" w:eastAsia="arial" w:hAnsi="arial" w:cs="arial"/>
          <w:color w:val="000000"/>
          <w:sz w:val="20"/>
          <w:lang w:val="en-US" w:eastAsia="en-US" w:bidi="ar-SA"/>
        </w:rPr>
        <w:t xml:space="preserve"> at paras. 19 and 48 and </w:t>
      </w:r>
      <w:r>
        <w:rPr>
          <w:rFonts w:ascii="arial" w:eastAsia="arial" w:hAnsi="arial" w:cs="arial"/>
          <w:i/>
          <w:color w:val="000000"/>
          <w:sz w:val="20"/>
          <w:lang w:val="en-US" w:eastAsia="en-US" w:bidi="ar-SA"/>
        </w:rPr>
        <w:t>R. v. F.J.C.</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2018 BCSC 1443</w:t>
        </w:r>
      </w:hyperlink>
      <w:r>
        <w:rPr>
          <w:rFonts w:ascii="arial" w:eastAsia="arial" w:hAnsi="arial" w:cs="arial"/>
          <w:color w:val="000000"/>
          <w:sz w:val="20"/>
          <w:lang w:val="en-US" w:eastAsia="en-US" w:bidi="ar-SA"/>
        </w:rPr>
        <w:t xml:space="preserve"> at paras. 41-42.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this case, the Plaintiff and his brother, as well as several other witnesses who gave evidence on behalf of the Plaintiff, are now adults. Nevertheless, some of these issues and concerns remain. Thus, in </w:t>
      </w:r>
      <w:r>
        <w:rPr>
          <w:rFonts w:ascii="arial" w:eastAsia="arial" w:hAnsi="arial" w:cs="arial"/>
          <w:i/>
          <w:color w:val="000000"/>
          <w:sz w:val="20"/>
          <w:lang w:val="en-US" w:eastAsia="en-US" w:bidi="ar-SA"/>
        </w:rPr>
        <w:t>W.(R.)</w:t>
      </w:r>
      <w:r>
        <w:rPr>
          <w:rFonts w:ascii="arial" w:eastAsia="arial" w:hAnsi="arial" w:cs="arial"/>
          <w:color w:val="000000"/>
          <w:sz w:val="20"/>
          <w:lang w:val="en-US" w:eastAsia="en-US" w:bidi="ar-SA"/>
        </w:rPr>
        <w:t>, Justice McLachlin, as she then was, said at 134: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person giving testimony in court, of whatever age, is an individual, whose credibility and evidence must be assessed by reference to criteria appropriate to her mental development, understanding and ability to communicate. But I would add this. In general, where an adult is testifying as to events which occurred when she was a child, her credibility should be assessed according to criteria applicable to her as an adult witness. Yet with regard to her evidence pertaining to events which occurred in childhood, the presence of inconsistencies, particularly as to peripheral matters such as time and location, should be considered in the context of the age of the witness at the time of the events to which she is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D.L.</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2017 ONSC 6481</w:t>
        </w:r>
      </w:hyperlink>
      <w:r>
        <w:rPr>
          <w:rFonts w:ascii="arial" w:eastAsia="arial" w:hAnsi="arial" w:cs="arial"/>
          <w:color w:val="000000"/>
          <w:sz w:val="20"/>
          <w:lang w:val="en-US" w:eastAsia="en-US" w:bidi="ar-SA"/>
        </w:rPr>
        <w:t>, Justice Bielby said:</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cases involving historical acts of sexual abuse particular caution and scrutiny are called for in approaching the reliability of evidence, including the memories of childhood impressions (para. 38) (see also </w:t>
      </w:r>
      <w:r>
        <w:rPr>
          <w:rFonts w:ascii="arial" w:eastAsia="arial" w:hAnsi="arial" w:cs="arial"/>
          <w:i/>
          <w:color w:val="000000"/>
          <w:sz w:val="20"/>
          <w:lang w:val="en-US" w:eastAsia="en-US" w:bidi="ar-SA"/>
        </w:rPr>
        <w:t>R. v. H.P.S</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[2014] O.J. No. 748</w:t>
        </w:r>
      </w:hyperlink>
      <w:r>
        <w:rPr>
          <w:rFonts w:ascii="arial" w:eastAsia="arial" w:hAnsi="arial" w:cs="arial"/>
          <w:color w:val="000000"/>
          <w:sz w:val="20"/>
          <w:lang w:val="en-US" w:eastAsia="en-US" w:bidi="ar-SA"/>
        </w:rPr>
        <w:t>, para. 38).</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Memories become increasingly frail over time. "Evidence that might have existed had the matter been dealt with earlier may have disappeared. Or it may become contaminated. Life experiences can colour and distort the memory of what occurred" (para. 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134 It is proper and logical to bear in mind that the ability of a child to recall events with precision, even when testifying as an adult, may not be the same as with other witnesses (</w:t>
      </w:r>
      <w:r>
        <w:rPr>
          <w:rFonts w:ascii="arial" w:eastAsia="arial" w:hAnsi="arial" w:cs="arial"/>
          <w:i/>
          <w:color w:val="000000"/>
          <w:sz w:val="20"/>
          <w:lang w:val="en-US" w:eastAsia="en-US" w:bidi="ar-SA"/>
        </w:rPr>
        <w:t>R. v. C. (S.)</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[2003] O.J. No. 4100</w:t>
        </w:r>
      </w:hyperlink>
      <w:r>
        <w:rPr>
          <w:rFonts w:ascii="arial" w:eastAsia="arial" w:hAnsi="arial" w:cs="arial"/>
          <w:color w:val="000000"/>
          <w:sz w:val="20"/>
          <w:lang w:val="en-US" w:eastAsia="en-US" w:bidi="ar-SA"/>
        </w:rPr>
        <w:t xml:space="preserve"> (Ont. S.C.J.) ,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mindful that the cases I have referred to generally arise in the criminal context. That does not, however, detract from the importance of the concerns or cautions that they express.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One last consideration is relevant. In this case, the Plaintiff called Dr. Koch, a clinical psychologist, to address aspects of the Plaintiff's mental health and to opine on how the various conditions that the Plaintiff now struggles with would likely, in his view, have been caused by his childhood sexual abuse. In Dr. Koch's cross-examination, he also addressed issues relating to the childhood memories of individuals and the reliability of those memories.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Koch, whose evidence on these matters I accept, said that childhood memories tend to be fragmentary and he confirmed that such memories can be reconstructive in the sense that people reconstruct what occurred based on what they believe happened. Still further, he confirmed that children with less than a grade 6 reading level, the issue being one of language sophistication, are less likely to remember things or events. He acknowledged, however, that this broad statement can be affected by many variables. By way of example, Dr. Koch said that what the Plaintiff now said about his being depressed in elementary school would generally be considered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first sought to describe various general facts that are not contested. The Plaintiff grew up in Maple Ridge, British Columbia. At the time of the alleged incidents, he lived on Glenwood Avenue together with his brother, Matthew, and his parents. In order to avoid confusion, I have referred to Mr. Darren Telford as the Plaintiff, to his brother as Matthew and to his father as Mr. Telford Senior. Matthew is three years older than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Telford home was immediately adjacent to, and separated by a fence from, Glenwood Elementary. Mr. Duff, likely in his 60s at the time, also lived on Glenwood Avenue. He and his wife lived immediately across the street from the Telford home. The Duff property and home were also adjacent to Glenwood Elementary and were separated from the school by a fence. Mr. Duff had no formal or other relationship with the Defendant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Some description of the physical layout of Glenwood Elementary is necessary in order to make sense of the evidence of the Plaintiff and of other witnesses. The main entrance to Glenwood Elementary was from the west via Glenwood Avenue. There was a parking lot immediately in front of the school and a further parking lot that was slightly off to the south. The school was physically placed almost up against the northern boundary of the school property though there was a narrow area between the physical structure of the school and the fences that separated school property from other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Immediately to the east of the physical structure of the school was a large playground (the "Playground"). Further to the east, as well as to the south, were large grass playfields.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whole of the school property was fenced in. Though the evidence on this issue is not entirely consistent, I am satisfied that there were three breaks or openings in this fence. The first was to the west at the main entrance to the school. The second was a small gate on the far eastern boundary of the school. There was a housing complex at that end of the school and children would come to school through that gate. Other persons would also, at times, take a shortcut through the school's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Finally, there was a gate on the south fence in an area that was somewhat forested with bushes and trees. Beyond that green space was more housing, a church and a liquor store. Once again, children would come to school through the south gate and others would also, from time to time, use the gate to cut through the school's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Evidence in Relation to Allegations of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direct evidence, the Plaintiff said that, in or about June 1991, and before he was a kindergarten student at Glenwood Elementary, he was riding his bike by his home when Mr. Duff offered to oil the chain on his bike. He went over to Mr. Duff's home. Mr. Duff had the Plaintiff sit on his lap and he then put his hands down the front of the Plaintiff's pants. The Plaintiff said that he "freaked out", went home and told his mother. He recalled going to the police station with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Importantly, there are police records from August 1991 which indicate that Mrs. Telford reported the suspected sexual touching to the police in August 1991 and that the police interviewed both the Plaintiff and Mr. Duff thereafter. No charges were laid.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entered kindergarten on September 3, 1991. He testified that from the time he was in kindergarten through to when he was in grade 2, when his parents transferred the two Telford boys from Glenwood Elementary midway through the school year, he was repeatedly sexually touched and abused by Mr. Duff.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abuse is alleged to have occurred on multiple occasions and in multiple locations on the property of Glenwood Elementary over the course of several years. The Plaintiff generally tended to describe the sequence in which they occurred. Likely in kindergarten and in later years a "bunch of times", and more than "three times", Mr. Duff would approach the Plaintiff at the top of the upper parking lot of the school, near the Playground, and walk him off of school grounds to the backyard of his home. This would occur, the Plaintiff said, at recess or at lunchtime. Mr. Duff would sit in a lawn chair and put his hands down the Plaintiff's pants, stroke the Plaintiff's penis and he would sometimes put his finger in the Plaintiff's anus.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other occasions when the Plaintiff was on the school's fields, either with friends or by himself, Mr. Duff would approach him and lead him through the gate and into the wooded area to the south of the school. Mr. Duff would again put his hands down the Plaintiff's pants and put his finger in his anus.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said that when he was in grade 1, Mr. Duff approached him, likely during the lunch hour, and while he was in the Playground area. There were other children around. Mr. Duff led him off to the narrow out of bounds area that was to the north and that was between the school and the fence. Mr. Duff put his hands down the Plaintiff's pants and commented that "it's getting bigger". This was something that Mr. Duff is alleged to have said on several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Glenwood Elementary had an annual "Rainy Day Festival". This was an event that was held in or about February of each year, that was organized by the school's Parent Advisory Council and that was intended to raise money and to support school activities. There were various games and events held in different rooms of the school and in the school's gym. The Plaintiff said that he believed the next incident of abuse was possibly at the Rainy Day Festival when he was in grade 1 or grade 2. He saw Mr. Duff talking to others in the gym. Mr. Duff approached the Plaintiff in the gym, led him to a hallway and molested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next recalled Mr. Duff approaching him when he was in grade 2 and when he was playing in the grass playfields over the lunch hour. Mr. Duff led him off of the school grounds to the south, where there was a treed and bushy area, and where a homeless person, who was described as "Pete the Bum" by a number of persons throughout the trial, sometimes lived. The Plaintiff said that he was taken to this area by Mr. Duff "a lot" when he was in grade 2. It was always over the lunch hour. There were always other children around who were playing. ..."the field was full of kids". The Plaintiff believed that there were teachers around. Mr. Duff was said to "always be there" though not on every day. The Plaintiff would either be alone or with other children when Mr. Duff would approach and walk him off of the school's property and in to the bushes. Mr. Duff would again touch him and put a finger in his anus.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recalled other instances in grade 2 where Mr. Duff approached him on the school's grounds, then took the Plaintiff to his backyard and molested him. This too occurred multiple times. These events would occur during the lunch hour or after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another occasion, that may have occurred in grade 1, the Plaintiff went to Sports Day. This too was an annual event where the families of the students of the school could attend at the school and watch the children participate in various contests or endeavours. There were likely hundreds of people about. The Plaintiff says Mr. Duff was present at Sports Day, approached him, took him to a sandbox on the school's grounds and again fondled him. One theme in the Plaintiff's case, that emerged through the evidence of the Plaintiff and other witnesses, was that Mr. Duff appeared at both the Rainy Day Festival and Sports Day in some sort of official capacity or as a volunteer.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said that, throughout these various incidents, he felt that he was unable to say no to Mr. Duff. He described himself as submissive.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some point, in grade 2, the Plaintiff said that he had been sitting on his mother's lap playing pattycake when his mother had asked him about Mr. Duff. The Plaintiff told her that Mr. Duff still touched him. The Plaintiff said that his parents then decided to move from the area and from the school. The family quickly sold their home and the two Telford boys were transferred, mid-year, from Glenwood Elementary to Blue Mountain Elementary. Blue Mountain Elementary was another elementary school in the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gave evidence that, in 1999, both he and his mother were again interviewed by the police. Apparently there was reason to believe that Mr. Duff had abused one or more other children. The police investigated those allegations and, in that context, again interviewed both Mrs. Telford and the Plaintiff. They also interviewed Matthew. Those interviews are important and I will return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common ground that in the fall of 1999, the police spoke to the then principal of Glenwood Elementary, Mr. Yep. Mr. Yep was informed of an individual who lived near the school and who had been charged with offences against one or more children. Mr. Yep's discussions at that time suggested or confirmed that that individual was Mr. Duff. There was, however, no suggestion that Mr. Duff had done anything to any child on the school's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Nevertheless, Mr. Yep sent out a letter dated September 23, 1999 to the parents of the children in the school. A portion of the letter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come to our attention that an adult neighbour living adjacent to Glenwood Elementary has been charged with a number of offences involving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School staff are aware of the individual. The R.C.M.P. do not feel our students are in any immediate danger. We have been told that this individual has been restricted in his movements as a pre-trial condition. Nevertheless, in the interests of student safety, parents should review safety procedures with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Most of the balance of the Plaintiff's detailed and extensive evidence was directed to his difficulties since that time. He struggled in school and was a marginal student. He has struggled to find and hold steady employment. He struggles with depression, panic attacks and anxiety. He has difficulties of various kinds in his personal relationships. He spends limited time with others. He has difficulty or discomfort being around children. He becomes anxious if he sees sex or intimacy on the television.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has historically sought and obtained limited counselling. He has, however, been seeing a counsellor more regularly since 2016 or when this action started, though I do not say the two matters are connected.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Much of this evidence was directed to the Plaintiff's claim for general damages, his claim for past and future wage loss and his cost of care claim. So too was the expert medical and psychological evidence and the evidence of different economists. Aspects of that evidence, directly and indirectly, also relates to the question of whether the Plaintiff was sexually abused. Thus, there was expert evidence at trial which attributed at least some of these difficulties to the Plaintiff having been abused.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What that evidence did not address, however, is whether the Plaintiff was abused both before he went to Glenwood Elementary, which the Plaintiff asserts and which is not contested, and thereafter when he was in kindergarten, as well as in grade 1 and 2, at Glenwood Elementary.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Even if I were to accept all of the evidence relating to the Plaintiff's ongoing difficulties from the Plaintiff, his family and the witnesses called on his behalf, and I accepted that all of those difficulties were caused by the abuse of Mr. Duff, there is no evidence which attributes the Plaintiff's difficulties to the events that preceded the Plaintiff going to Glenwood Elementary as opposed to the alleged events that followed his attendance at that school. Thus, this evidence does not assist with the central factual questions that I identified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have, accordingly, given little or no weight to this evidence insofar as it might inferentially or indirectly support the Plaintiff being abused after he became a student at Glenwood Elementary.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Other Lay Witnesses that were Called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called several lay witnesses. I have again focused primarily on those aspects of their evidence that addressed the liability component of the Plaintiff's claim and, in particular, the assertion that the Plaintiff was sexually abused by Mr. Duff while he attended Glenwood Elementary.</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Matthew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Matthew, who is three years older than the Plaintiff, recalled Mr. Duff calling the Telford boys to his home. Mr. Duff would give them candy and money and he would fix their bikes. He recalled Mr. Duff tickling his brother, under his shirt and up his legs. These events occurred before the Plaintiff started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some point, Matthew was told by his parents to stay away from Mr. Duff though he was not told why. He would no longer go to Mr. Duff's home but he continued to see him on the school grounds and in his yard. Matthew testified that he saw Mr. Duff by the school basketball court, at the back of the school, near the Playground, in the front of the school and by the fence line in the front of the school where there was a bike rack. After school, he would see Mr. Duff near the teachers' parking lot. He said that Mr. Duff would be at the back of the school, where the fields were, roughly two or three times a week and that he would be speaking to different children of different ages. He would do this during both the lunch hour and at recess. He confirmed that he recalled seeing Mr. Duff at both the Rainy Day Festival and Sports Day. He recalled that, on at least one occasion, Mr. Duff participated in specific games that were held at the Rainy Day Festival.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Matthew confirmed that his family changed homes and that he and the Plaintiff were moved from Glenwood Elementary to Blue Mountain Elementary in about February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also confirmed that, in 1999, when he would have been 15 or 16 years old, both he and his mother gave statements to the police. This was, again, in relation to the concern that Mr. Duff had sexually assaulted or abused other children. He recalled his mother being upset because she had spoken to the police about Mr. Duff in 1991 and because the police had done nothing at the time.</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Telford Senior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Telford Senior described his sons in their early years. He recalled that the Plaintiff was an easy child. His memory was that the Plaintiff had no physical or emotional difficulties until after 1991 and when he had first been abused by Mr. Duff.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Telford Senior testified that he first learned of the Plaintiff being abused in about March 1991. He said his wife had told him that the Plaintiff had come home, fallen on the floor, cried and told his mother to "tell Joe to stop touching me". He said by the time he had come home that night, she had spoken to both the principal of Glenwood Elementary and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Counsel for the Defendants objected to this hearsay evidence. Following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and based on a separate set of reasons, I admitted the evidence. I did so primarily on the basis that the threshold reliability of aspects of this evidence was supported by the formal statements that Mrs. Telford had given to the police in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Telford Senior was under the apparent belief that the events in 1991 had occurred while the Plaintiff attended a preschool at Glenwood Elementary and that, even then, the Plaintiff had been lured by Mr. Duff from school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Telford Senior further testified that his wife had said she had been put off by the school and that she had not been taken seriously. He said that the school had told her that it controlled things carefully, that "Joe wouldn't do that" and that the principal had communicated that he wished Mrs. Telford had not spoken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Telford Senior said that both he and his wife thereafter spoke to the Plaintiff and told him not to let Mr. Duff near him, that he was to scream if he felt threatened and that he was to ride his bike in a different area. They also told Matthew not to go to Mr. Duff's home though they did not tell him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Telford Senior testified that when the Plaintiff was in grade 3, he and his wife learned, from the Plaintiff, that Mr. Duff had continued to abuse him. He said that he and his wife became quite angry and quite vocal and they felt that other mothers should know what was happening. They went to the principal, Mr. Sikora, and told him what they had learned. Mr. Telford Senior said that Mr. Sikora made them "feel like they were crazy". Mr. Telford Senior said that Mr. Sikora insisted that the school carefully controlled what happened on the school's grounds. Mr. Telford Senior said that he also talked to teachers and the principal. He said that, in 1993, his wife again reported these incidents to the police but that no steps were taken by the police and no investigation was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Telford Senior said that these events occurred in the latter part of 1993. He and his wife had had enough. They felt the school would do nothing and they felt ostracized. He said "the air was pretty heavy". He and his wife decided they had to move. They sold their home in January 1994, moved in February 1994 and had both boys transferred, mid-year, from Glenwood Elementary to Blue Mountain Elementary, a school that was a short distance from their new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Telford Senior also recalled the events of 1999 when there was a further police investigation into Mr. Duff's activities. Mr. Telford Senior recalled that he and, in particular, his wife were very angry because nothing had been done earlier to address Mr. Duff's activities. He said that they had both spoken to the police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also important that in December 1999, Mr. Telford Senior and his wife made a compensation claim, on behalf of the Plaintiff, under the Crime Victim Assistance Program (the "1999 Compensation Claim"). In a decision dated March 8, 2000, the Plaintiff was awarded a modest amount for his pain and suffering (the "2000 Compensation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The Evidence of Mr. Labelle, Ms. Stuart and Mr. Ealey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foregoing individuals, each of whom was a student at Glenwood Elementary, albeit at different times, gave evidence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Labelle and the Plaintiff started at Glenwood Elementary together. They were best friends in those early school years; however, they lost touch with each other almost immediately when the Plaintiff and his family moved away from the area. Mr. Labelle started in kindergarten and completed his elementary schooling at Glenwood Elementary.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Labelle understood that Mrs. Telford had spoken to his mother and he remembered being told by his mother to keep away from Mr. Duff. He recalled seeing Mr. Duff at different times. He remembered seeing him on his own property. He saw Mr. Duff near the property line where there was a bike rack and where children would chain their bikes. This was likely his strongest memory of where he saw Mr. Duff. He also saw Mr. Duff talking to Mr. Sikora. He recalled Mr. Duff at the back field of the school. He could not recall how often... "Not all the time"... "Sometimes"... and "probably at lunch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said that Mr. Duff would roam around the school grounds talking to the school monitors and to schoolchildren. He accepted that it was hard to recall "timelines and frequencies". He had no recollection of Mr. Duff being a volunteer at the school or of his attending the Rainy Day Festival. He believed that he saw Mr. Duff at least once on Sports Day though there was no reference to when that might have been. He recalled the Plaintiff moving away and leaving Glenwood Elementary part way through the grade 3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Ealey and Ms. Stuart were not contemporaries of the Plaintiff at Glenwood Elementary. They started at the school several years later. Objection was taken to their giving any evidence on account of that evidence being irrelevant because of the different time frames in which the events the Plaintiff described took place and when Ms. Stuart and Mr. Ealey attended at Glenwood Elementary. The Defendants also argued that the evidence of Mr. Ealey and Ms. Stuart was in the nature of similar fact evidence. I did not agree with either of these submissions and admitted the evidence of both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did so largely on the basis that the evidence of these witnesses might shed light on whether the practices of the Defendant School District, in monitoring and safeguarding the grounds of Glenwood Elementary, had changed in the years after the Plaintiff had moved away from the school. Such evidence, though not an admission of liability, can be used to address the steps that a defendant has taken to reduce risk. It might also be a factor in considering whether the school's practices from 1991 to 1993, were sufficient to keep the school's property reasonably safe for its students; see </w:t>
      </w:r>
      <w:r>
        <w:rPr>
          <w:rFonts w:ascii="arial" w:eastAsia="arial" w:hAnsi="arial" w:cs="arial"/>
          <w:i/>
          <w:color w:val="000000"/>
          <w:sz w:val="20"/>
          <w:lang w:val="en-US" w:eastAsia="en-US" w:bidi="ar-SA"/>
        </w:rPr>
        <w:t>Anderson (Guardian ad litem of) v. Erickson (B.C.C.A.)</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(1993), 71 B.C.L.R. (2d) 68</w:t>
        </w:r>
      </w:hyperlink>
      <w:r>
        <w:rPr>
          <w:rFonts w:ascii="arial" w:eastAsia="arial" w:hAnsi="arial" w:cs="arial"/>
          <w:color w:val="000000"/>
          <w:sz w:val="20"/>
          <w:lang w:val="en-US" w:eastAsia="en-US" w:bidi="ar-SA"/>
        </w:rPr>
        <w:t xml:space="preserve"> (C.A.) at paras. 2, 14, 16, 29, 31, 35; </w:t>
      </w:r>
      <w:r>
        <w:rPr>
          <w:rFonts w:ascii="arial" w:eastAsia="arial" w:hAnsi="arial" w:cs="arial"/>
          <w:i/>
          <w:color w:val="000000"/>
          <w:sz w:val="20"/>
          <w:lang w:val="en-US" w:eastAsia="en-US" w:bidi="ar-SA"/>
        </w:rPr>
        <w:t>Sandhu (Litigation Guardian of) v. Wellington Place Apartments</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2008 ONCA 215</w:t>
        </w:r>
      </w:hyperlink>
      <w:r>
        <w:rPr>
          <w:rFonts w:ascii="arial" w:eastAsia="arial" w:hAnsi="arial" w:cs="arial"/>
          <w:color w:val="000000"/>
          <w:sz w:val="20"/>
          <w:lang w:val="en-US" w:eastAsia="en-US" w:bidi="ar-SA"/>
        </w:rPr>
        <w:t xml:space="preserve"> at paras. 60-61; and </w:t>
      </w:r>
      <w:r>
        <w:rPr>
          <w:rFonts w:ascii="arial" w:eastAsia="arial" w:hAnsi="arial" w:cs="arial"/>
          <w:i/>
          <w:color w:val="000000"/>
          <w:sz w:val="20"/>
          <w:lang w:val="en-US" w:eastAsia="en-US" w:bidi="ar-SA"/>
        </w:rPr>
        <w:t>Cahoon v. Wendy's Restaurants of Canada Inc.</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2000 BCSC 629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Ealey began to attend Glenwood Elementary in kindergarten and he was there from 1996 to 2000. He recalled that over the lunch hour the school grounds were supervised by monitors with only the odd teacher being outside. He described the school grounds, how those grounds could be accessed, what areas were treed or had bushes and where "Pete the Bum" would sometimes live. He recalled that Mr. Sikora was the principal until he was in grade 3 and that Mr. Yep then became the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knew Mr. Duff, who he said he knew as "Joe the pedophile", from the time that he started school. His mother and brother had told him to stay away from Mr. Duff. He would see Mr. Duff on the school grounds, over the lunch hour, two to three times a week and perhaps more often. Mr. Duff would walk along the fence and interact with children handing out candy to the children and being "friendly". He described Mr. Duff as a "kind of celebrity". Teachers and supervisors knew him and would greet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Duff would also be in the area where children would chain their bikes near the front of the school and near Mr. Duff's home. This generally occurred after school and Mr. Duff would stand at or near the entrance to the school. Mr. Duff would offer to pump up the tires on children's bikes, give them candy and he would be friendly. Mr. Ealey recalled seeing Mr. Duff at the Rainy Day Festival one year. He said that Mr. Duff gave children, including Mr. Ealey, candy all the time. When Mr. Ealey was on his way home from school, Mr. Duff would sometimes have Mr. Ealey reach into his pants pocket for spare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Stuart was a student at Glenwood Elementary from the time that she was in kindergarten until grade 5 or from 1996 to 2001. She recalled Mr. Sikora being the principal of the school from when she was in kindergarten to when she was in grade 2 (1996-1999). She recalled that at lunch hour and recess, there were sometimes teachers on the school grounds but that the students were primarily overseen by monitors or supervisors. She had a particular memory of a male supervisor with a Scottish accent who had red hair in a ponytail.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Stuart said that she saw Mr. Duff once or twice a week on the Playground or the school's field. He would offer one of Ms. Stuart's friends, Chelsea, maple candies. In grade 1, this would often occur when they were playing on the swings. In grades 1, 2 and 3, it would also happen elsewhere on the Playground. Once Mr. Duff tried to give Chelsea a five dollar bill. She said that she often saw Mr. Duff walking across the field, or on the Playground, and he would talk to her and offer her candies.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These behaviours bothered Ms. Stuart and Chelsea and they reported Mr. Duff's conduct to two different monitors who then brushed them off. They went to the Principal's or Vice Principal's office and spoke to a secretary who told them to walk away if Mr. Duff made them feel uncomfortable but who did not respond further to their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Stuart also said that in grade 3, she and Chelsea tried to speak to Mr. Yep, the then principal, on three different occasions about Mr. Duff. They wanted to do so because Mr. Duff was offering them candy and because he refused to take "no" for an answer. Mr. Yep was not available and the secretary told them to leave. Ms. Stuart said that she told the secretary she spoke to that she had a piece of paper from the police which she described, during her cross-examination, as a kind of restraining order that related to Mr. Duff and that required him to keep away from Chelsea and off of the school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Stuart and Chelsea then complained to the red-haired monitor with the Scottish accent who, in turn, spoke to Mr. Duff. Ms. Stuart said that after this time Mr. Duff was not seen around as much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Stuart also gave detailed evidence of seeing Mr. Duff at one of the Rainy Day Festival events and she described what he was doing at the time.</w:t>
      </w:r>
      <w:r>
        <w:rPr>
          <w:rFonts w:ascii="arial" w:eastAsia="arial" w:hAnsi="arial" w:cs="arial"/>
          <w:sz w:val="20"/>
          <w:lang w:val="en-US" w:eastAsia="en-US" w:bidi="ar-SA"/>
        </w:rPr>
        <w:cr/>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Mr. Olsen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Olsen, a naturopath, regularly saw the Plaintiff, as a patient, from late 1989 to 2000. Over this time, Mr. Olsen saw the Plaintiff for various difficulties. Mr. Olsen confirmed, based on his records, that the Plaintiff continued to wet his bed through much of 1990 and into 1991 or when he was five years old. His mother was concerned about his lack of concentration, his tantrums, his aggression, and his being "whiny". Mrs. Telford was also concerned about his destructiveness. For example, he had damaged his mother's car. He was fearful of being alone and of the dark. He had bad dreams. Mr. Olsen accepted that these behaviours were atypical for a healthy child. All of these behaviours were ongoing before the Plaintiff started kindergarten. Mr. Olsen identified a note, made in September 1991, where Mrs. Telford told him that the Plaintiff had reported sexual abuse to her that had continued, at that time, for about a year. He also accepted that the Plaintiff had had behavioural disorders that continued for as long as he cared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These difficulties, or some of them, as well as other problems continued for years. The Plaintiff was aggressive and fearful. He had nightmares. He overate. He could not, for a period of time, control his bowels. He struggled to concentrate at school. Mr. Olsen said that aspects of the Plaintiff's difficulties were very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his direct evidence, Mr. Olsen testified, based on his own memory and with reference to a note, that Mrs. Telford told him, in early 1994, that the family had decided to move from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 am aware that the weight of authority militates against admitting statements, drawn from clinical notes and records, that are made to doctors or counsellors for the truth of their contents;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22-39; </w:t>
      </w:r>
      <w:r>
        <w:rPr>
          <w:rFonts w:ascii="arial" w:eastAsia="arial" w:hAnsi="arial" w:cs="arial"/>
          <w:i/>
          <w:color w:val="000000"/>
          <w:sz w:val="20"/>
          <w:lang w:val="en-US" w:eastAsia="en-US" w:bidi="ar-SA"/>
        </w:rPr>
        <w:t>Cambie Surgeries Corp. v. British Columbia (Attorney General)</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2016 BCSC 1896</w:t>
        </w:r>
      </w:hyperlink>
      <w:r>
        <w:rPr>
          <w:rFonts w:ascii="arial" w:eastAsia="arial" w:hAnsi="arial" w:cs="arial"/>
          <w:color w:val="000000"/>
          <w:sz w:val="20"/>
          <w:lang w:val="en-US" w:eastAsia="en-US" w:bidi="ar-SA"/>
        </w:rPr>
        <w:t xml:space="preserve"> at paras. 9-10. In this case, the matter is further complicated by the fact that the statements about the Plaintiff having been sexually abused, that were made to Mr. Olsen, were made by Mrs. Telford rather than by the Plaintiff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Still further and importantly, Mr. Olsen accepted, in his cross-examination, that various notes he had made at the time, for example in December 1992, in January 1994 and, importantly, in February 1994, all of which refer to abuse, could all have referred to the abuse that Mrs. Telford had reported to him in September 1991 and not thereafter. I say the February 1994 note is important because it is at this time that Mr. Olsen says that he was told by Mrs. Telford that the family had decided to move from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Adduced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witnesses of the Defendants fell into four broad groups. The first such group consisted of individuals who were either principals, vice principals or teachers at Glenwood Elementary at some point in time between 1991 to 1994 and 1996 to 2000, including:</w:t>
      </w:r>
      <w:r>
        <w:rPr>
          <w:rFonts w:ascii="arial" w:eastAsia="arial" w:hAnsi="arial" w:cs="arial"/>
          <w:sz w:val="20"/>
          <w:lang w:val="en-US" w:eastAsia="en-US" w:bidi="ar-SA"/>
        </w:rPr>
        <w:cr/>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Hird-Rutter, the Vice Principal from 1991 to 1995;</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Bodman, the Vice Principal from 1996 to 2000;</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Yep, the Principal from 1995 to 2001; and</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Miss Flumerfelt, a teacher at Glenwood Elementary from 1981 to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second group consisted of individuals who are involved in the Glenwood Elementary School Parent Advisory Council ("PAC"). This included each of Ms. Murray, Ms. Braidwood and Ms. Puchalski, all of whom were involved with the PAC from 1991 to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third group consisted of individuals who had been hired by the School District to monitor or supervise the students at Glenwood Elementary over the lunch hour. Though teachers oversaw and supervised recess breaks, they did not generally do so over the lunch or noon hour. This group of noon hour monitors included:</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Denison, a noon hour supervisor at Glenwood Elementary from 1998 to 2009;</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Weisberger, a noon hour supervisor from 1998 to 2000;</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Sheppard, a noon hour supervisor from 1991 to 1998; and</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Stewart a noon hour supervisor from the fall of 1993 until December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At different times, these monitors wore vests and had walkie talkies. At times, there were three such monitors and at other times, there were four. At all times, the monitors were placed in different parts of the areas that students played in over the lunch hour and they circulated among the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fourth group included individuals who had been asked to undertake a review of various school records within the School District. This was done to comply with the Defendants' disclosure obligations, to advance aspects of the Defendants' case and to establish that the evidence given by various witnesses for the Plaintiff was, on an objective basis, inaccurate and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This last group included Mr. Streiling, a former principal who had worked in the School District from 1988 to October 2017. Mr. Streiling was hired by the School District to search for any materials or records that were relevant to this litigation. This group further included Ms. McLachlan, the current coordinator of Student Information Systems for the School District and Mr. Williams, the current Information Systems Manager for the School District. Ms. McLachlan and Mr. Williams gave evidence in relation to certain school records that I will return to and that addressed which elementary school the Plaintiff and Matthew attended during the 1993 and 1994 school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Weighing the Evidence of the Plaintiff and of the Witnesses Called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have considered the evidence of the Plaintiff, and of the key witnesses called on behalf of the Plaintiff, in different ways. I have first addressed the evidence of these witnesses separately and weighed the reliability and credibility of that witness. I have done so, where possible, as against that witness's earlier sworn evidence and against the records that still exist in relation to the events that occurred at the time. I have then addressed various concerns that arise in relation to several broad themes that arise from the Plaintiff's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are numerous bodies of evidence and means by which to test the Plaintiff's evidence. Many of the inconsistencies in the evidence of the Plaintiff are not terribly meaningful and are likely the product of the passage of time and of the Plaintiff's young age at the time of the events in question. The Plaintiff did not, for example, recall some significant construction at Glenwood Elementary, when he was in kindergarten or grade 1, that altered the front of the school and aspects of the physical layout that he described. The Plaintiff said that the lunch hour was supervised by teachers. This is clearly not so. That supervision was undertaken by noon hour monitors. This is something that all of the Plaintiff's other witnesses clearly recalled.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believed that the kindergarten day was longer than it actually was and that students had both recess and lunch at the school. This is only relevant because he recalled playing outside at recess and during the lunch hour in kindergarten when it appears, based on the whole of the evidence, that kindergarten children were not allowed outside at recess at least early in the year and they were dismissed before the lunch hour. This also calls into question aspects of the evidence the Plaintiff gave in relation to Mr. Duff's activities when he was in kindergarten.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Other difficulties with the Plaintiff's evidence are more significant and more troubling. The Plaintiff, in his direct evidence, described a single event of abuse by Mr. Duff that occurred in June 1991 or before he started school. He also suggested that he immediately reported this abuse to his mother. In his cross-examination, the Plaintiff admitted he had no memory of when this event had occurred but said that he had read somewhere that it had happened in June. More importantly, it seems clear from the police statements given by Mrs. Telford in 1991, and from the 1999 Compensation Claim, that there were several such events of abuse before the Plaintiff started school and that these events had likely occurred over a period of between six months to a year. It also appears that his mother was uncertain, early on, as to whether she should believe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is relevant that each of Dr. Koch and Dr. Elterman, the clinical and forensic psychologist retained by the Defendants, expressed some concern with the Plaintiff's responses to various forms of validity testing that he undertook. These tests, Dr. Koch said, indicated both a tendency to be defensive about admitting to personal faults as well as some exaggeration of emotional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Elterman opined that the Plaintiff "may not have answered in a completely forthright manner", and that "some concerns about distortion of the clinical picture can be raised as a result". He further opined that the Plaintiff presented with certain patterns or features that were "more common among individuals feigning mental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Both Dr. Koch and Dr. Elterman, however, were of the view that these concerns did not render their test results invalid but rather gave rise to some need for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also appears to have described the details of his abuse to Dr. Koch in terms that were different from his evidence at trial. He told Dr. Koch that Mr. Duff began to abuse him before kindergarten and that that abuse continued for about two years. His evidence at trial suggested that these events occurred over a longer period of time. He told Dr. Koch that he felt unable to tell any adult what was happening until about 1993 when he told his mother and the family then moved away. It is clear that he spoke to his mother in 1991. It is much less clear, for reasons that I will return to, that he reported any wrongdoing to his mother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Significantly, the report of Dr. Elterman, prepared only a few months before trial, states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explained to Mr. Telford that it is important that I have a sense of the severity and duration of sexual contact and also the frequency. Mr. Telford says that he is not sure and he knows that it went on until they moved. He estimates that it was between the age of 5 and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evidence of the Plaintiff at trial was, as I have earlier described, much more specific, precise and detailed. Indeed, Mr. Telford purported to be able, with some precision, to describe the sequence in which this abuse occurred, as well as its location, its frequency and its severity. I accept that it has often been difficult for the Plaintiff to describe Mr. Duff's abuse. Though this was particularly so when he was a child, it has remained difficult throughout his ongoing counselling. The report of Dr. Elterman, however, was prepared only a few months before the start of the trial, in a private setting, and in circumstances where the importance of being reasonably open had been explained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is significant that when the Plaintiff was interviewed by the police in 1999, at the age of 13, he described his earlier interaction with Mr. Duff in 1991. He gave no evidence or description whatsoever of any wrongdoing or abuse after that time. At trial he sought to explain that the police interview in 1999 was only directed to the events of 1991. I will again return to this but I consider it highly unlikely that if the police had been alerted to any wrongdoing by Mr. Duff, in relation to the Plaintiff from 1991 to 1993, that they would not have pursued or questioned the Plaintiff in relation to those further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also sought to explain his failure to tell the police about what he now says occurred during his kindergarten to grade 2 years at Glenwood Elementary by explaining that his 1999 interview with the police was traumatic. He said the police used graphic terms to describe his genitals. He said that he had been "bawling his eyes out" and that he was "crying and crying" during the interview. In his examination for discovery, the Plaintiff had described his interview with the police as a "30 minute conversation of me crying and them peppering me with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may be that these descriptions reflect the Plaintiff's memory of events. But the description is fundamentally inaccurate. At trial, an audiotape of the Plaintiff's 1999 interview with the police was made available and played in court. The police officer who interviewed the Plaintiff was solicitous and patient. The Plaintiff was responsive in the way a 13-year-old boy would be. Mr. Telford did not break down or cry at any point during the interview. This objective record shows how completely unreliable, for whatever reason, the Plaintiff's evidence was on a relevant and important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Plaintiff's mother also provided the police with a statement in 1999. That statement refers to her having gone to the police in 1991 and before the Plaintiff started kindergarten at Glenwood Elementary. It says nothing about her having done so in 1993 or 1994. In his cross-examination, the Plaintiff said that this was because his mother was only asked about the 1991 events. I do not accept this. It is inherently improbable. It is also unlikely that the Plaintiff would, at this point, have any such precise recollection.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Matthew's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There are significant difficulties with the evidence of Matthew. He was examined under oath, pursuant to court order, on January 31, 2018 or about 2 1/2 months before the start of the trial. At that time, he had limited memory of Mr. Duff or of Mr. Duff being present at Glenwood Elementary. At that time, he recalled Mr. Duff attending at a single Rainy Day Festival event. At that time, he had a memory of seeing Mr. Duff, speaking to adults, near the school fence that separated the school from Mr. Duff's property. He could not recall if he saw Mr. Duff at this location once or more than once. He had no memory of ever seeing Mr. Duff speaking to his brother while his brother attended at Glenwood Elementary.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At trial, Matthew testified that he saw Mr. Duff on the Glenwood Elementary grounds two to three times a week. He saw him at recess and at lunch. He saw him in the Playground area and around the basketball court "talking to kids". He recalled that his brother would be in the vicinity. He now also had a clear and precise memory of what Mr. Duff was doing at the Rainy Day Festival.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Matthew sought to explain the significant discrepancies in his evidence at trial with his earlier sworn evidence by saying that he had been shown a map of the school in his direct evidence that served as a "trigger" that brought back these various memories. I do not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Matthew also, as I said earlier, gave a statement to the police in 1999. He would have been 16 years old at the time. That statement makes no reference to his being aware of any incident or report to the police involving Mr. Duff from 1991 to 1993. That report does refer to a pre-kindergarten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Telford Senior's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view Mr. Telford Senior's evidence as I do the Plaintiff's. There are some inaccuracies in his evidence that are not particularly meaningful. There are others that are quite significant. Collectively, they serve to appreciably undermine the reliability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Telford Senior recalled that the Plaintiff went to a pre-school at Glenwood Elementary. On this basis, Mr. Telford Senior said even the events in 1991 and prior to the Plaintiff going to kindergarten were based on Mr. Duff "luring" the Plaintiff from the school's grounds to his home. It is clear from the evidence of multiple witnesses that there was never a pre-school at Glenwood Elementary.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Telford Senior's memory was that there were no issues with the Plaintiff's health and emotional well-being prior to his being abused by Mr. Duff in 1991. This is inconsistent with the records and evidence of Mr. Olsen. Similarly, his memory was that, though the Plaintiff had some concentration issues, there was really no difficulty with his performance at school. This too is inconsistent with the Plaintiff's academic records. The Plaintiff struggled significantly at most times. He changed schools repeatedly. In several years, he missed 30 to nearly 40 days a year from school. These facts are further developed in the report of Dr. Koch.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Telford Senior's evidence in relation to his wife's actions in 1991, and to Mr. Sikora's response, are also not supported by the objective record. Mr. Telford Senior said that his wife went to Glenwood Elementary and to the police on the same day, and that Mr. Sikora, the principal, had told her that he wished she had not gone to the police. It is clear from the statement that Mrs. Telford gave to the police in 1991 that she went to the school first and that she did not speak to the police until at least a month later. Thus, Mr. Sikora could not have said what Mr. Telford Senior has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Importantly, Mr. Telford Senior testified at trial that, in 1993, upon learning that Mr. Duff's abuse of the Plaintiff had continued, his wife again spoke to the police. This is not entirely consistent with his evidence at his Examination for Discovery. That evidence was in relation to a hand written notation, from 1993, that he found in one of his day timers. At that examination, Mr. Telford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176 Q Yes.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All I can say on this is that I saw that there and the file number and I realized that it was, you know, getting on in 1993 and we moved at the beginning of the 1994, so I assumed that this had something to do with the case. I don't know for sure or not, but I picked that out because of the fact there was a file number, the constable's name is there, and it's getting near the end of 1993, so I sort of filled in the basis. But I can't say for sure that that has to do with the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177 Q All right. And was it that entry that made you think that there was a report in 1993 to the police?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Well, when I looked at that, yeah. At the point that I looked at that, yeah. Because when I looked at that, I didn't remember -- I wasn't remembering back or, you know, all the things that happened in 1993, so I looked at that and I said, well, that may have something to do with it, so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178 Q So let me ask it again, Mr. Telford: You were asked to look through records for information relating to this lawsuit, is that correct, at some point?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volunteered. I just thought it might be a good idea to check the history from 1991 right on to even 1999, because I collect -- my whole life is in these daytimers, everything I do. So when I saw that, I thought hmm, this might be something to do with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 Q And was it that entry from May 26th, 1993, about Cst. Ruyssen and the file number, that triggered a recollection that you or your wife contacted the police in 1993?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Triggered a recollection.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Q Prior to seeing that entry in your daytimer, did you recall reporting in 1993 continuation of the abuse by Mr. Duff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No. Actually, probably when I saw, I did not recall.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Q Until you saw that entry?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Well, I saw that entry and I thought, well, there may have been a meeting with the police at that time, in looking at that entry, because of the timing.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Subsequent correspondence from the police, in response to a request by counsel for the Plaintiff for files or reports from 1993, confirms that the file number Mr. Telford Senior found in his day timer is not referable to any file the police would have kept.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At his Examination for Discovery Mr. Telford Senior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161 Q Did he tell you when it was happening? In the daytime or after school or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No, I don't recall when.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162 Q Okay. And what did you do?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went to my wife and said that's it, we're out of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163 Q Did you do anything else?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164 Q Did you go to the police?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165 Q Why not?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Just a second. 1993 -- wait a minute. Yes, there was a discussion with the police. There was a discussion with the -- sorry, there was a discussion with the police. And we basically went over the same grounds all over again and that it was still continuing, and they said they would do an investigation. That's what I remember.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166 Q So who contacted the police in 1993?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can't honestly say who. I can't remember who aside from my wife.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167 Q Did you speak to the police at all in 1993?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1993? No, my wife, if I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Telford Senior, in his direct evidence, suggested that he and his wife went to see the police together. That evidence is inconsistent with the foregoing excerpt from his examination for discovery. In his cross-examination, however, Mr. Telford Senior said that only his wife had spoken to the police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This evidence from Mr. Telford Senior's examination for discovery is also inconsistent with his evidence at trial that both he and his wife went to speak to Mr. Sikora in the latter part of 1993. Mr. Telford Senior had also provided a statement dated October 18, 2017 in connection with the Defendants seeking to examine him. Mr. Telford Senior accepted that he had tried to describe events as he recalled them. That October 18, 2018 statement made no reference to Mr. Telford Senior or to his wife meeting with Mr. Sikora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1999 Compensation Claim, which was completed by Mr. Telford Senior and his wife, makes no reference to their complaints to the school in 1993 or to either of them speaking to the police. Indeed, it makes no reference at all to any event involving the Plaintiff and Mr. Duff after the Plaintiff started school in September 1991.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 from the Other Witnesses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Further difficulties exist with the reliability of the evidence of other witnesses who gave evidence in the Plaintiff's case. I have focussed on the evidence of one of these witnesses as illustrative of the concerns that exist with the evidence of these witnesses generally - most of whom were young children at the time of these events. I have focussed on the evidence of Ms. Stuart because she gave specific, detailed and unequivocal evidence in relation to numerous matters. Based on the whole of the evidence and, in particular, various objective records, Ms. Stuart was simply mistaken, in numerous respects, in what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Stuart testified that Mr. Sikora was the principal when she was at Glenwood Elementary from kindergarten to grade 2 (1996 to 1999). This is clearly wrong. Based on the evidence of the Defendants' witnesses and, in particular, the School District's records, Mr. Sikora left Glenwood Elementary at the end of the 1995 school year and before Ms. Stuart ever went to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Stuart testified, at several points, that her friend Chelsea left Glenwood Elementary at the end of grade 3 or in June 2000. The relevant School District records established, however, that Chelsea was no longer at Glenwood Elementary as of September 1999. This is relevant in a further respect. Ms. Stuart testified that after she and Chelsea complained, to no effect, to the school about Mr. Duff bothering Chelsea, they complained to a red haired male noon hour supervisor who had a Scottish accent. It is clear from the evidence of several witnesses that that distinctive gentleman was named Mr. Waterston.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documents produced by the School District, and the evidence of witnesses who knew Mr. Waterston, establish that Mr. Waterston only began working as a noon hour supervisor at Glenwood Elementary in December 2000. At that point, Chelsea was no longer at Glenwood Elementary and she and Ms. Stuart could not have complained to Mr. Waterston about Mr. Duff. Furthermore, in September 1999, the staff at Glenwood Elementary had been apprised by the police about a concern with Mr. Duff and had sent out a letter to the parents of students at the school alerting them to this concern. It seems clear, based on the evidence of several witnesses, that after this occurred, Mr. Duff was not seen at the school or indeed in the neighbourhood. The evidence Ms. Stuart gave about her interaction with Chelsea, and with Mr. Waterston, is simply mistaken in several further respects. In September 1999, Chelsea was no longer a student at the school. In September 1999, Mr. Waterston had not yet started to work as a noon hour supervisor at the school. After September 1999, Mr. Duff was no longer seen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a similar vein, Ms. Stuart testified that when she and Chelsea went to complain to a school secretary about Mr. Duff, she told the secretary that she had a piece of paper from the police that she later described as a sort of restraining order. That evidence only makes sense if it relates to the period after the police investigation in September 1999 at which time, again, Chelsea was no longer at Glenwood Elementary and Mr. Duff was no longer seen in the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distinction between credibility and reliability is well illustrated in the evidence of Ms. Stuart. I am satisfied that she endeavoured to be forthright. Her evidence, in numerous material respects, was, however, clearly mistaken and unreliable. The extent of that unreliability necessarily informs other aspects of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Weighing the Evidence of the Defendants'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issues that arise from the evidence of the various witnesses called by the Defendants are quite different. There were, inevitably, some witnesses who recalled matters differently or who were mistaken in their recollection. Some, for example, only recalled one or the other of the entrances, through the fence, on the east and south of the school. Some recalled the homeless gentleman called "Pete the Bum" near the school grounds. Others did not. Others recalled seeing him elsewhere in the community where, apparently, he continues to reside to this day. Some witnesses recalled Mr. Duff. Others did not. Some recalled seeing Mr. Duff in front of his house and some recalled speaking to him near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These differences are of relatively little consequence. What is absolutely consistent in the evidence of the Defendants' witnesses, however, was that no one recalled ever seeing him on the school's grounds or near the students of Glenwood Elementary during school hours. It is this central issue that is important and that gives rise to one of the central difficulties with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Further Difficulties with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There are three further broad concerns that emerge in relation to the evidence that was called on behalf of the Plaintiff.</w:t>
      </w:r>
      <w:r>
        <w:rPr>
          <w:rFonts w:ascii="arial" w:eastAsia="arial" w:hAnsi="arial" w:cs="arial"/>
          <w:sz w:val="20"/>
          <w:lang w:val="en-US" w:eastAsia="en-US" w:bidi="ar-SA"/>
        </w:rPr>
        <w:cr/>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Frequency with which Mr. Duff is Alleged to have been on School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have said that the Plaintiff and his brother reported seeing Mr. Duff, from 1991 to 1993, on the Glenwood Elementary grounds during the school day and about two to three times a week. This occurred on the Playground and on the school fields. Mr. Duff would speak to children, hand out candy and give them money. The Plaintiff also said that Mr. Duff repeatedly led him off of the school grounds and either into the bushes to the south or back to his home. Mr. Labelle's evidence was more equivocal and he primarily placed Mr. Duff in the front of the school near the fence where children often locked their bikes. That fence separated Mr. Duff's house from the school's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Stuart and Mr. Ealey testified that Mr. Duff continued to be on the school grounds, two to three times a week, from 1996 to 1999. They testified that, throughout this period, he would speak to children and give them candy, and sometimes money, during the lunch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Thus, a dominant theme of the Plaintiff's case was that Mr. Duff had ongoing and unhindered access to the Glenwood Elementary grounds and to its student population during recess, the lunch hour and on special school events. This is said to have occurred for almost a decade. Furthermore, the Plaintiff's case is not based on a lapse or error on the part of the Defendants. Instead, it is based on a systemic and ongoing indifference by the school principal, teachers and monitors to the presence of an adult male among the student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This is to be compared with the evidence of the Defendants. The various noon hour supervisors, without exception, give evidence that no adults were allowed on the school grounds or near the students. At all times, there were 3 to 4 such supervisors who circulated and oversaw different parts of the school grounds. Even parents were required to go to the school administration office to report in before they could pick up their children and leave school with them. While I accept that from time to time some adult may have come on to the school's grounds through one of the gates I have described, I do not accept that such individuals were permitted to interact with the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addition, teachers oversaw the Playground and the fields during the recess break. Ms. Hird-Rutter, the Vice Principal at Glenwood Elementary from 1991 to 1995, said that she was typically outside, supervising students, three times a week during both recess and the lunch hour. Mr. Bodman, the Vice Principal at Glenwood Elementary from 1996 to 2000, said that he was outside during the lunch hour on virtually every day unless he had a meeting. None of these witnesses, some of whom knew Mr. Duff, ever saw Mr. Duff or an older man interacting with children or giving them candy or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accept the evidence of the Defendants. It is almost inconceivable that a group of adults, who were charged with protecting and overseeing the safety of kindergarten and elementary school children, would allow an unknown adult to routinely, indeed on a near daily basis, walk among, talk to and distribute candies or money to children all while on school property. In the case of the Plaintiff, these same individuals would have repeatedly allowed an older man to lead a child off of school property in any one of several directions. To the extent, for example, that Mr. Ealey suggested that Mr. Duff regularly spoke to teachers and supervisors and that he was a "celebrity" of sorts, it is hard to imagine that not one of the Defendants' witnesses would now recall his presence in or on the school's grounds. A number of the Defendants' witnesses expressly addressed the allegation, made by the Plaintiff and several of his witnesses, that Mr. Duff roamed around the school's property during recess and the lunch hour, talking to children and handing out candies. Without exception, they denied that that could have occurred much less that it occurred in an unregulated way and on an ongoing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Furthermore, the uniform evidence of the PAC witnesses was that they had either parents or teachers, rather than random members of the public, help out at the Rainy Day Festival or Sports Day events. I accept that evidence. I do not accept that Mr. Duff served as an authorized volunteer at these events. I do not say that Mr. Duff may not have gone to one or both of these events at times. Both of these events would have been attended by many parents and other adult family members. I do not accept, however, that the Plaintiff was sexually assaulted by Mr. Duff at either of these events. This conclusion arises as a result of the frailties in the evidence of the Plaintiff and the other witnesses he called and on account of my conclusions in relation to the other aspects of the Plaintiff's case.</w:t>
      </w:r>
      <w:r>
        <w:rPr>
          <w:rFonts w:ascii="arial" w:eastAsia="arial" w:hAnsi="arial" w:cs="arial"/>
          <w:sz w:val="20"/>
          <w:lang w:val="en-US" w:eastAsia="en-US" w:bidi="ar-SA"/>
        </w:rPr>
        <w:cr/>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Absence of any Objective Record that Relates to any Conduct on the Part of Mr. Duff or to any Complaint by the Plaintiff from 1991 to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When Mrs. Telford reported her concerns to the police in 1991, the matter was immediately investigated. The record of her initial call to the police was available at trial. The police thereafter spoke to Mrs. Telford and the notes of that interview were also available at trial. The police also spoke to Mr. Duff and to the Plaintiff at the time. This is apparent from a written log, which recorded various activities by date and time. A similar log also addressed various matters that occurred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Defendants sought to admit these police records as a business records exception to the hearsay rule. In </w:t>
      </w:r>
      <w:r>
        <w:rPr>
          <w:rFonts w:ascii="arial" w:eastAsia="arial" w:hAnsi="arial" w:cs="arial"/>
          <w:i/>
          <w:color w:val="000000"/>
          <w:sz w:val="20"/>
          <w:lang w:val="en-US" w:eastAsia="en-US" w:bidi="ar-SA"/>
        </w:rPr>
        <w:t>Schaeffer v. Woods</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2013 SCC 71</w:t>
        </w:r>
      </w:hyperlink>
      <w:r>
        <w:rPr>
          <w:rFonts w:ascii="arial" w:eastAsia="arial" w:hAnsi="arial" w:cs="arial"/>
          <w:color w:val="000000"/>
          <w:sz w:val="20"/>
          <w:lang w:val="en-US" w:eastAsia="en-US" w:bidi="ar-SA"/>
        </w:rPr>
        <w:t xml:space="preserve">, Justice Moldaver, at para. 63, identified a duty on police officers to make notes "on the events that transpire during the officer's tour of duty". Justice Frankel, in </w:t>
      </w:r>
      <w:r>
        <w:rPr>
          <w:rFonts w:ascii="arial" w:eastAsia="arial" w:hAnsi="arial" w:cs="arial"/>
          <w:i/>
          <w:color w:val="000000"/>
          <w:sz w:val="20"/>
          <w:lang w:val="en-US" w:eastAsia="en-US" w:bidi="ar-SA"/>
        </w:rPr>
        <w:t>R. v. Lotfy</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2017 BCCA 418</w:t>
        </w:r>
      </w:hyperlink>
      <w:r>
        <w:rPr>
          <w:rFonts w:ascii="arial" w:eastAsia="arial" w:hAnsi="arial" w:cs="arial"/>
          <w:color w:val="000000"/>
          <w:sz w:val="20"/>
          <w:lang w:val="en-US" w:eastAsia="en-US" w:bidi="ar-SA"/>
        </w:rPr>
        <w:t xml:space="preserve"> accepted, at para. 48, that police officers have an obligation to make notes, although he questioned whether there was a "positive" legal duty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do not, however, consider that it is necessary for me to deal with whether the police records in question are admissible under the business records exception because I do not consider that these records constitute hearsay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A defining features of hearsay evidence is the fact that the out-of-court statement is adduced to prove the truth of its contents: see </w:t>
      </w:r>
      <w:r>
        <w:rPr>
          <w:rFonts w:ascii="arial" w:eastAsia="arial" w:hAnsi="arial" w:cs="arial"/>
          <w:i/>
          <w:color w:val="000000"/>
          <w:sz w:val="20"/>
          <w:lang w:val="en-US" w:eastAsia="en-US" w:bidi="ar-SA"/>
        </w:rPr>
        <w:t>R. v. Khelawon</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2006 SCC 57</w:t>
        </w:r>
      </w:hyperlink>
      <w:r>
        <w:rPr>
          <w:rFonts w:ascii="arial" w:eastAsia="arial" w:hAnsi="arial" w:cs="arial"/>
          <w:color w:val="000000"/>
          <w:sz w:val="20"/>
          <w:lang w:val="en-US" w:eastAsia="en-US" w:bidi="ar-SA"/>
        </w:rPr>
        <w:t xml:space="preserve"> at para. 35. The police logs or records before me are not being used to establish the truth of their contents. Instead they are relevant simply because the records themselves were made. When an out-of-court statement is relevant to an issue apart from its truth, it is tendered for a non-hearsay purpose and it is admissible for that limited purpose: see </w:t>
      </w:r>
      <w:r>
        <w:rPr>
          <w:rFonts w:ascii="arial" w:eastAsia="arial" w:hAnsi="arial" w:cs="arial"/>
          <w:i/>
          <w:color w:val="000000"/>
          <w:sz w:val="20"/>
          <w:lang w:val="en-US" w:eastAsia="en-US" w:bidi="ar-SA"/>
        </w:rPr>
        <w:t>Alan W. Bryant, The Law of Evidence in Canada, 3rd ed</w:t>
      </w:r>
      <w:r>
        <w:rPr>
          <w:rFonts w:ascii="arial" w:eastAsia="arial" w:hAnsi="arial" w:cs="arial"/>
          <w:color w:val="000000"/>
          <w:sz w:val="20"/>
          <w:lang w:val="en-US" w:eastAsia="en-US" w:bidi="ar-SA"/>
        </w:rPr>
        <w:t xml:space="preserve">. (Markham, Ontario: LexisNexis Canada Inc., 2009 at 6.29) and </w:t>
      </w:r>
      <w:r>
        <w:rPr>
          <w:rFonts w:ascii="arial" w:eastAsia="arial" w:hAnsi="arial" w:cs="arial"/>
          <w:i/>
          <w:color w:val="000000"/>
          <w:sz w:val="20"/>
          <w:lang w:val="en-US" w:eastAsia="en-US" w:bidi="ar-SA"/>
        </w:rPr>
        <w:t>Khelawon</w:t>
      </w:r>
      <w:r>
        <w:rPr>
          <w:rFonts w:ascii="arial" w:eastAsia="arial" w:hAnsi="arial" w:cs="arial"/>
          <w:color w:val="000000"/>
          <w:sz w:val="20"/>
          <w:lang w:val="en-US" w:eastAsia="en-US" w:bidi="ar-SA"/>
        </w:rPr>
        <w:t xml:space="preserve"> at para. 36. Accordingly, I consider it appropriate to admit these police records or logs to establish that the entries in them were made and not for the truth of those entries. If I am mistaken in this I would nevertheless arrive at the same central conclusions based on the statements that were given by each of Mrs. Telford and the Plaintiff and various other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When concerns about Mr. Duff resurfaced in 1999, the police again contacted Mrs. Telford and obtained a statement from her. They further obtained the statement and audio recording from the Plaintiff to which I have referred. They obtained a statement from Matthew. These statements were, again, available at trial and were admitted into evidence. Finally, the 1999 Compensation Claim that was filed by Mr. Telford Senior and his wife was available to me. So too was the 2000 Compensation Decision that was made in relation to the Plaintiff's 1999 Compensation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There are, however, no records of any kind of the Telford family making any complaint to the police in 1993. I was provided, as I said earlier, with a letter from the police written in response to a request for counsel for the Plaintiff for any 1993 records. That letter indicated that such 1993 records might have been destroyed. That same letter also indicated, however, that the file number used by counsel to make the request was not a number that would have been used by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Several related concerns arise from these various police records. First, again, there is no 1993 police file. This is to be compared with the existence of police records and statements for both the 1991 and the 1999 events or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Second, there is no reference in any of the 1999 police records to any issue being raised by the Telford family in 1993. Those same 1999 records do refer to Mrs. Telford's earlier 1991 report to the police and to the ensuing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Third, neither Mrs. Telford's 1999 statement nor the Plaintiff's statement make any reference to any events between 1991 and 1993. This is relevant in two respects. First, if there had been any record, in 1999, of a complaint having been made in 1993, the police would surely have raised that matter in these interviews. Second, it is very hard to imagine that Mrs. Telford would not have independently raised a second set of events and concerns that arose between 1991 and 1993. She is said to have been angry because the police had done nothing when she first reported the matter to them and because it appeared that Mr. Duff had since molested other children. In her 1999 interview, she speaks about her 1991 complaint. Surely she would have said "I made two separate complaints and you did nothing on either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To a lesser extent, this would also be true of the Plaintiff who was 13 years old at the time of his interview. I say "to a lesser extent" only because I accept the Plaintiff would have been reticent to speak about what Mr. Duff had done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Fourth, counsel for the Plaintiff sought to argue that the police failed to conduct an investigation in 1993. This too seems unlikely. The police moved swiftly and thoroughly to address Mrs. Telford's concerns in 1991, even though Mrs. Telford's 1991 statements express some concern that the Plaintiff may have been mistaken or not honest about his complaint about Mr. Duff. There is no reason that the police would not have moved equally quickly if Mrs. Telford came to the police in 1993 and complained of ongoing abuse over the previous two to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Finally, though this consideration stands in a somewhat different footing, it does not appear that anyone at Glenwood Elementary was aware of any concern in relation to Mr. Duff or his activities before 1999. Had Mr. and Mrs. Telford told Mr. Sikora in 1993 that their son had been repeatedly abused during school hours, and while on school grounds, it seems likely that Mr. Sikora would have taken some action. He was a respected and senior principal. He was described by another witness as a "by the book" kind of person. Mr. Yep said he had an obligation and that he would "definitely" have contacted the R.C.M.P. and the Ministry if he had learned that Mr. Duff had touched a student. It is hard to imagine that Mr. Sikora would not have acted in a similar manner. Still further, it is hard to imagine that he would not at least have discussed the matter with his Vice-Principal, Ms. Hird-Rutter, if not with other teachers and lunchtime supervisors. It is equally unlikely that he would continue to allow Mr. Duff unimpeded access to the school's grounds and to a vulnerable student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Sikora's alleged response to being told that one of the students in the school had been abused for several years, during the school day and on school property, is to be contrasted to Mr. Yep's response in 1999. It is to be recalled that in 1999, the police raised a concern in relation to an individual who lived adjacent to the school. There was, however, no suggestion that anything had occurred on school property. Nevertheless, Mr. Yep said that he passed the information he received on to the Zone Supervisor, he wrote the letter I have referred to, and he discussed the matter with his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Based on the objective record that is available to me and the various considerations I have described, I do not accept that Mrs. Telford made a complaint to the police in 1993 or that Mr. and Mrs. Telford spoke to Mr. Sikora at that time and told him that Mr. Duff had been sexually molesting or assaulting the Plaintiff.</w:t>
      </w:r>
      <w:r>
        <w:rPr>
          <w:rFonts w:ascii="arial" w:eastAsia="arial" w:hAnsi="arial" w:cs="arial"/>
          <w:sz w:val="20"/>
          <w:lang w:val="en-US" w:eastAsia="en-US" w:bidi="ar-SA"/>
        </w:rPr>
        <w:cr/>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Change of School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There is one further element of the Plaintiff's case that is relevant. A central thesis of the Plaintiff's case was that the Telford family moved from their home and had the two Telford boys transferred out of Glenwood Elementary midway through the 1993/1994 school year. This was, Mr. Telford Senior testified, partly on account of the fact that he and his wife had become "quite vocal" about Mr. Duff and the school's handling of the matter and partly on account of the belief that neither the administrators and teachers at Glenwood Elementary nor the police would take any active steps to protect their son from Mr. Duff.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This evidence can be addressed and weighed in different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First, the Plaintiff led no evidence from any third party who confirmed that Mr. Telford Senior and his wife had become "quite vocal" about Mr. Duff's activities in the fall of 1993. Conversely, several of the Defendants' witnesses, who either worked at Glenwood Elementary or who had children at Glenwood Elementary in 1993, denied having any knowledge either of any wrongdoing by Mr. Duff or of any concern on the part of the Telford family in relation to the Plaintiff. I have said that the statements given to the police in 1999, as well as the balance of the 1999 police record that was in evidence, make no reference to any complaints or concerns in relation to the Plaintiff and to Mr. Duff in 1993. The same is true of the 1999 Compensation Claim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Second, other aspects of the objective and contemporaneous records are not consistent with the suggestion that the Plaintiff and Matthew were moved from Glenwood Elementary to Blue Mountain Elementary midway through the 1993/1994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To be sure, there were records which established that the Telford family sold their home by Glenwood Elementary in January 1994. There were further records which established that they purchased a new home in May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objective record, however, establishes that the Telford boys did not move from Glenwood Elementary at any time during the 1993/1994 academic year. This fact was established through various computer files and other records that were uncovered during the School District's search for relevant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Specifically, the School District located some old CDs in a vault. These CDs contained information from a program called Mac School. At the time, all of the schools in the School District, including Glenwood Elementary and Blue Mountain Elementary, tracked the presence of their students, on a day-to-day basis, within the school that they attended. At the end of the school year, each school would send a floppy disk of information, including information relating to each student's attendance, to the School District office. The person who, at that time, was the Student Information Systems Coordinator would then transfer the information from each floppy disk to his or her desktop computer. Once all the information had been transferred, the Student Information Systems Coordinator would burn a CD for that year containing all of the information from all of the schools. Significantly, the CDs that were created contained information that could only be read and that could not thereafter be altered.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These records, and this transfer of information, were the subject of relatively extensive evidence and cross-examination. I am satisfied, based on the whole of that evidence, with the authenticity and reliability of the School District's records and, in particular, with the specific records that relate to each of Glenwood Elementary and Blue Mountain Elementary for the 1993/1994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These various records establish, in multiple ways, that both the Telford boys were at Glenwood Elementary throughout the 1993/1994 school year. First, the 1993/1994 Glenwood Elementary records confirm that both boys were present at the school throughout the year. When students left the school, at some point during the year, their names appeared in a different font. The names of both Telford boys appeared in the regular font in the Glenwood Elementary records. Importantly, a sheet called the "Student Cumulative Register" tracked and recorded each student's attendance at the school on a daily basis. Thus, the "Student Cumulative Register" for each of the Plaintiff and Matthew shows exactly what days each of them missed school, while at Glenwood Elementary, in the 1993/1994 school year. These records track the attendance of both boys through to the conclusion of the school year in June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At the same time, the Mac School records for Blue Mountain Elementary have no record for either of the Telford boys at any time in the 1993/1994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Finally, a separate and central school record for the Plaintiff, called a Permanent School Record, tracked what school the Plaintiff attended and the year in which he did so from kindergarten to grade 12. The Plaintiff's Permanent School Record identified that the Plaintiff was at Glenwood Elementary throughout the 1993/1994 school year. That record also indicates that the Plaintiff began to attend Blue Mountain Elementary in September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This detailed and objective documentary record is to be compared with the evidence of each of the Plaintiff, Matthew and Mr. Telford Senior. Each of them testified that the Plaintiff and Matthew transferred schools mid-year in early 1994. This evidence was corroborated by Mr. Labelle, who had been the Plaintiff's childhood friend, and by Mr. Olsen, the Plaintiff's naturopath, who had a memory of Mrs. Telford telling him that the family was moving and who made a contemporaneous note that the family was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consider that each of these witnesses believed what they said in their evidence. I am satisfied, however, that each was mistaken. Perhaps they confused or conflated the Telford family selling their home and moving with the Telford boys transferring schools. I am satisfied, however, on the basis of the evidence I have referred to, that neither of the Telford boys were moved from Glenwood Elementary during the 1993/1994 academic year. That conclusion further undermines an important aspect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have discussed my concerns in relation to the specific evidence given by the Plaintiff and by various witnesses for the Plaintiff. I have explained why I do not accept broader aspects of the Plaintiff's case. I have also explained why I generally accept the evidence of the witnesses for the Defendants. Based on these conclusions, I do not consider that the Plaintiff has satisfied the burden of proof that rests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Specifically, I do not consider that the Plaintiff has established that he was sexually abused or assaulted at any time while he was a student at Glenwood Elementary and while he was in the care of the School District. I further do not consider that the Plaintiff has established either that the Defendants were negligent or that they breached any fiduciary obligation they owed him. Accordingly,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Absent there being facts of which I am unaware, the Defendants are to receive the costs of this action. If the parties wish to address the issue of costs further, they may contact the Registry and fix a date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3"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T.J.A. (Litigation guardian of) v. R.K.M., [2011] B.C.J. No. 1169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Maisonville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S-077766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820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 C.P.C. (7th) 154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1610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204 A.C.W.S. (3d) 263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T.J.A. by his Litigation Guardian S.J.A. and the said S.J.A., Plaintiffs, and R.K.M. and S.K.M.,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4"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2" w:name="Keywords_43"/>
      <w:bookmarkEnd w:id="282"/>
      <w:r>
        <w:rPr>
          <w:rFonts w:ascii="arial" w:eastAsia="arial" w:hAnsi="arial" w:cs="arial"/>
          <w:b/>
          <w:color w:val="000000"/>
          <w:sz w:val="20"/>
          <w:lang w:val="en-US" w:eastAsia="en-US" w:bidi="ar-SA"/>
        </w:rPr>
        <w:t>Civil litigation — Civil procedure — Pleadings — Amendment of — Statement of defence — Adding new defence — Application by defendants to amend statement of defence allowed — Plaintiff, age 10, sued defendants through his mother as litigation guardian, for damages for defamation — Defendant parents alleged plaintiff boy abused their daughter, age five — Defendant parents allegedly defamed boy to Ministry workers, police, school officials and government officials and members — Amendments sought to add defences of absolute and qualified privilege and truth — Proposed amendments were not complete surprise given prior motions — Plaintiffs granted leave to file reply and re-conduct discovery of defendant — British Columbia Supreme Court Civil Rules, Rule 6-1(1)(b)(i).</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Practice — Pleadings — Amending pleadings — Application by defendants to amend statement of defence allowed — Plaintiff, age 10, sued defendants through his mother as litigation guardian, for damages for defamation — Defendant parents alleged plaintiff boy abused their daughter, age five — Defendant parents allegedly defamed boy to Ministry workers, police, school officials and government officials and members — Amendments sought to add defences of absolute and qualified privilege and truth — Proposed amendments were not complete surprise given prior motions — Plaintiffs granted leave to file reply and re-conduct discovery of defendant — British Columbia Supreme Court Civil Rules, Rule 6-1(1)(b)(i).</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3" w:name="Case Summary_38"/>
            <w:bookmarkEnd w:id="2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RKM and SKM to amend their statement of defence. The plaintiff, TJA, through his mother as litigation guardian, sought general, special and punitive damages for defamation. The action arose from incidents alleged to have involved the plaintiff, age 10, abusing the daughter, age 5, of the defendants. The defendant parents were alleged to have defamed the plaintiff boy by publishing allegations to a social worker employed by the Ministry of Children and Family Services. An investigation ensued and the defendants were alleged to have repeated the allegations to police, other parents, school officials, and members of government. The action was initiated in November 2007 and a statement of defence was filed the following month. In November 2009, the plaintiff issued a notice of intention to proceed. In May 2010, the defendants sought to strike the claim and argued actual and qualified privilege. That application was dismissed. The plaintiff opposed the predicate application on the basis that the defendants sought to plead both absolute and qualified privilege and the defence of truth for the first time. The plaintiff submitted that the amendment would result in prejudice, as they had already conducted an examination for discovery of SKM on the basis of the pleadings as they stood. The trial was scheduled to commence in seven months' time.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4" w:name="Holdings of Court_32"/>
            <w:bookmarkEnd w:id="28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statement of defence as drafted contained reference to the defences of truth or actual or qualified privilege. As argued on the application to strike the claim, the plaintiff was not completely unaware that absolute and qualified privileges were defences that were contemplated. The availability of those defences was not determined by the previous application. The proposed amendments would enable the parties to focus on the relevant issues and facts. The amendments were allowed with leave to the plaintiff to file a reply within 30 days, leave to the plaintiff to re-conduct the examination for discovery of SKM, and costs thrown away to the plaintiff in respect of the previously conducted examination of SKM.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5" w:name="Legislation Cited_30"/>
      <w:bookmarkEnd w:id="2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5"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1-3, Rule 3-6, Rule 6-1(1)(b)(i), Rule 9-5(1)(a)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6" w:name="Counsel_43"/>
      <w:bookmarkEnd w:id="2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6"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Respondents: H.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Applicants: A. Mizrahi, A. Wade.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7" w:name="Judgment_43"/>
      <w:bookmarkEnd w:id="287"/>
      <w:r>
        <w:pict>
          <v:line id="_x0000_s1237"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8" w:name="M.A. MAISONVILLE J."/>
            <w:bookmarkEnd w:id="288"/>
            <w:r>
              <w:rPr>
                <w:rFonts w:ascii="arial" w:eastAsia="arial" w:hAnsi="arial" w:cs="arial"/>
                <w:b/>
                <w:color w:val="000000"/>
                <w:sz w:val="30"/>
                <w:lang w:val="en-US" w:eastAsia="en-US" w:bidi="ar-SA"/>
              </w:rPr>
              <w:t>M.A. MAISONVILLE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applicants ("defendants"), R.K.M. and S.K.M., apply to amend their statement of defence by filing a response to civil claim pursuant to Rule 6-1(1)(b)(i)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in force July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respondents ("plaintiffs") oppose the application arguing chiefly that the defendants seek to plead both absolute and qualified privilege for the first time. The 'amendment' is not merely an amendment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but rather an entire new document which conforms to the new Rules of Court. It also, however, raises new defences. It should be noted the defence of truth is additionally pleaded for the first time. It is argued permitting these, this amendment would result in prejudice to the respondents as they have already conducted the examination for discovery of S.K.M. on the basis of the pleadings as they stood and the trial is only seven months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 is in defamation. The plaintiff claims general, special and punitive damages as a consequence of the actions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It stems from incidents alleged to have involved a 10-year old boy who, it was alleged, sexually abused the 5-year old daughter of the applicants ("defendants"). It is claimed that the defendants subsequently defamed the boy. He is represented in this action by his mother who is his guardian </w:t>
      </w:r>
      <w:r>
        <w:rPr>
          <w:rFonts w:ascii="arial" w:eastAsia="arial" w:hAnsi="arial" w:cs="arial"/>
          <w:i/>
          <w:color w:val="000000"/>
          <w:sz w:val="20"/>
          <w:lang w:val="en-US" w:eastAsia="en-US" w:bidi="ar-SA"/>
        </w:rPr>
        <w:t>ad litem</w:t>
      </w:r>
      <w:r>
        <w:rPr>
          <w:rFonts w:ascii="arial" w:eastAsia="arial" w:hAnsi="arial" w:cs="arial"/>
          <w:color w:val="000000"/>
          <w:sz w:val="20"/>
          <w:lang w:val="en-US" w:eastAsia="en-US" w:bidi="ar-SA"/>
        </w:rPr>
        <w:t>. The young girl's parents are alleged to have defamed the plaintiff boy by publishing the allegations to Meena Dhillion, a social worker employed by the Ministry of Children and Family Services. Thereafter, an investigation was commenced by the Children and Family Services and the Delta Police Department and the defendants are alleged to have repeated the allegations to members of the Delta Police. It is also alleged that the defendants advised certain other parents, Scouts Canada, the Delta School District, Members of Parliament and a Member of the Legislative Assembly of the British Columbia, Gordon Campbell, then Premier of British Columbia, and Wally Oppal then Attorney General and Stan Hagen, then Minister of Children and Family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claim for damages for defamation was originally commenced November 19, 2007 with the filing of a writ of summons and statement of claim. The defendants filed a statement of defence on December 17, 2007. While lists of documents were exchanged, no further actions were taken until November 3, 2009 when the plaintiffs issued a notice of intention to proceed. On May 25, 2010, the defendants brought an application to strike the statement of claim on the basis that it disclosed no reasonable cause of action pursuant to Rule 9-5(1)(a). At the hearing of that application, the defendants argued actual and qualified privilege. Pearlman J. dismissed the defence application with costs in any event of the cost on July 30, 2010. Leave to appeal was refused by Low J.A on November 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statement of defence itself argued chiefly that the pleading of the plaintiffs did not contain the actual words nor the allegations of publications to any persons. While not strictly speaking a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statement of defence merely denying all, it did not contain reference to the defences of truth or actual or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application now, as noted, the defence seeks to add the defences of truth of the statements, denial with respect to particular to the statements made to the Government officials, and qualified and absolute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 OF THE RESPONDENT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respondent plaintiff argues that the issue of qualified and absolute privilege has already been considered in a matter in front of Mr. Justice Pearlman (Unreported, July 30, 2010, Vancouver Registry Docket S077766) which, as noted, was confirmed on a leave to appeal application brought before Mr. Justice Low. The decision of Mr. Justice Pearlman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defendants also submit, in the alternative, that the statements in issue are also protected by qualified privilege and were made in circumstances where persons of ordinary intelligence and moral principle, or the majority of right-minded persons would have considered it a duty to communicate the information to those to whom it was published.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As I understand the submissions of defendants' counsel, the defendants also take the position that privilege, whether absolute or qualified, would also extend to the communications made to neighbours on the basis that the defendants had a legitimate duty and interest to alert those individuals to potential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Pearlman J. noted the decision of Levine J.A. in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in which her Ladyship for the Court noted that qualified privilege, in the context of complaints made to bodies, applies provided the complaint is made to the correct professional body: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w:t>
      </w:r>
      <w:r>
        <w:rPr>
          <w:rFonts w:ascii="arial" w:eastAsia="arial" w:hAnsi="arial" w:cs="arial"/>
          <w:i/>
          <w:color w:val="000000"/>
          <w:sz w:val="20"/>
          <w:lang w:val="en-US" w:eastAsia="en-US" w:bidi="ar-SA"/>
        </w:rPr>
        <w:t>Lincoln [v. Daniels</w:t>
      </w:r>
      <w:r>
        <w:rPr>
          <w:rFonts w:ascii="arial" w:eastAsia="arial" w:hAnsi="arial" w:cs="arial"/>
          <w:color w:val="000000"/>
          <w:sz w:val="20"/>
          <w:lang w:val="en-US" w:eastAsia="en-US" w:bidi="ar-SA"/>
        </w:rPr>
        <w:t xml:space="preserve">, [1962] 1 Q.B. 237 (C.A.)] stands for the principle, applied in </w:t>
      </w:r>
      <w:r>
        <w:rPr>
          <w:rFonts w:ascii="arial" w:eastAsia="arial" w:hAnsi="arial" w:cs="arial"/>
          <w:i/>
          <w:color w:val="000000"/>
          <w:sz w:val="20"/>
          <w:lang w:val="en-US" w:eastAsia="en-US" w:bidi="ar-SA"/>
        </w:rPr>
        <w:t>Sussman</w:t>
      </w:r>
      <w:r>
        <w:rPr>
          <w:rFonts w:ascii="arial" w:eastAsia="arial" w:hAnsi="arial" w:cs="arial"/>
          <w:color w:val="000000"/>
          <w:sz w:val="20"/>
          <w:lang w:val="en-US" w:eastAsia="en-US" w:bidi="ar-SA"/>
        </w:rPr>
        <w:t>, that absolute privilege extends to a letter of complaint, provided it is written to the appropriate professional body. It matters not whether that body declines to commence proceedings against the professional person after receiving the complaint. The key determination with respect to absolute privilege is whether the body complained to exercises quasi-judicial powers over the individual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application before Mr. Justice Pearlman as noted was solely to strike the statement of claim on the basis that it disclosed no reasonable cause of action. Foremost in the arguments before Pearlman J. was the argument that certain of the statements made were protected by absolute and qualified privilege. Similarly, at the Court of Appeal, Mr. Justice Low noted the two defences in his judgment refusing leave to appeal Pearlman J. Ruling (Unreported BCCA Vancouver Registry Docket CA038392 at paras. 6 and 7). While absolute and qualified privilege were argued, they were not in the existing statement of defence - however, it is clear that the plaintiffs were not completely unaware, by virtue of the arguments made in those applications, that absolute and qualified privilege were defences that were contemplated at least insofar as that application was advanced in respect of the plaintiffs' existing statement of claim on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 the reasons that follow, I will be allowing the defendants' application to amend the pleadings; however, on the terms that are outlined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WHEN IS AN AMENDMENT 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6 - 1 (1) (b) (i)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6-1 -- Amendment of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pleadings may be amended</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Rules 6-2 (7) and (10) and 7-7 (5), a party may amend the whole or any part of a pleading filed by the party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without leave of the court, at any time before the earlier of the following:</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of service of the notice of trial,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a case planning conference is held, or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earlier of the dates referred to in paragraph (a) of this subrule, only with</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of the court, 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consent of the parties of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Langret Investments v. McDonnell</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[1996] B.C.J. No. 550</w:t>
        </w:r>
      </w:hyperlink>
      <w:r>
        <w:rPr>
          <w:rFonts w:ascii="arial" w:eastAsia="arial" w:hAnsi="arial" w:cs="arial"/>
          <w:color w:val="000000"/>
          <w:sz w:val="20"/>
          <w:lang w:val="en-US" w:eastAsia="en-US" w:bidi="ar-SA"/>
        </w:rPr>
        <w:t>, BCCA March 18, 1996, CA020285 Vancouver Registry, Rowles J.A. for the Court, considering the predecessor rule to 6-1(1)(b)(i),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24(1) of the </w:t>
      </w:r>
      <w:r>
        <w:rPr>
          <w:rFonts w:ascii="arial" w:eastAsia="arial" w:hAnsi="arial" w:cs="arial"/>
          <w:i/>
          <w:color w:val="000000"/>
          <w:sz w:val="20"/>
          <w:lang w:val="en-US" w:eastAsia="en-US" w:bidi="ar-SA"/>
        </w:rPr>
        <w:t>Rules of Court of British Columbia</w:t>
      </w:r>
      <w:r>
        <w:rPr>
          <w:rFonts w:ascii="arial" w:eastAsia="arial" w:hAnsi="arial" w:cs="arial"/>
          <w:color w:val="000000"/>
          <w:sz w:val="20"/>
          <w:lang w:val="en-US" w:eastAsia="en-US" w:bidi="ar-SA"/>
        </w:rPr>
        <w:t xml:space="preserve"> allows a party to amend an originating process or pleading. Amendments are allowed unless prejudice can be demonstrated by the opposite party or the amendment will be useless.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rationale for allowing amendments is to enable the real issues to be determined. The practice followed in civil matters when amendments are sought fulfills the fundamental objective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which is to ensure the "just, speedy and inexpensive determination of every proceeding on the merits". (See also McLachlin and Taylor, in British Columbia Practice, 2d ed. looseleaf (Butterworths, 1991) pages 24-1 to 24-2-10, and the decision of this Court in </w:t>
      </w:r>
      <w:r>
        <w:rPr>
          <w:rFonts w:ascii="arial" w:eastAsia="arial" w:hAnsi="arial" w:cs="arial"/>
          <w:i/>
          <w:color w:val="000000"/>
          <w:sz w:val="20"/>
          <w:lang w:val="en-US" w:eastAsia="en-US" w:bidi="ar-SA"/>
        </w:rPr>
        <w:t>Chavez v. Sundance Cruises Corp.</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(1993), 15 C.P.C. (3d) 305</w:t>
        </w:r>
      </w:hyperlink>
      <w:r>
        <w:rPr>
          <w:rFonts w:ascii="arial" w:eastAsia="arial" w:hAnsi="arial" w:cs="arial"/>
          <w:color w:val="000000"/>
          <w:sz w:val="20"/>
          <w:lang w:val="en-US" w:eastAsia="en-US" w:bidi="ar-SA"/>
        </w:rPr>
        <w:t>, 309-10).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[1988] B.C.J. No. 515</w:t>
        </w:r>
      </w:hyperlink>
      <w:r>
        <w:rPr>
          <w:rFonts w:ascii="arial" w:eastAsia="arial" w:hAnsi="arial" w:cs="arial"/>
          <w:color w:val="000000"/>
          <w:sz w:val="20"/>
          <w:lang w:val="en-US" w:eastAsia="en-US" w:bidi="ar-SA"/>
        </w:rPr>
        <w:t xml:space="preserve"> (C.A.). McLachlin J.A., as she then was, considered whether certain amendments to the pleadings should have been permitted to capture what was the relationship being asserted in that case. Speaking for the court, her Ladyship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It is submitted, however, that on the principle discussed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[1987] B.C.J. No. 1388</w:t>
        </w:r>
      </w:hyperlink>
      <w:r>
        <w:rPr>
          <w:rFonts w:ascii="arial" w:eastAsia="arial" w:hAnsi="arial" w:cs="arial"/>
          <w:color w:val="000000"/>
          <w:sz w:val="20"/>
          <w:lang w:val="en-US" w:eastAsia="en-US" w:bidi="ar-SA"/>
        </w:rPr>
        <w:t>, these claims cannot succeed because the third party accountants were at all times acting as agents of the plaintiff. This raises the question whether the allegations in question are necessarily confined to circumstances where the accountants were acting as agents of the plaintiff. The defendant lawyers assert they are not so confined, and question whether the retainer between the plaintiff and the accountants covered the acts on which the proposed amendments are based.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In Adams, it was clear from the nature of the allegations against the third party that they all necessarily related to acts committed as agents for the plaintiff. The same cannot be said here. On the contrary, the scope of the retainer between the plaintiff and the accountants appears to be in dispute. In these circumstances, amendments alleging that the accountants owed an independent duty to the defendants of which they were in breach, disclose a "possible" third party claim against the accountants and should be permitted.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Perusal of the chambers judge's reasons indicates that he proceeded on the assumption, founded on his view of the evidence as revealed by the affidavits, that all the accountants' actions relevant to the allegations in question were taken in their capacity as agents for the plaintiffs. Thus with respect to the s. 4 claim, he stated that in the event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accountants was shown: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can rely on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it is a defence in part or in whole to the claim of the plaintiffs against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went on to state: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it exists, in order for it to be applicable in these proceedings must have been something that occurred in relation to the retainer of the accountants by the plaintiffs.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see on the evidence that has been put before me that there is any scope for a successful argument at trial that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applicable outside the scope of the retainer, whatever it may be.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These conclusions were based on the evidence before the chambers judge, not the pleadings. Had the trial judge been hearing an application under R. 18A, it might have been open to him to go into the evidence and make findings on that basis. But he could not do so on an application for amendment under R. 24. He was bound to consider the matter on the basis that the accountants might have been acting outside the scope of their retainer with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It remains to consider whether there is any other basis upon which the proposed amendments can be excluded. </w:t>
      </w:r>
      <w:r>
        <w:rPr>
          <w:rFonts w:ascii="arial" w:eastAsia="arial" w:hAnsi="arial" w:cs="arial"/>
          <w:color w:val="000000"/>
          <w:sz w:val="20"/>
          <w:u w:val="single"/>
          <w:lang w:val="en-US" w:eastAsia="en-US" w:bidi="ar-SA"/>
        </w:rPr>
        <w:t>It is not suggested that they will unduly prejudice the plaintiffs or proposed third parties. Nor does undue delay appear to be established; the defendants have been struggling for some time to be permitted to plead their third party claim against the accountants.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 conclude that the chambers judge should have permitted the amendments to be made.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Forliti et al v. Woolly et al</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2003 BCSC 1082</w:t>
        </w:r>
      </w:hyperlink>
      <w:r>
        <w:rPr>
          <w:rFonts w:ascii="arial" w:eastAsia="arial" w:hAnsi="arial" w:cs="arial"/>
          <w:color w:val="000000"/>
          <w:sz w:val="20"/>
          <w:lang w:val="en-US" w:eastAsia="en-US" w:bidi="ar-SA"/>
        </w:rPr>
        <w:t>, Garson J. (as she then was) held at para. 13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general principles with respect to amendments were set out by McLachlin J. (as she then was) in </w:t>
      </w:r>
      <w:r>
        <w:rPr>
          <w:rFonts w:ascii="arial" w:eastAsia="arial" w:hAnsi="arial" w:cs="arial"/>
          <w:i/>
          <w:color w:val="000000"/>
          <w:sz w:val="20"/>
          <w:lang w:val="en-US" w:eastAsia="en-US" w:bidi="ar-SA"/>
        </w:rPr>
        <w:t>Victoria Grey Metro Trust Company v. Fort Gary Trust Company</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at pages 46 -- 47 (S.C.):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addressing the proposed pleadings, I refer to the principles which govern the granting of amendments to pleadings. The basic rule, set out expressly in the former rules and no doubt still applicable, is that such amendments should be permitted as are necessary to determine the real question in issue between the parties ... However, the court </w:t>
      </w:r>
      <w:r>
        <w:rPr>
          <w:rFonts w:ascii="arial" w:eastAsia="arial" w:hAnsi="arial" w:cs="arial"/>
          <w:color w:val="000000"/>
          <w:sz w:val="20"/>
          <w:u w:val="single"/>
          <w:lang w:val="en-US" w:eastAsia="en-US" w:bidi="ar-SA"/>
        </w:rPr>
        <w:t>will not allow useless amendments ... it may be noted that it is only in the clearest cases that a pleading will be struck out as disclosing no reasonable claim;</w:t>
      </w:r>
      <w:r>
        <w:rPr>
          <w:rFonts w:ascii="arial" w:eastAsia="arial" w:hAnsi="arial" w:cs="arial"/>
          <w:color w:val="000000"/>
          <w:sz w:val="20"/>
          <w:lang w:val="en-US" w:eastAsia="en-US" w:bidi="ar-SA"/>
        </w:rPr>
        <w:t xml:space="preserve"> where there is doubt on either the facts or law, the matter should be allowed to proceed for determination at trial .... If there is any doubt, it should be resolved in favour of permitting the pleadings to stand ... While these cases deal with striking out claims already pleaded, consistency demands that the same considerations apply to the question of amendment to permit new claims.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Quintette Coal Ltd. v. Bow Valley Resource Services Ltd.</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(1986), 6 B.C.L.R. (2d) 347</w:t>
        </w:r>
      </w:hyperlink>
      <w:r>
        <w:rPr>
          <w:rFonts w:ascii="arial" w:eastAsia="arial" w:hAnsi="arial" w:cs="arial"/>
          <w:color w:val="000000"/>
          <w:sz w:val="20"/>
          <w:lang w:val="en-US" w:eastAsia="en-US" w:bidi="ar-SA"/>
        </w:rPr>
        <w:t xml:space="preserve"> at 354.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Additionally in </w:t>
      </w:r>
      <w:r>
        <w:rPr>
          <w:rFonts w:ascii="arial" w:eastAsia="arial" w:hAnsi="arial" w:cs="arial"/>
          <w:i/>
          <w:color w:val="000000"/>
          <w:sz w:val="20"/>
          <w:lang w:val="en-US" w:eastAsia="en-US" w:bidi="ar-SA"/>
        </w:rPr>
        <w:t>Shaw Cable Systems Ltd. v. Concord Pacific Group</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2009 BCSC 203</w:t>
        </w:r>
      </w:hyperlink>
      <w:r>
        <w:rPr>
          <w:rFonts w:ascii="arial" w:eastAsia="arial" w:hAnsi="arial" w:cs="arial"/>
          <w:color w:val="000000"/>
          <w:sz w:val="20"/>
          <w:lang w:val="en-US" w:eastAsia="en-US" w:bidi="ar-SA"/>
        </w:rPr>
        <w:t>, N.H. Smith J. in considering an application to amend noted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24(1) allows a party to amend a pleading at any time with leave of the court. Applications for leave to amend should be considered on the same basis as applications to strike existing pleadings. In </w:t>
      </w:r>
      <w:r>
        <w:rPr>
          <w:rFonts w:ascii="arial" w:eastAsia="arial" w:hAnsi="arial" w:cs="arial"/>
          <w:i/>
          <w:color w:val="000000"/>
          <w:sz w:val="20"/>
          <w:lang w:val="en-US" w:eastAsia="en-US" w:bidi="ar-SA"/>
        </w:rPr>
        <w:t>Victoria Grey Metro Trust Company v. Fort Gary Trust Company</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(1989), 30 B.C.L.R. (2d) 45</w:t>
        </w:r>
      </w:hyperlink>
      <w:r>
        <w:rPr>
          <w:rFonts w:ascii="arial" w:eastAsia="arial" w:hAnsi="arial" w:cs="arial"/>
          <w:color w:val="000000"/>
          <w:sz w:val="20"/>
          <w:lang w:val="en-US" w:eastAsia="en-US" w:bidi="ar-SA"/>
        </w:rPr>
        <w:t xml:space="preserve"> at page 47 (S.C.) McLachlin J. (as she then was)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it seems to me obvious that the court will not give its sanction to amendments which violate the rules which govern pleadings. These include the requirements relating to conciseness (R. 19(1)); material facts (R. 19(1)); particulars (R. 19(11)); and the prohibition against pleadings which disclose no reasonable claim or are otherwise scandalous, frivolous or vexatious (R. 19(24)). With respect to the latter, it may be noted that it is only in the clearest cases that a pleading will be struck out as disclosing no reasonable claim; where there is doubt on either the facts or law, the matter should be allowed to proceed for determination at trial ... While these cases deal with striking out claims already pleaded, consistency demands that the same considerations apply to the question of amendment to permit new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Forliti v. Wooley</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2003 BCSC 1082</w:t>
        </w:r>
      </w:hyperlink>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17 B.C.L.R. (4th) 184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[1988] 4 W.W.R. 742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ABSOLUTE AND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applicants/defendants argued the cases of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R.N. v. S.L.S.</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[1993] N.S.J. No. 99</w:t>
        </w:r>
      </w:hyperlink>
      <w:r>
        <w:rPr>
          <w:rFonts w:ascii="arial" w:eastAsia="arial" w:hAnsi="arial" w:cs="arial"/>
          <w:color w:val="000000"/>
          <w:sz w:val="20"/>
          <w:lang w:val="en-US" w:eastAsia="en-US" w:bidi="ar-SA"/>
        </w:rPr>
        <w:t xml:space="preserve">, and I am satisfied that those defences in the circumstances of this case are not 'useless' in the word of Rowles J.A. noted above. There is an argument to be made and the defendants additionally cited the case of </w:t>
      </w:r>
      <w:r>
        <w:rPr>
          <w:rFonts w:ascii="arial" w:eastAsia="arial" w:hAnsi="arial" w:cs="arial"/>
          <w:i/>
          <w:color w:val="000000"/>
          <w:sz w:val="20"/>
          <w:lang w:val="en-US" w:eastAsia="en-US" w:bidi="ar-SA"/>
        </w:rPr>
        <w:t>D. v. National Society for the Prevention of Cruelty to Children</w:t>
      </w:r>
      <w:r>
        <w:rPr>
          <w:rFonts w:ascii="arial" w:eastAsia="arial" w:hAnsi="arial" w:cs="arial"/>
          <w:color w:val="000000"/>
          <w:sz w:val="20"/>
          <w:lang w:val="en-US" w:eastAsia="en-US" w:bidi="ar-SA"/>
        </w:rPr>
        <w:t xml:space="preserve"> in support of their argument that absolute privilege may apply upon the circumstances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While in the case at bar, it was argued that the defence of actual privilege should not be permitted, having already been considered and rejected; however, it is important to bear in mind the circumstances that the argument was made being in the context of an application to strike the claim. I note the decision of Mr. Justice Low on the application to strike the plaintiffs' claim wherein he stated at para. 6 - 7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In my opinion, the question of whether absolute privilege is available as a defence, under common law, depends on the circumstances of each case. I am not persuaded that there is any argument that the chambers judge erred when he said at para. 20 quoted above that it is not plain and obvious that a social worker fielding an allegation of sexual abuse has a function that would attract the common law defence of absolute privilege.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In any event, there is an even clearer reason for dismissing this application. It would appear that s. 14(5) of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quoted above, deals with the question of privilege in a qualified way. Therefore, a judge at trial would have to determine whether the information was false and, if it was, whether the defendants, or either of them, knew it was false when they reported it to the social worker. In short, there is an argument to be made that the only privilege available is a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para. 20 of his reasons Mr. Justice Pearlman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Here, the defendants submit that the Ministry of Child, Family and Community is a quasi-judicial body empowered by statute to make determinations regarding rights that affect the status of the parties in question. It is by no means and obvious that an official of the Ministry conducting an investigation into an allegation of sexual assault or impropriety exercises any quasi-judicial as opposed to investigative or administrative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Here the defendants submit and have proposed the amendment to the pleading "that the Ministry of Child, Family and Community Services and the Delta Police Department are statutory bodies incidental to and the instigator of </w:t>
      </w:r>
      <w:r>
        <w:rPr>
          <w:rFonts w:ascii="arial" w:eastAsia="arial" w:hAnsi="arial" w:cs="arial"/>
          <w:i/>
          <w:color w:val="000000"/>
          <w:sz w:val="20"/>
          <w:lang w:val="en-US" w:eastAsia="en-US" w:bidi="ar-SA"/>
        </w:rPr>
        <w:t>quasi-</w:t>
      </w:r>
      <w:r>
        <w:rPr>
          <w:rFonts w:ascii="arial" w:eastAsia="arial" w:hAnsi="arial" w:cs="arial"/>
          <w:color w:val="000000"/>
          <w:sz w:val="20"/>
          <w:lang w:val="en-US" w:eastAsia="en-US" w:bidi="ar-SA"/>
        </w:rPr>
        <w:t xml:space="preserve"> judicial and judicial proceedings". While as noted by Pearlman J. the argument on absolute privilege is "by no means obvious," he noted that issue did not have to be determined in the matter before him. Pearlman J., however, noted he did not have to decide the issue on the application before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view, given additionally the wording of Low J.A. in paras. 6 and 7 noted above, it is not a certainty that the defence of absolute privilege does not apply and accordingly. it is not "useless" and accordingly should not be barred in an effort to have the merits of this matter determined. I also find that given that this was argued with sufficient particularity both at the Supreme Court and at the Court of Appeal that the plaintiffs are not caught completely by surprise with respect to this sought-after amendment to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With respect to the amendment, I am also mindful of the new requirements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note this action was commenced prior to the new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coming into force.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now specify that the response to civil claim is in Form 2, (Rule 3-3(1)) which requires a detailed enumeration of the facts, either agreed, in dispute or outside the knowledge of the respondent and also requires additionally that the applicable law be set out. Accordingly, the amendment sought by the applicant defendants additionally endeavours to conform with the requirements of new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It is important to remember that the object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is as set out in Rule 1-3 is to "secure the just, speedy and inexpensive determination of every proceeding on its merits". Advance notice enables the parties to focus the issues and the facts and accordingly it is for that reason that this application is allowed on the terms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I do find that there has been a day wasted by the plaintiffs in that there has been an examination for discovery of S.K.M. conducted on the basis of the pleadings as they then stood. I accordingly grant the defendants leave to amend their pleadings in the form attached to the notice of application. I grant that on the following terms:</w:t>
      </w:r>
      <w:r>
        <w:rPr>
          <w:rFonts w:ascii="arial" w:eastAsia="arial" w:hAnsi="arial" w:cs="arial"/>
          <w:sz w:val="20"/>
          <w:lang w:val="en-US" w:eastAsia="en-US" w:bidi="ar-SA"/>
        </w:rPr>
        <w:cr/>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respondent plaintiffs may within thirty (30) days after these reasons file a reply pursuant to Rule 3-6 of the filed response to civil claim;</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respondent plaintiffs have leave to re-conduct the examinations for discovery of the party, S.K.M. for a six hour period;</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respondent plaintiffs will have their costs thrown away of the already conducted examination of S.K.M.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Costs of this application are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MAISONVILLE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8"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2"/>
          <w:headerReference w:type="default" r:id="rId853"/>
          <w:footerReference w:type="even" r:id="rId854"/>
          <w:footerReference w:type="default" r:id="rId855"/>
          <w:headerReference w:type="first" r:id="rId856"/>
          <w:footerReference w:type="first" r:id="rId8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58" w:history="1">
        <w:r>
          <w:rPr>
            <w:rFonts w:ascii="arial" w:eastAsia="arial" w:hAnsi="arial" w:cs="arial"/>
            <w:b/>
            <w:bCs/>
            <w:i/>
            <w:color w:val="0077CC"/>
            <w:kern w:val="32"/>
            <w:sz w:val="28"/>
            <w:szCs w:val="32"/>
            <w:u w:val="single"/>
            <w:shd w:val="clear" w:color="auto" w:fill="FFFFFF"/>
            <w:lang w:val="en-US" w:eastAsia="en-US" w:bidi="ar-SA"/>
          </w:rPr>
          <w:t>Whyte v. Morin, [2007] B.C.J. No. 1954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29 - June 1,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5, 2007.</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M052373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1954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2007 BCSC 1329</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161 A.C.W.S. (3d) 430</w:t>
        </w:r>
      </w:hyperlink>
    </w:p>
    <w:p>
      <w:pPr>
        <w:spacing w:before="120" w:line="260" w:lineRule="atLeast"/>
        <w:rPr>
          <w:lang w:val="en-US" w:eastAsia="en-US" w:bidi="ar-SA"/>
        </w:rPr>
      </w:pPr>
      <w:r>
        <w:rPr>
          <w:rFonts w:ascii="arial" w:eastAsia="arial" w:hAnsi="arial" w:cs="arial"/>
          <w:color w:val="000000"/>
          <w:sz w:val="20"/>
          <w:lang w:val="en-US" w:eastAsia="en-US" w:bidi="ar-SA"/>
        </w:rPr>
        <w:t>Between Jan Whyte, Plaintiff, and Corey Rhylin Morin,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39" style="position:absolute;z-index:25170432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89" w:name="Keywords_44"/>
      <w:bookmarkEnd w:id="289"/>
      <w:r>
        <w:rPr>
          <w:rFonts w:ascii="arial" w:eastAsia="arial" w:hAnsi="arial" w:cs="arial"/>
          <w:b/>
          <w:color w:val="000000"/>
          <w:sz w:val="20"/>
          <w:lang w:val="en-US" w:eastAsia="en-US" w:bidi="ar-SA"/>
        </w:rPr>
        <w:t>Damages — General damages — For personal injuries — Cost of future care — Loss of earning capacity — Non-pecuniary damages, including pain and suffering — The plaintiff was awarded $80,000 in general damages, $15,000 in lost income, $40,000 for lost future earning capacity, $5,000 for cost of future care, and special damages of $5,397 for injuries sustained as a pedestrian in a motor vehicle accident — She had established on the balance of probabilities that her ongoing neck pain, headaches and general body pain would not have occurred but for the defendant's negligent conduct.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Physical injuries — Fibromyalgia — Body injuries — Back — Neck — Non-pecuniary award — $60,001 to $80,000 — The plaintiff was awarded $80,000 in general damages, $15,000 in lost income, $40,000 for lost future earning capacity, $5,000 for cost of future care, and special damages of $5,397 for injuries sustained as a pedestrian in a motor vehicle accident — She had established on the balance of probabilities that her ongoing neck pain, headaches and general body pain would not have occurred but for the defendant's negligent conduct.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90" w:name="Case Summary_39"/>
            <w:bookmarkEnd w:id="29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In this action where the defendant driver admitted liability for the injuries suffered by the plaintiff pedestrian, the only remaining issue was the quantum of damages to be awarded -- The plaintiff claimed to have suffered a neck injury leading to ongoing pain in her neck, back and head, and that she had developed fibromyalgia -- The defendant disputed the diagnosis of fibromyalgia, and that the symptoms of general body aching were caused by the accident -- HELD: The plaintiff was awarded $80,000 in general damages, $15,000 in lost income, $40,000 for lost future earning capacity, $5,000 for cost of future care, and special damages of $5,397 -- The plaintiff had established on the balance of probabilities that her ongoing neck pain, headaches and general body pain would not have occurred but for the defendant's negligent conduct -- Those symptoms had caused her difficulty in continuing to work as a senior legal assistant -- The plaintiff had established a substantial likelihood that her income would be reduced in the future as a result of the injuries she suffered. </w:t>
            </w:r>
            <w:r>
              <w:rPr>
                <w:lang w:val="en-US" w:eastAsia="en-US" w:bidi="ar-SA"/>
              </w:rPr>
              <w:cr/>
            </w:r>
          </w:p>
          <w:p>
            <w:pPr>
              <w:rPr>
                <w:lang w:val="en-US" w:eastAsia="en-US" w:bidi="ar-SA"/>
              </w:rPr>
            </w:pPr>
          </w:p>
        </w:tc>
      </w:tr>
    </w:tbl>
    <w:p>
      <w:pPr>
        <w:jc w:val="both"/>
        <w:rPr>
          <w:lang w:val="en-US" w:eastAsia="en-US" w:bidi="ar-SA"/>
        </w:rPr>
      </w:pPr>
      <w:bookmarkStart w:id="291" w:name="Counsel_44"/>
      <w:bookmarkEnd w:id="29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0" style="position:absolute;z-index:2517555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W. Mussio.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 M. Dong.</w:t>
      </w:r>
      <w:r>
        <w:rPr>
          <w:lang w:val="en-US" w:eastAsia="en-US" w:bidi="ar-SA"/>
        </w:rPr>
        <w:cr/>
      </w:r>
    </w:p>
    <w:p>
      <w:pPr>
        <w:spacing w:after="240"/>
        <w:rPr>
          <w:lang w:val="en-US" w:eastAsia="en-US" w:bidi="ar-SA"/>
        </w:rPr>
      </w:pPr>
      <w:bookmarkStart w:id="292" w:name="Judgment_44"/>
      <w:bookmarkEnd w:id="292"/>
      <w:r>
        <w:pict>
          <v:line id="_x0000_s1241" style="position:absolute;z-index:25180672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93" w:name="C.L. SMITH J._1"/>
            <w:bookmarkEnd w:id="293"/>
            <w:r>
              <w:rPr>
                <w:rFonts w:ascii="arial" w:eastAsia="arial" w:hAnsi="arial" w:cs="arial"/>
                <w:b/>
                <w:color w:val="000000"/>
                <w:sz w:val="30"/>
                <w:lang w:val="en-US" w:eastAsia="en-US" w:bidi="ar-SA"/>
              </w:rPr>
              <w:t>C.L. SMITH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April 29, 2004, Jan Whyte was with her common law spouse, Dan Johnson, in a crosswalk in Vancouver. A car threatened to hit both of them and Mr. Johnson pushed Ms. Whyte away from the path of the car. She landed on her left hip and arm. Mr. Johnson was struck by the car and was treated in hospital. Ms. Whyte did not obtain treatment in hospital but also suffered some injuries. Ms. Whyte, the plaintiff, now seeks damages for those injuries from the defendant, the driver of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does not dispute liability. The sole issue to be determined is the damages to which the plaintiff is entitled.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position is that she suffered a neck injury in the accident which has led to ongoing pain in the neck, upper back and head. She also suffered minor injuries to her left shoulder and wrist, abrasions, numbness in the hands and some jaw complaints. She says that she has developed general body aching and fatigue, diagnosed as fibromyalgia or chronic pain syndrome.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does not dispute that the plaintiff suffered some injuries in the accident, but disputes the diagnosis of fibromyalgia syndrome and disputes that the symptoms of general body aching that have arisen were caused by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position is that she has lost income since the accident, and that her ability to earn income in the future has decreased. The defendant's position is that Ms. Whyte has been as employed as she has wished to be and has suffered only minor income loss; further, that she has not established loss of capacity to earn income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EVIDENCE AND FINDINGS OF FACT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Plaintiff's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Whyte testified that she was born on May 4, 1964, and that she has two children from a previous marriage and two stepchildren. She has worked as a legal secretary or paralegal since taking legal secretary training at Douglas College in 1983, both full-time at a number of firms, and on ad hoc assignments as a free-lancer.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Whyte previously suffered injuries to both wrists, her neck and lower back caused by a motor vehicle accident in 1997. She was in another minor accident in 2000 which may have caused a slight aggravation of the wrist injury. She says that she had recovered from the effects of both those accidents and was in good health at the time of the accident in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gave evidence that she was air-borne after Mr. Johnson pushed her out of the path of the oncoming car, and landed on her left hip and arm on the pavement. She felt an ache in her shoulder while at the hospital with her spouse but not so much that she sought medical care; she said she was more concerned about him. When she got home she saw a red mark on her left hip and a slight abrasion on her right hand.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day or two after the accident she began to experience nagging neck pain. She went to see a doctor at the Chaldecott Medical Clinic, which was nearby, and took anti-inflammatory medication as recommended.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Whyte at that time was working at MacKenzie Fujisawa. She returned to work the following Monday, but found the pain to be terrible. Although her shoulder pain resolved within a month or so, and abrasions on her left hand and hip did not cause her difficulty, the neck pain continued, as did the headaches. She took a month off work beginning at the end of May 2004 in order to rest, do physiotherapy, and recover from the accident. She returned to work in July 2004, but continued to experience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Whyte was given notice of termination by her employer on July 23, 2004. On July 26, 2004, she began working at Arvay Finlay where she remained until the end of December 2005. From January 1, 2006 to the end of October 2006 she worked at Jenkins Marzban (some of the time for four days per week) and from November 2006 to the end of January 2007 she worked at Marquardt &amp; Company, filling in for an assistant who was on medical leave. She is currently working at Lang Michener.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Whyte's evidence is that she has continued to suffer pain from the date of the accident to the present. She testified, however, that her symptoms have changed from time to time. For some periods they have been more or less under control, when she has been able to rest and exercise, and undertake acupuncture treatments. For other periods they have been out of control, particularly when it has been necessary to work long hours under stress, doing things that aggravate the injuries, such as prolonged sitting and keyboarding, lifting, or using a manual cerlox machine. She testified that in September 2006 she developed general body aches, which increased in November or December of that year, and that she still experiences those symptoms, with aching sometimes concentrated in her back and forearm. She takes muscle relaxants and pain medication as well as anti-inflammatory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Whyte said that her level of fatigue at the end of a working day is high, and that she typically is unable to do anything in the evening except go to bed by 8:00 p.m. She has gained about 30 pounds, she says, due to lack of activity. She agreed on cross-examination that she drinks alcohol and said that it relaxes her and relieves the pain. However, she said that she has modified that practice since she received Dr. le Nobel's report (which will be described later) and decided to make a major lifestyle change, including a move to White Rock with her family in November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Whyte continued to seek treatment after the accident at the Chaldecott Medical Clinic, not from her usual family doctor, Dr. Shirley Schwab. She saw Dr. Jenkins or Dr. Tai there on April 30, 2004, May 12, 2004, May 18, 2004, August 14, 2004, November 23, 2004, and August 24, 2005. She also saw Dr. Schwab on a number of occasions from February 24, 2005, through to April 2007, but most of her visits to Dr. Schwab related to matters other than the injuries from the accident (such as stress, emotional issues and gastric upset).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also received physiotherapy treatment in July 2004, acupuncture in 2005 and some massage therapy in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cross-examination, the plaintiff agreed that on her last visit to Dr. Tai at the Chaldecott Clinic, in August 2005, she felt she had improved to 75%. She said, however, that the neck pain increased after August 2005, probably exacerbated by her work and the driving she did on weekends to visit her son and family members in the United States.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Whyte agreed on cross-examination that after the prior accident in 1997 she had suffered fatigue, confusion, memory problems, anxiety and depression - problems similar to those following the accident at issue in this case. She testified, though, that all of those problems were resolved by 1999. She agreed that she had experienced pain in her neck prior to the motor vehicle accident, and that she had injured her neck, back and wrists in the 1997 accident and her neck and back in the 2000 accident. She said that the injuries in the 1997 accident interfered with her work for a time, but that she was back to her usual hours by 1998. The 2000 accident led to problems with her wrists and made working with binders difficult, but she did not recall taking time off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Prior to the accident, Ms. Whyte testified, she was physically active, including participating in a mini-triathlon, tennis, volleyball and snowboarding. She said that before the accident she did most of the housework, but now they have house and yard help once a week (a benefit available to her common law spouse) and her only household activities are doing her own laundry and some cooking on weekends.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Whyte testified that she finds it difficult to meet the demands of a legal assistant or paralegal job because of the need to sit and type for lengthy periods, and because of the physical demands which are sometimes imposed (such as moving heavy files and binders). At the date of trial she was working at Lang Michener, in what she described as an apprenticeship position as assistant human resources manager. This position, she feels, is more consistent with what she is able to do, but pays less than most of her previous positions in recent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Medical Opinion Evidence</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Dr. le Nobel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John le Nobel, a physical medicine and rehabilitation specialist, saw Ms. Whyte on May 17, 2006, at the request of plaintiff's counsel. He testified by way of a videotaped deposition on May 24,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report, Dr. le Nobel stated that, based on the time elapsed since the plaintiff was injured and the continuing symptoms she reported, she is affected with a chronic pain condition. He said that condition causes headaches (in keeping with cervicogenic headache), neck pain (in keeping with chronic soft tissue pain), pain in the upper back (due to a combination of referred pain from the cervical spine as well as local trauma at the time of the pedestrian accident) and numbness into her right upper limb (consistent with diffuse musculoskeletal injuries). He found Ms. Whyte to be "deconditioned with weight gain, shortness of breath and loss of muscle strength and endurance, on account of activity restriction ....". He recommended further treatment in order to reduce the deconditioning, including a regular stretching program, core muscle strength training, and non-impact cardiovascular exercise. He also recommended that she have access to medications and to physical treatment measures, as well as to assistance from a fitness trainer and physiotherapist on a liberal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witness agreed on cross-examination that the plaintiff's prognosis might be more positive if she improved her cardiovascular fitness, lost weight and obtained assistance with her alcohol habit, and that stressors in her life would affect her outcome and prognosis.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Dr. le Nobel's opinion is that the prognosis is guarded: while the plaintiff might be able to regain a significant portion of her lost fitness, full return to all of her pre-accident capabilities in a symptom-free state was not anticipated.</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Dr. Tai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Linda Tai is a family physician who treated the plaintiff at the Chaldecott Clinic in connection with the April 2004 accident. Another physician in that clinic, Dr. Heather Jenkins, first saw Ms. Whyte on April 30, 2004 and found good range of motion in her left hip but decreased range of motion in her left shoulder, and a tender left trapezius muscle. Use of Tylenol #3 was recommended. On May 12, 2004, Dr. Tai found Ms. Whyte to have symptoms of cervical soft tissue strain and possible impingement of her C6, 7 nerves. She prescribed Naprosyn and continued physiotherapy. A CT scan in November 2004 was negative for signs of herniation.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Tai saw Ms. Whyte for the last time on August 24, 2005. On that date Ms. Whyte reported that she her family doctor was treating her with Paxil for sleep/depression, and that she felt she had returned to 75% of her pre-accident status. Lateral rotation of her shoulder was found to be improved on examination, and she could turn both left and right with no pain or restriction.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Tai recommended that Ms. Whyte attend an active rehabilitation program to help with overall strengthening of her shoulder girdle, cervical, lumbar muscles and hip girdle areas. She stated in her report of April 17, 2006, that the plaintiff's overall prognosis for a full recovery is good, and that patients with cervical strain usually return to 80% of their pre-accident status by one year and to 90-95% by two years.</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Dr. Schwab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Shirley Schwab is the plaintiff's family physician, who has treated her for stress and emotional issues, gastric upset, and pain. Dr. Schwab referred Ms. Whyte to Dr. Kelsal, a rheumatologist, but Ms. Whyte had not yet been able to see Dr. Kelsal at the date of trial. Dr. Schwab agreed with Dr. le Nobel that perhaps some of the plaintiff's pain is due to deconditioning and a core strengthening exercise program would be in order. Dr. Schwab believes that Ms. Whyte likely has fibromyalgia, but that she does not feel qualified to test for it and therefore made the referral to Dr. Kelsal.</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Dr. Shuckett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Rhonda Shuckett is a specialist in internal medicine and rheumatology who saw Ms. Whyte at the request of plaintiff's counsel on January 12, 2007. She testified that about 25% of her practice is related to regional pain or fibromyalgia.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her report Dr. Shuckett stated that she had arrived at the following diagnoses: neck injury, myofascial pain syndrome of neck and shoulder girdle regions, hip girdle pain particularly on the right side, and diffuse soft tissue pain in keeping with fibromyalgia syndrome. She said that she does not believe that the plaintiff has chronic pain syndrome or pain disorder. In Dr. Shuckett's opinion, the injuries suffered in the accident materially contributed to the diagnoses; in particular, the fibromyalgia occurred after a downward spiral of deconditioning, pain and sleep disorder following the accident and would not likely have occurred in the absence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 respect to Ms. Whyte's prognosis, Dr. Shuckett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presently two years and about ten months since the subject MVA. She remains very symptomatic. The fact that her symptoms are ongoing this long after the MVA does bode poorly for her prognosis. It is very conceivable that she is going to continue to have her symptoms in the longer term future. It is in keeping with her symptoms that she is finding herself more challenged in functioning at her job, which sounds like quite a challenging job, both mentally and physically. I believe that this patient is at some risk of having to go on disability related to her job challenges.</w:t>
      </w:r>
    </w:p>
    <w:p>
      <w:pPr>
        <w:spacing w:before="120" w:line="260" w:lineRule="atLeast"/>
        <w:ind w:left="720"/>
        <w:rPr>
          <w:lang w:val="en-US" w:eastAsia="en-US" w:bidi="ar-SA"/>
        </w:rPr>
      </w:pPr>
      <w:r>
        <w:rPr>
          <w:rFonts w:ascii="arial" w:eastAsia="arial" w:hAnsi="arial" w:cs="arial"/>
          <w:color w:val="000000"/>
          <w:sz w:val="20"/>
          <w:lang w:val="en-US" w:eastAsia="en-US" w:bidi="ar-SA"/>
        </w:rPr>
        <w:t>There is a risk of job interruption and job cessation related to her ongoing symptoms at this point in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Shuckett recommended medication (an anti-inflammatory drug) and active exercise, with the assistance of a personal trainer.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her testimony, Dr. Shuckett said that on examination of Ms. Whyte she found 12 of 18 painful fibromyalgia tender points (mostly in the upper body, though some in the lower body). She said that the diagnosis of fibromyalgia is founded on musculoskeletal pain in the upper and lower body, and at least 11 out of 18 of the fibromyalgia points distributed in the four quarters of the body. She said that fibromyalgia is a syndrome, not a disease - a constellation of symptoms that is usually chronic but that can wax and wane. Dr. Shuckett testified that she found no chronic pain syndrome, which she said is defined as a disability with dependence on narcotic drugs, and depression. Pain disorder, she said, is a somatoform disorder with a significant psychiatric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Shuckett agreed that stressors can play a role in precipitating fibromyalgia; it can be multifactorial, and possibly more than one factor could be participating in this case. She agreed that work stress can lead to fatigue and body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Shuckett testified that a review of the records regarding the 2000 motor vehicle accident did not change her view that the April 2004 motor vehicle accident caused the fibromyalgia.</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Dr. Hirsch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Whyte saw Dr. Gabriel Hirsch on March 30, 2007, for an independent medical assessment at the request of the defendant. Dr. Hirsch is a physical medicine and rehabilitation specialist.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Hirsch's opinion is that Ms. Whyte does not meet the diagnostic criteria for fibromyalgia. He noted that as of May 30, 2006, when she was evaluated by Dr. le Nobel, she was not experiencing discomfort or pain below the shoulder blades. He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Ms. Whyte reported that in the fall of 2006 she developed the new onset of pain extending across her upper back into the shoulder caps and hip girdle. In January of 2007, she was assessed by Dr. Shuckett. ... Of note, there is no reference to diffuse musculoskeletal symptoms in the forwarded clinical records prior to the assessment of Dr. Shuckett. Therefore, if Ms. Whyte indeed fulfilled the diagnostic criteria for fibromyalgia at the time of Dr. Shuckett's assessment, it would have been my opinion that this syndrome was not causally related to the subject motor vehicle accident.</w:t>
      </w:r>
    </w:p>
    <w:p>
      <w:pPr>
        <w:spacing w:before="120" w:line="260" w:lineRule="atLeast"/>
        <w:ind w:left="720"/>
        <w:rPr>
          <w:lang w:val="en-US" w:eastAsia="en-US" w:bidi="ar-SA"/>
        </w:rPr>
      </w:pPr>
      <w:r>
        <w:rPr>
          <w:rFonts w:ascii="arial" w:eastAsia="arial" w:hAnsi="arial" w:cs="arial"/>
          <w:color w:val="000000"/>
          <w:sz w:val="20"/>
          <w:lang w:val="en-US" w:eastAsia="en-US" w:bidi="ar-SA"/>
        </w:rPr>
        <w:t>Irrespective, today's examination was not indicative of the diagnosis of fibromyalgia syndrome. Only 4/18 sites associated with the diagnosis of fibromyalgia were reportedly tender on direct questioning. These sites were, however, not tender during distraction.</w:t>
      </w:r>
    </w:p>
    <w:p>
      <w:pPr>
        <w:spacing w:before="120" w:line="260" w:lineRule="atLeast"/>
        <w:ind w:left="720"/>
        <w:rPr>
          <w:lang w:val="en-US" w:eastAsia="en-US" w:bidi="ar-SA"/>
        </w:rPr>
      </w:pPr>
      <w:r>
        <w:rPr>
          <w:rFonts w:ascii="arial" w:eastAsia="arial" w:hAnsi="arial" w:cs="arial"/>
          <w:color w:val="000000"/>
          <w:sz w:val="20"/>
          <w:lang w:val="en-US" w:eastAsia="en-US" w:bidi="ar-SA"/>
        </w:rPr>
        <w:t>It appears that in the fall of 2006, Ms. Whyte's clinical presentation changed. This coincided with significant stressors at work. It would be my opinion that these work-related issues and possibly other psychosocial stressors were instrumental factors.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Hirsch's diagnosis was myofascial pain disorder, the onset of which, he said, was in part causally related to the April 2004 motor vehicle accident, but with a significant superimposed component pertaining to independent psychosocial stressors. He recommended a regular exercise program, with a few treatment sessions (up to 10) with either a kinesiologist or a physiotherapist, and possibly trigger point injections. He did not recommend passive treatment modalities. He gave the opinion that a temporary partial vocational handicap of four to six weeks would have been reasonable and that Ms. Whyte is currently physically capable of working full-time in occupations for which she is qualified, and of resuming her former sporting activities and domestic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Hirsch observed no exaggerated illness behaviour on the part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Hirsch testified that although the definition of fibromyalgia originated with rheumatologists, qualification as a rheumatologist is not necessary in order to diagnose or treat the syndrome, and the majority of patients with it are managed by general practitioners. He agreed that he is not a specialist in fibromyalgia.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for the stressors, he agreed that the biggest contributing factor appeared to be work-related stress, based on Dr. Schwab's clinical records. He agreed that fibromyalgia can wax and wane. He disagreed with the use of anti-inflammatory medications suggested by Dr. Shuckett. He agreed with Dr. le Nobel's recommendations for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Hirsch did not consider that the pre-accident medical history had any bearing on Ms. Whyte's symptoms following the April 29, 2004,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for Ms. Whyte's ability to work, Dr. Hirsch testified that he is not a vocational consultant and had not conducted a functional capacity evaluation. He had not contacted any of her employers. He said that although Ms. Whyte told him that she had been having significant difficulties at work, he did not find any impairment.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Credibility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found the plaintiff to be a credible witness. She did not seem prone to exaggeration. She was not shaken by a fairly searching cross-examination aside from some questions of the timing and extent of her work following the accident. Her testimony as to the pain she has experienced at work was corroborated by witnesses who had observed her in the workplace. No medical expert witness suggested exaggeration of symptoms or inappropriate "pain behaviour". Her demeanour and approach to her testimony bore out her own self-description as an optimistic person who is motivated to do her best. I accept her evidence in general. The only exception relates to the detail regarding the number of days and hours she worked after the accident; there, I find that she was in some respects mistaken and I rely on the written records.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does not dispute the existence of the plaintiff's symptoms but does dispute the diagnosis of fibromyalgia and the cause of the symptoms. Ms. Dong, counsel for the defendant, emphasized that in her view the symptoms that arose in December 2006 (the general body pain) were new, unrelated to the motor vehicle accident. Thus, she argued, even if the plaintiff has fibromyalgia syndrome (which she submits is not the case) the fibromyalgia was not the result of injuries suffered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 21 the Supreme Court of Canada reaffirmed that the basic test for causation remains the "but for" test: the plaintiff must show on a balance of probabilities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However, the plaintiff is not required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and the law does not excuse a defendant from liability merely because other causal factors for which the defendant is not responsible also helped produce the harm: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le Nobel saw Ms. Whyte on May 17, 2006, and found her to have a chronic pain condition caused by the accident. Dr. Shuckett saw her on January 12, 2007, and found her to have fibromyalgia syndrome caused by the accident. Dr. Hirsch saw her on March 30, 2007, and found her to have myofascial pain disorder, in part causally related to the motor vehicle accident but with a significant source in independent psychosocial stressors. Whether the diagnosis of fibromyalgia is the correct one (it appears to be borderline, on all the evidence), or whether the diagnosis of chronic pain (Dr. le Nobel) or chronic myofascial pain (Dr. Hirsch) is more accurate, I am satisfied that the plaintiff has experienced and continues to experience fairly significant pain which she would not have experienced but for the accident. I find that her stress existed, in considerable measure, because the pain interfered with her ability to work in her usual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do not find that the injuries suffered in the previous accidents, or the other stressors in the plaintiff's life, would have led in any event to the condition in which she now finds herself.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the plaintiff has established on the balance of probabilities that her ongoing neck pain, headaches and general body pain would not have occurred but for the defendant's negligent conduct.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that those symptoms have caused her difficulty in continuing to work as a senior legal assistant, given the demands of that position. However, as will be seen later, in the quantification of the plaintiff's damages I do take into account the fact that, even if the plaintiff had not been injured in April 2004, other factors may have affected her ability to earn income since the accident and into the future. In the assessment of damages, the plaintiff is not entitled to be placed in a better position than she would have been but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Work Record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 number of witnesses testified as to the plaintiff's work. None described any previous problems with health or unusual absenteeism prior to the accident. All were positive about Ms. Whyte's qualities as a legal assistant.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Chris Harvey, Q.C., testified that Ms. Whyte had worked for him a number of years previously when he was at Russell and DuMoulin, and that she was good at her job. He said his clients liked her, and she was "on top of the files", knew what was going on, and had good energy and enthusiasm. He hired her again in September 2003 to assist him in his work as Associate Counsel at MacKenzie Fujisawa. He said that she did an "amazing amount in a short time", transforming his practice by making all documents accessible electronically. He said that after the April 2004 accident her work product was not the same; she did not have the same energy, fatigued early, and appeared to be in some discomfort. The firm gave her a month off till June 21, 2004. Mr. Harvey testified that Ms. Whyte was terminated in July 2004 because he had a heavy trial coming up in September, and found that she was unable to look after both his work and that of his junior lawyer. The junior lawyer's work was not getting done, and he concluded that there was an attitude problem. It is fair to infer, and I do, that this termination would not likely have occurred if the accident had not caused Ms. Whyte to miss work and to be in pain when she returned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Murray Tevlin testified that he hired Ms. Whyte on three occasions, at three different firms, most recently in the fall of 2000. He was starting a new firm at that time, and Ms. Whyte worked for that firm for the next two and a half years. As the senior legal assistant or office manager she was given responsibilities such as dealing with suppliers, setting up computer systems, and organizing client appreciation nights. Mr. Tevlin said that she did well, describing her as enthusiastic and liked by clients. He said that Ms. Whyte left his firm in 2003 because she was having a dispute with one of the newly hired junior lawyers.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David Blair employed Ms. Whyte for a total of about a year on various temporary assignments, between 1994 and 2003. He said that she is among the most capable legal assistants they have ever been able to employ at Victory Square Law Office and that they offered her permanent employment which she declined. Mr. Blair commented on her adeptness with the complex aspects of word processing programs, and on her strong memory.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Leslie Green is the administrator at Hamilton, Duncan in Surrey, but in 1998 was at Heenan Blaikie where Ms. Whyte was hired as a contractor to work for Peter Gall, Q.C. Ms. Whyte performed extremely well and was described by this witness as knowledgeable, organized and energetic. Ms. Whyte left because she and the lawyer she worked for did not see eye to eye; later, however, he asked her to return, which she did for another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Betty Garbutt operates an employment agency called Legal Freelance Centre. She said that she has known Ms. Whyte since 1991 and has placed her in various temporary assignments from time to time. Ms. Garbutt described the plaintiff as a star performer from the beginning, with extensive knowledge about litigation, great energy and exuberance. She said that Ms. Whyte was always well received and would be requested back, being exceptional in customer service skills, and able to handle any amount of work or stress without fail. She invited Ms. Whyte to become involved in some special projects, including the production of instructional videos.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However, Ms. Garbutt testified, since April 2004 she had received some complaints from staff that Ms. Whyte was quick tempered and unpredictable, and she observed that Ms. Whyte appeared depressed at times. She said that Ms. Whyte was sometimes weepy and difficult to deal with. Prior to then, she had always seemed cheerful and optimistic, able to handle anything, energetic and happy.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John Marquardt (whose evidence was received by way of an agreed statement of facts) employed the plaintiff as a legal assistant from November 2006 to January 2007 in a temporary position, 30 - 40 hours per week. He observed her to exhibit, from time to time, behaviour consistent with back or neck pain, and on occasion she would take time off and work from home. Mr. Marquardt viewed the plaintiff as a hard worker, with a good work ethic. He said he does not have a problem with the quality of her work and would re-hire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Stephen Hinds was called by the defence. He is the human resources manager at Lang Michener. He testified that Ms. Whyte had taken a temporary position with Lang Michener at the last minute in their litigation department from April 23 to May 4, 2007, and that she had worked full time and sometimes longer hours. He said that he had not heard any complaints about her work but had not spoken directly to the lawyer for whom she was working. He said that he has asked Ms. Whyte to do a three month trial as a human resources assistant, which is underway.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obvious from the evidence of her former employers that Ms. Whyte has done well as a legal assistant and has established a strong reputation in that field. While the evidence from these past employers shows that the plaintiff from time to time left positions due to conflict with junior lawyers, such disagreements were described as not uncommon. Ms. Whyte does not seem to have had difficulty in finding as much employment as she has wished to undertake, both before and after the accident. I find that she enjoyed her work and its challenges, and that prior to the accident she was in a good position to continue taking temporary or permanent assignments as a senior legal assistant.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position is that she should receive general damages in the range of $90,000. Counsel for the plaintiff referred to a number of cases in which awards were made in circumstances which he argued were comparable.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Badyal v. Sidhu</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2006 BCSC 1877</w:t>
        </w:r>
      </w:hyperlink>
      <w:r>
        <w:rPr>
          <w:rFonts w:ascii="arial" w:eastAsia="arial" w:hAnsi="arial" w:cs="arial"/>
          <w:color w:val="000000"/>
          <w:sz w:val="20"/>
          <w:lang w:val="en-US" w:eastAsia="en-US" w:bidi="ar-SA"/>
        </w:rPr>
        <w:t xml:space="preserve"> the plaintiff suffered chronic pain and depression for two years by the date of trial. The court concluded that resolution was likely to take some time, and awarded $75,000. In </w:t>
      </w:r>
      <w:r>
        <w:rPr>
          <w:rFonts w:ascii="arial" w:eastAsia="arial" w:hAnsi="arial" w:cs="arial"/>
          <w:b/>
          <w:i/>
          <w:color w:val="000000"/>
          <w:sz w:val="20"/>
          <w:lang w:val="en-US" w:eastAsia="en-US" w:bidi="ar-SA"/>
        </w:rPr>
        <w:t>Charlebois v. Vandas</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2004 BCCA 356</w:t>
        </w:r>
      </w:hyperlink>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29 B.C.L.R. (4th) 323</w:t>
        </w:r>
      </w:hyperlink>
      <w:r>
        <w:rPr>
          <w:rFonts w:ascii="arial" w:eastAsia="arial" w:hAnsi="arial" w:cs="arial"/>
          <w:color w:val="000000"/>
          <w:sz w:val="20"/>
          <w:lang w:val="en-US" w:eastAsia="en-US" w:bidi="ar-SA"/>
        </w:rPr>
        <w:t xml:space="preserve"> a jury verdict of $110,000 was upheld, though described by the Court of Appeal as possibly on the high side, where the Court inferred that the jury must have found that three years after the accident the plaintiff suffered chronic pain in the neck, shoulder blades and lower back, tinnitus, vertigo, and occasional nausea seriously affecting the plaintiff's quality of life. </w:t>
      </w:r>
      <w:r>
        <w:rPr>
          <w:rFonts w:ascii="arial" w:eastAsia="arial" w:hAnsi="arial" w:cs="arial"/>
          <w:b/>
          <w:i/>
          <w:color w:val="000000"/>
          <w:sz w:val="20"/>
          <w:lang w:val="en-US" w:eastAsia="en-US" w:bidi="ar-SA"/>
        </w:rPr>
        <w:t>Harvey v. Yanko</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2007 BCSC 216</w:t>
        </w:r>
      </w:hyperlink>
      <w:r>
        <w:rPr>
          <w:rFonts w:ascii="arial" w:eastAsia="arial" w:hAnsi="arial" w:cs="arial"/>
          <w:color w:val="000000"/>
          <w:sz w:val="20"/>
          <w:lang w:val="en-US" w:eastAsia="en-US" w:bidi="ar-SA"/>
        </w:rPr>
        <w:t xml:space="preserve"> resulted in a $90,000 award three years after the accident where the plaintiff suffered fibromyalgia, soreness and stiffness in neck and back, headaches, and post traumatic stress disorder in remission. The plaintiff in </w:t>
      </w:r>
      <w:r>
        <w:rPr>
          <w:rFonts w:ascii="arial" w:eastAsia="arial" w:hAnsi="arial" w:cs="arial"/>
          <w:b/>
          <w:i/>
          <w:color w:val="000000"/>
          <w:sz w:val="20"/>
          <w:lang w:val="en-US" w:eastAsia="en-US" w:bidi="ar-SA"/>
        </w:rPr>
        <w:t>Knickle v. Filipovic</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2006 BCSC 1693</w:t>
        </w:r>
      </w:hyperlink>
      <w:r>
        <w:rPr>
          <w:rFonts w:ascii="arial" w:eastAsia="arial" w:hAnsi="arial" w:cs="arial"/>
          <w:color w:val="000000"/>
          <w:sz w:val="20"/>
          <w:lang w:val="en-US" w:eastAsia="en-US" w:bidi="ar-SA"/>
        </w:rPr>
        <w:t xml:space="preserve"> had neck pain, headaches and pain between the shoulder blades and in the lower back, chronic pain likely to be permanent, chronic major depressive disorder in the mild range, and significant restriction on the ability to enjoy previous activities. Non-pecuniary damages of $90,000 were awarded.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Counsel for the defendant submitted that non-pecuniary damages should be in the $25,000 - $30,000 range and referred to </w:t>
      </w:r>
      <w:r>
        <w:rPr>
          <w:rFonts w:ascii="arial" w:eastAsia="arial" w:hAnsi="arial" w:cs="arial"/>
          <w:b/>
          <w:i/>
          <w:color w:val="000000"/>
          <w:sz w:val="20"/>
          <w:lang w:val="en-US" w:eastAsia="en-US" w:bidi="ar-SA"/>
        </w:rPr>
        <w:t>Kartz v. Carlson &amp; Champagne</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2006 BCSC 716</w:t>
        </w:r>
      </w:hyperlink>
      <w:r>
        <w:rPr>
          <w:rFonts w:ascii="arial" w:eastAsia="arial" w:hAnsi="arial" w:cs="arial"/>
          <w:color w:val="000000"/>
          <w:sz w:val="20"/>
          <w:lang w:val="en-US" w:eastAsia="en-US" w:bidi="ar-SA"/>
        </w:rPr>
        <w:t xml:space="preserve"> where the plaintiff suffered continuing severe headaches and pain or tension in the neck and shoulders, interfering with her ability to perform her job functions, and her condition was expected to continue for up to two years. The award for non-pecuniary damages was $30,000.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Whyte suffered injuries in the April 2004 accident affecting her neck, shoulder and hip. She was unable to work for a month due to acute pain and has suffered ongoing pain, primarily in her neck, but more recently extending into other areas of her body. For reasons related to her personality and her circumstances, she has not taken significant time off work, but I am satisfied that she has experienced the pain she has described, and that she has to some extent worked through pain in order to continue to bring in an income to her family (for which she was the sole breadwinner for some periods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pain has led to difficulties in her work and to a reduction in her ability to enjoy life, in particular the recreational activities she enjoyed previously. The pain has caused her to greatly reduce her activity level and to become deconditioned. I find that she will likely continue to experience pain for some time but will most probably make a substantial recovery within a few years, particularly if she follows the recommendations of Dr. le Nobel. I advert to the principles for awarding damages for pain, suffering, loss of enjoyment of life and loss of amenities described in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On the evidence and in the light of the awards in the authorities to which I have been referred, I have concluded that an award of $80,000 for general damages is fair and reasonable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Past Lost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turn to the question of the plaintiff's entitlement to damages for past lost income. The plaintiff's position is that she lost a total of $29,475, comprised of the following amounts: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$5,065.04 while at MacKenzie Fujisawa (a claim for which the firm is subrogated);</w:t>
      </w:r>
    </w:p>
    <w:p>
      <w:pPr>
        <w:spacing w:before="120" w:line="260" w:lineRule="atLeast"/>
        <w:ind w:left="720"/>
        <w:rPr>
          <w:lang w:val="en-US" w:eastAsia="en-US" w:bidi="ar-SA"/>
        </w:rPr>
      </w:pPr>
      <w:r>
        <w:rPr>
          <w:rFonts w:ascii="arial" w:eastAsia="arial" w:hAnsi="arial" w:cs="arial"/>
          <w:color w:val="000000"/>
          <w:sz w:val="20"/>
          <w:lang w:val="en-US" w:eastAsia="en-US" w:bidi="ar-SA"/>
        </w:rPr>
        <w:t>$1,960 while at Arvay Finlay (seven missed days);</w:t>
      </w:r>
    </w:p>
    <w:p>
      <w:pPr>
        <w:spacing w:before="120" w:line="260" w:lineRule="atLeast"/>
        <w:ind w:left="720"/>
        <w:rPr>
          <w:lang w:val="en-US" w:eastAsia="en-US" w:bidi="ar-SA"/>
        </w:rPr>
      </w:pPr>
      <w:r>
        <w:rPr>
          <w:rFonts w:ascii="arial" w:eastAsia="arial" w:hAnsi="arial" w:cs="arial"/>
          <w:color w:val="000000"/>
          <w:sz w:val="20"/>
          <w:lang w:val="en-US" w:eastAsia="en-US" w:bidi="ar-SA"/>
        </w:rPr>
        <w:t>$8,750 while at Jenkins Marzban (25 missed days);</w:t>
      </w:r>
    </w:p>
    <w:p>
      <w:pPr>
        <w:spacing w:before="120" w:line="260" w:lineRule="atLeast"/>
        <w:ind w:left="720"/>
        <w:rPr>
          <w:lang w:val="en-US" w:eastAsia="en-US" w:bidi="ar-SA"/>
        </w:rPr>
      </w:pPr>
      <w:r>
        <w:rPr>
          <w:rFonts w:ascii="arial" w:eastAsia="arial" w:hAnsi="arial" w:cs="arial"/>
          <w:color w:val="000000"/>
          <w:sz w:val="20"/>
          <w:lang w:val="en-US" w:eastAsia="en-US" w:bidi="ar-SA"/>
        </w:rPr>
        <w:t>$1,500 while at Marquardt &amp; Company;</w:t>
      </w:r>
    </w:p>
    <w:p>
      <w:pPr>
        <w:spacing w:before="120" w:line="260" w:lineRule="atLeast"/>
        <w:ind w:left="720"/>
        <w:rPr>
          <w:lang w:val="en-US" w:eastAsia="en-US" w:bidi="ar-SA"/>
        </w:rPr>
      </w:pPr>
      <w:r>
        <w:rPr>
          <w:rFonts w:ascii="arial" w:eastAsia="arial" w:hAnsi="arial" w:cs="arial"/>
          <w:color w:val="000000"/>
          <w:sz w:val="20"/>
          <w:lang w:val="en-US" w:eastAsia="en-US" w:bidi="ar-SA"/>
        </w:rPr>
        <w:t>$11,200 for seven weeks work missed in 2007;</w:t>
      </w:r>
    </w:p>
    <w:p>
      <w:pPr>
        <w:spacing w:before="120" w:line="260" w:lineRule="atLeast"/>
        <w:ind w:left="720"/>
        <w:rPr>
          <w:lang w:val="en-US" w:eastAsia="en-US" w:bidi="ar-SA"/>
        </w:rPr>
      </w:pPr>
      <w:r>
        <w:rPr>
          <w:rFonts w:ascii="arial" w:eastAsia="arial" w:hAnsi="arial" w:cs="arial"/>
          <w:color w:val="000000"/>
          <w:sz w:val="20"/>
          <w:lang w:val="en-US" w:eastAsia="en-US" w:bidi="ar-SA"/>
        </w:rPr>
        <w:t>$1,000 while at Lang Michener (lower wages as a human resources assistant than she would receive as a senior legal assistant).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also submitted that Ms. Whyte had lost the opportunity for a bonus from Mr. Harvey which would be paid at year end if she achieved more than $25,000 in billings, although he agreed that this loss could not be quantified.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I understand the defendant's position, it is that Ms. Whyte has proved lost income only to the extent of the $5,065.04 in the subrogated claim by MacKenzie Fujisawa. Ms. Dong argued that the plaintiff's earnings have fluctuated over the years, including in the years just before the accident, and that one reason they were down in 2005 may be that she took at least two trips to England and Arvay Finlay did not keep her fully employed in November and December.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considering the evidence as to Ms. Whyte's income over the years, for the purpose of rough comparisons, I will (as did counsel) look at gross business income, rather than net income after expenses, in the years when some or all of her income was from self employment. Ms. Whyte's gross business income was $50,341 in 1998 and $40,619 in 2000. (There was no evidence as to 1999.) She earned $58,864 from employment in 2001 and $70,788 in 2002 including a bonus. In 2003 she earned $42,300. In 2004, the year of the accident, she earned gross business income of $25,440 and employment income of $35,835, for a total of $61,275. In 2005, Ms. Whyte earned $42,524 in gross business income and $3,792.88 in employment income for a total of $46,316.88. At the date of trial her 2006 tax return had not yet been filed. However, the evidence was that she had billed a total of $68,928.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Precise calculation of the plaintiff's lost income is difficult because of the nature of her work (entailing moves from assignment to assignment, and sometimes working as an employee, sometimes as a contractor). She testified that before the accident she did not typically take time off between assignments and that she worked a five day week, and often more than eight-hour days. After the accident she did take some breaks, and attempted to work less than a five day week for some periods of time. I find that the plaintiff did take somewhat more time off after April 2004 than she would have done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However, the review of Ms. Whyte's income year by year set out above suggests that her income level has not suffered significantly as a result of the accident. As well, a review of the days and hours which she has worked since the accident suggests that during some of the periods in question it would have been difficult to work more than she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also take into account the evidence showing that due to other issues (family and unrelated health matters) Ms. Whyte may have taken breaks from work in any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My assessment is that the plaintiff lost $15,000 in income, including the subrogated claim, to the date of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Lost Future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principles to be followed in assessing lost future earning capacity are set out in </w:t>
      </w:r>
      <w:r>
        <w:rPr>
          <w:rFonts w:ascii="arial" w:eastAsia="arial" w:hAnsi="arial" w:cs="arial"/>
          <w:b/>
          <w:i/>
          <w:color w:val="000000"/>
          <w:sz w:val="20"/>
          <w:lang w:val="en-US" w:eastAsia="en-US" w:bidi="ar-SA"/>
        </w:rPr>
        <w:t>Reilly v. Lynn</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10 B.C.L.R. (4th) 16</w:t>
        </w:r>
      </w:hyperlink>
      <w:r>
        <w:rPr>
          <w:rFonts w:ascii="arial" w:eastAsia="arial" w:hAnsi="arial" w:cs="arial"/>
          <w:color w:val="000000"/>
          <w:sz w:val="20"/>
          <w:lang w:val="en-US" w:eastAsia="en-US" w:bidi="ar-SA"/>
        </w:rPr>
        <w:t>, at paras. 100 - 101: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An award for loss of earning capacity presents particular difficulties. As Dickson J. (as he then was) said,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p>
    <w:p>
      <w:pPr>
        <w:spacing w:before="120" w:line="260" w:lineRule="atLeast"/>
        <w:ind w:left="1080"/>
        <w:rPr>
          <w:lang w:val="en-US" w:eastAsia="en-US" w:bidi="ar-SA"/>
        </w:rPr>
      </w:pPr>
      <w:r>
        <w:rPr>
          <w:rFonts w:ascii="arial" w:eastAsia="arial" w:hAnsi="arial" w:cs="arial"/>
          <w:color w:val="000000"/>
          <w:sz w:val="20"/>
          <w:lang w:val="en-US" w:eastAsia="en-US" w:bidi="ar-SA"/>
        </w:rPr>
        <w:t>We must now gaze more deeply into the crystal ball. What sort of a career would the accident victim have had? What were his prospects and potential prior to the accident? It is not loss of earnings but, rather, loss of earning capacity for which compensation must be made. ... A capital asset has been lost: what was its value?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 2001), </w:t>
      </w:r>
      <w:hyperlink r:id="rId868"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i/>
          <w:color w:val="000000"/>
          <w:sz w:val="20"/>
          <w:lang w:val="en-US" w:eastAsia="en-US" w:bidi="ar-SA"/>
        </w:rPr>
        <w:t>Andrews v. Grand &amp; Toy Alberta Ltd., supra</w:t>
      </w:r>
      <w:r>
        <w:rPr>
          <w:rFonts w:ascii="arial" w:eastAsia="arial" w:hAnsi="arial" w:cs="arial"/>
          <w:color w:val="000000"/>
          <w:sz w:val="20"/>
          <w:lang w:val="en-US" w:eastAsia="en-US" w:bidi="ar-SA"/>
        </w:rPr>
        <w:t>, at 253, are a useful guide:</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w:t>
      </w:r>
      <w:r>
        <w:rPr>
          <w:rFonts w:ascii="arial" w:eastAsia="arial" w:hAnsi="arial" w:cs="arial"/>
          <w:color w:val="000000"/>
          <w:sz w:val="20"/>
          <w:u w:val="single"/>
          <w:lang w:val="en-US" w:eastAsia="en-US" w:bidi="ar-SA"/>
        </w:rPr>
        <w:t>Clearly, the percentage deduction which is proper will depend on the facts of the individual case, particularly the nature of the plaintiff's occupation, but generally it will be small</w:t>
      </w:r>
      <w:r>
        <w:rPr>
          <w:rFonts w:ascii="arial" w:eastAsia="arial" w:hAnsi="arial" w:cs="arial"/>
          <w:color w:val="000000"/>
          <w:sz w:val="20"/>
          <w:lang w:val="en-US" w:eastAsia="en-US" w:bidi="ar-SA"/>
        </w:rPr>
        <w:t xml:space="preserve"> ...</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b/>
          <w:i/>
          <w:color w:val="000000"/>
          <w:sz w:val="20"/>
          <w:lang w:val="en-US" w:eastAsia="en-US" w:bidi="ar-SA"/>
        </w:rPr>
        <w:t>Reilly v. Lynn</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position is that the difficulties she has experienced in performing her functions as a legal assistant, including a decline in her performance and in her "soft skills" (as confirmed by Betty Garbutt) have led her to seek a less demanding job such as in human resources. I accept that she has found it too difficult to continue in the legal assistant role at this time, despite her best efforts.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do not find, however, that the plaintiff has established on a balance of probabilities that she will never be able to resume full-time work as a legal assistant. The medical expert witnesses have diverse opinions as to her prognosis. Dr. le Nobel said that the prognosis is guarded, but agreed that there are steps which would improve it. Dr. Tai's opinion in April 2006, was that Ms. Whyte's prognosis for a full recovery is good. Dr. Shuckett's view was that it is likely Ms. Whyte will continue to have symptoms in the longer term future and will find herself challenged in functioning at her job. Dr. Hirsch did not find any current impediment to Ms. Whyte's working full-time or resuming her former sporting activities and domestic work. I find that it is most likely that Ms. Whyte, if she follows the recommendations of Dr. le Nobel (which were also endorsed by Dr. Hirsch), will substantially recover in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evidence was that senior legal assistants can earn $75,000 per year; Ms. Whyte's current entry-level human resources assistant position pays $45,000 per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Mussio on behalf of the plaintiff submitted that the net present value of a loss of $30,000 per year is $496,400 and that, taking into account the contingencies, a future loss of earning capacity award of $250,000 would be reasonable. (I note that in making this submission Mr. Mussio relied on the report of Darren Benning dated May 10, 2007, estimating future income loss multipliers for a person of Ms. Whyte's age. Ms. Dong objected to the admission of that report on two bases: lack of necessity, and lateness. She did not allege any prejudice to the defendant. I concluded that evidence as to the future income loss multipliers met the necessity standard and I exercised my discretion to permit Mr. Mussio to make his submission utilizing the multipliers despite the failure to serve the report 60 days in advance. However, damages are to be assessed, not calculated, and I have not taken a mathematical calculation approach to the assessment of lost future earning capacity, as will be seen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defendant's position was that the plaintiff is likely to recover completely from her injuries and that there is no basis for an award for loss of earning capacity. Ms. Dong referred to several authorities (</w:t>
      </w:r>
      <w:r>
        <w:rPr>
          <w:rFonts w:ascii="arial" w:eastAsia="arial" w:hAnsi="arial" w:cs="arial"/>
          <w:b/>
          <w:i/>
          <w:color w:val="000000"/>
          <w:sz w:val="20"/>
          <w:lang w:val="en-US" w:eastAsia="en-US" w:bidi="ar-SA"/>
        </w:rPr>
        <w:t>Deno v. Cooper</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2006 BCSC 1326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Doosti v. Enterprise Rent-a-Car Canada Ltd.</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2006 BCSC 247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Holder v. MacLean</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2001 BCSC 1474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Bedwell v. McGill and Currie</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2006 BCSC 369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Borth v. Lee</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2005 BCSC 1517</w:t>
        </w:r>
      </w:hyperlink>
      <w:r>
        <w:rPr>
          <w:rFonts w:ascii="arial" w:eastAsia="arial" w:hAnsi="arial" w:cs="arial"/>
          <w:color w:val="000000"/>
          <w:sz w:val="20"/>
          <w:lang w:val="en-US" w:eastAsia="en-US" w:bidi="ar-SA"/>
        </w:rPr>
        <w:t xml:space="preserve">). Those authorities illustrate applications of the principle that the plaintiff has the burden of showing, on a balance of probabilities, that she has lost her ability to earn income, taking into account whether her injuries have rendered her less capable overall from earning income from all types of employment, whether she is less marketable or attractive as an employee to potential employers, whether she has lost the ability to take advantage of all job opportunities which might otherwise have been open to her, and whether she is less valuable to herself as a person capable of earning income in a competitive labour market (the factors specified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Ms. Dong argued that the fact that the plaintiff has always been fully employed since the accident, and that she has completed almost all of her assignments without complaint from the employers shows the absence of foundation for an award for lost future income. She submitted that </w:t>
      </w:r>
      <w:r>
        <w:rPr>
          <w:rFonts w:ascii="arial" w:eastAsia="arial" w:hAnsi="arial" w:cs="arial"/>
          <w:b/>
          <w:i/>
          <w:color w:val="000000"/>
          <w:sz w:val="20"/>
          <w:lang w:val="en-US" w:eastAsia="en-US" w:bidi="ar-SA"/>
        </w:rPr>
        <w:t>Borth v. Lee</w:t>
      </w:r>
      <w:r>
        <w:rPr>
          <w:rFonts w:ascii="arial" w:eastAsia="arial" w:hAnsi="arial" w:cs="arial"/>
          <w:color w:val="000000"/>
          <w:sz w:val="20"/>
          <w:lang w:val="en-US" w:eastAsia="en-US" w:bidi="ar-SA"/>
        </w:rPr>
        <w:t>is comparable to this case. There, the plaintiff felt her earning capacity was impaired because she had to take longer to perform tasks and her concentration was affected. However, she was able to continue to fulfill her duties of employment (though with difficulty). There was no award for loss of future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difference between that case and the one before me is that Ms. Whyte has found it necessary to change the focus of her work, and to seek employment in an area where the physical demands, potential for stress and the requirement to work long hours under pressure will be reduced, and where the salary is lower. She will need to retrain or at least gain experience in a new field, and, as a result, there will be a loss in her ability to earn income during the period when she is still unable to resume the legal assistant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find that the plaintiff has established a substantial likelihood that her income will be reduced in the future as a result of the injuries suffered in the accident. I find that she has suffered some loss of future earning capacity. Her ability to work in the demanding role of legal assistant has been reduced; the capital asset represented by her experience and reputation in that field has diminished in value. However, taking into account the probability that she will be able to return to legal assistant work and the fact that there was some possibility that she would, in any event, have had to make a change in direction in her career or reduce the amount of work she took on, I find that an award of damages for lost future earning capacity of $40,000 is appropriate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seeks $10,000 for the cost of future care with respect to treatments recommended by physicians, including: visits with a kinesiologist or physiotherapist, an exercise program (possibly with a personal trainer), a weight loss program, counselling for stress management, medications, and possibly domestic homemaking services in the future. There was no detailed breakdown of the costs of these treatments and services.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Counsel for the defendant submitted that the only award should be $1,500, to cover a three month gym membership plus some personal training sessions.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that $5,000 is the appropriate award under this 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Finally, as to special damages, the plaintiff seeks a total of $6,889.89. The defendant disputes certain items (an ergonomic chair for $1,700, a double mattress for $342 and a Curvemaster program for $450.) There was no evidence that a chair of that price was necessary, or that a mattress purchase was necessary. The plaintiff testified that she was unable to make much use of the Curvemaster program.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will deduct $700 to reflect a less expensive chair, as well as the mattress and Curvemaster amounts, and award $5,397.89 in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Unless there is some reason of which I am unaware that makes such an order inappropriate, the plaintiff will have her costs at Scale 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summary, I assess the damages to be awarded to Ms. Whyte as follows: $80,000 for pain, suffering, loss of enjoyment of life and loss of amenities; $15,000 for lost income to the date of trial, $40,000 for lost income earning capacity, $5,000 for cost of future care and $5,397.89 for special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C.L. SMITH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6"/>
          <w:headerReference w:type="default" r:id="rId877"/>
          <w:footerReference w:type="even" r:id="rId878"/>
          <w:footerReference w:type="default" r:id="rId879"/>
          <w:headerReference w:type="first" r:id="rId880"/>
          <w:footerReference w:type="first" r:id="rId8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2" w:history="1">
        <w:r>
          <w:rPr>
            <w:rFonts w:ascii="arial" w:eastAsia="arial" w:hAnsi="arial" w:cs="arial"/>
            <w:b/>
            <w:bCs/>
            <w:i/>
            <w:color w:val="0077CC"/>
            <w:kern w:val="32"/>
            <w:sz w:val="28"/>
            <w:szCs w:val="32"/>
            <w:u w:val="single"/>
            <w:shd w:val="clear" w:color="auto" w:fill="FFFFFF"/>
            <w:lang w:val="en-US" w:eastAsia="en-US" w:bidi="ar-SA"/>
          </w:rPr>
          <w:t>469238 B.C. Ltd. (c.o.b. Lawrence Heights) v. Okanagan Aggregates Ltd. (c.o.b. Motoplex Speedway and Event Park), [2016] B.C.J. No. 829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Rogers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7-11, 14-18, 21-24, 29, 31 and April 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105096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829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721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469238 B.C. Ltd. dba Lawrence Heights, Christopher Hrabchuk, Donald Krazanowski, June Schleusener and David Cromarty, Plaintiffs, and Okanagan Aggregates Ltd., dba Motoplex Speedway and Event Park (formerly known as Sunvalley Speedway Ltd.) and Fred Gilowski,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3"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4" w:name="Keywords_45"/>
      <w:bookmarkEnd w:id="294"/>
      <w:r>
        <w:rPr>
          <w:rFonts w:ascii="arial" w:eastAsia="arial" w:hAnsi="arial" w:cs="arial"/>
          <w:b/>
          <w:color w:val="000000"/>
          <w:sz w:val="20"/>
          <w:lang w:val="en-US" w:eastAsia="en-US" w:bidi="ar-SA"/>
        </w:rPr>
        <w:t>Civil litigation — Civil procedure — Injunctions — Circumstances when granted — Permanent injunctions — Prohibitive injunctions — Action by plaintiffs for damages for nuisance and for permanent injunction preventing escape of noise from motorcar race track allowed — Corporate plaintiff held lease for and was developer of residential area — Individual plaintiffs had sub-leases — Noise from operation of defendants' motorcar race track substantially and unreasonably interfered with plaintiffs' use and enjoyment of lease and sub-leases — Each of individual plaintiffs was awarded $7500, except one who was awarded $5000 — Corporate plaintiff was awarded $100,000.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property — Real property — Nuisance — Action by plaintiffs for damages for nuisance and for permanent injunction preventing escape of noise from motorcar race track allowed — Corporate plaintiff held lease for and was developer of residential area — Individual plaintiffs had sub-leases — Noise from operation of defendants' motorcar race track substantially and unreasonably interfered with plaintiffs' use and enjoyment of lease and sub-leases — Each of individual plaintiffs was awarded $7500, except one who was awarded $5000 — Corporate plaintiff was awarded $100,000.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Nuisance — What constitutes nuisance — Private nuisance — Liability — Particular nuisance — Noise — Remedies — Action by plaintiffs for damages for nuisance and for permanent injunction preventing escape of noise from motorcar race track allowed — Corporate plaintiff held lease for and was developer of residential area — Individual plaintiffs had sub-leases — Noise from operation of defendants' motorcar race track substantially and unreasonably interfered with plaintiffs' use and enjoyment of lease and sub-leases — Each of individual plaintiffs was awarded $7500, except one who was awarded $5000 — Corporate plaintiff was awarded $100,000.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5" w:name="Case Summary_40"/>
            <w:bookmarkEnd w:id="2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for damages for nuisance and for a permanent injunction preventing the escape of noise from a motorcar race track. The corporate plaintiff held a lease for and was the developer of a residential area. The individual plaintiffs had sub-leases. The plaintiffs alleged that noise from the operation of the defendants' motorcar race track interfered with the plaintiffs' use or enjoyment of their land. The individual plaintiffs claimed that they had a right to live on their lots without being irritated by the noise. The corporate defendant said that the noise made lots in part of the development unmarketable. The racing happened on 10 to 18 afternoons and evenings during the summer months. The surrounding area comprised a mix of agricultural, suburban housing, trailer park housing and light industrial uses.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6" w:name="Holdings of Court_33"/>
            <w:bookmarkEnd w:id="29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governing limitation period was six years, as the plaintiffs' claims for pure economic loss did not arise from an injury to person or property. The noise substantially and unreasonably interfered with the individual plaintiffs' use and enjoyment of their sub-leases. When racing was underway, the noise was loud and irritating enough to drive the individual plaintiffs indoors or persuade them to leave the development altogether. They would otherwise have been sitting outside, tending to their gardens, reading, relaxing and entertaining. The noise was the antithesis of the kind of gentle background sounds that residents of a rural subdivision could reasonably expect to hear in their neighbourhood. The noise substantially and unreasonably interfered with the corporate plaintiff's use of its lease. The noise delayed the development of land that was well suited to it. Each of the individual plaintiffs was awarded $7500, except one who was awarded $5000 based upon his shorter tenure. The corporate plaintiff was awarded $100,000. The defendants were enjoined from using their land for any purpose that would cause a level of noise exceeding 80 decibels averaged over a five-minute period measured at the point on the perimeter of the land most closely proximate to the development.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7" w:name="Legislation Cited_31"/>
      <w:bookmarkEnd w:id="2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4"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s. 3(2)(a), s.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Township of Spallumcheen's Bylaw 1462,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8" w:name="Counsel_45"/>
      <w:bookmarkEnd w:id="29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5"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J.G. Hardwick, J.W.T.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R.N. Beckmann, R.K. Benham-Parker.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9" w:name="Judgment_45"/>
      <w:bookmarkEnd w:id="299"/>
      <w:r>
        <w:pict>
          <v:line id="_x0000_s1246"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0" w:name="P. ROGERS J."/>
            <w:bookmarkEnd w:id="300"/>
            <w:r>
              <w:rPr>
                <w:rFonts w:ascii="arial" w:eastAsia="arial" w:hAnsi="arial" w:cs="arial"/>
                <w:b/>
                <w:color w:val="000000"/>
                <w:sz w:val="30"/>
                <w:lang w:val="en-US" w:eastAsia="en-US" w:bidi="ar-SA"/>
              </w:rPr>
              <w:t>P. 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have interests in a residential area called Lawrence Heights. The corporate plaintiff holds the head lease for the land and is the developer of the site. The individual plaintiffs have sub-leaseholds in the development. The defendants own and operate a motorcar race track located a short distance away from Lawrence Heights. The plaintiffs allege that noise from the operation of the race track substantially and unreasonably interferes with their use or enjoyment of their land. They say that the defendants are causing a nuisance. The plaintiffs seek a permanent injunction preventing the escape of noise from the track or an award of substantial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have agreed that the claims against Mr. Gilowski be dismissed without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central issues in this case are whether the noise of cars on the track is frequent and loud enough to constitute an actionable nuisance, and if it is whether the appropriate remedy for one or all of the plaintiffs is an injunction or an award of damages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Facts Pertaining to 469238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469238 B.C. Ltd. was incorporated for the purpose of acquiring a lease of certain lands in the township of Spallumcheen, B.C. From its inception until approximately 2010, Mr. Lawrence Hrabchuk acted as 469's principal operating mind. From 2010 on, Mr. Lawrence Hrabchuk continued as an officer and director of 469 but he ceded day-to-day control of 469's operations to his son Christopher Hrabchuk.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1996, 469 entered into a lease with the Federal Government. The lease gives 469 tenure over approximately 80 acres of land located within what is commonly referred to as the Okanagan Indian Band Reserve 1. The land is held by Mr. Harvey and Ms. Tricia Lawrence under a certificate of possession. Mr. and Ms. Lawrence are members of the Okanagan Indian Band. They are known as the locatees of the property. In order to lease the land, 469 had to come to terms with the Lawrences and then had to present those terms for approval by bureaucrats at the Federal Government of Canada's Department of Aboriginal Affairs and Northern Development. This last step was necessary because the Federal Government holds the land in trust for the Okanagan Indian Band and, through their membership in the Band, in trust for the Lawrences.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land is an irregular triangle lying north of Highway 97 between the township of Spallumcheen (roughly ten kilometers west of Vernon, B.C.) and that Highway's intersection with the Salmon River Road. The land is elevated above the highway. Views of Okanagan Lake can be had from the southwestern edge of the property. The northeastern edge offers pleasant views of the Spallumcheen Valley. The land comprises two terraces. The lower terrace is the larger of the two. The upper terrace is roughly a quarter the size of the lower. The upper terrace is in the northwestern tip of the rough triangle formed by the leased parcel.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469 named its venture on the leased lands "Lawrence Heights".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469's purpose in leasing the land was and is to develop a particular style of residential neighbourhood within its confines. To that end 469 entered into a dealership agreement with SRI Homes of Winfield, B.C. SRI manufactures modular homes. 469's business plan is to install the infrastructure - roads, water system, power, telephone, waste management and the like - necessary for a residential neighbourhood and to retail SRI homes to persons wishing to move into the development. 469 makes money from its markup on the price of the SRI manufactured homes it sells to its customers, on the fees that it charges its customers to make a lot ready to accept the home, on fees it charges to install and set up the home, on fees it charges to construct extras on the lot such as garages, shops, and decks, and it makes money on the rent that its customers pay under subleases that they enter into with 469 for the lots on which the customers' home are 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469 is content to allow other modular home manufacturers to sell residences to new sub-tenants as well. When that happens, 469 does not make a markup on the house itself. Instead, 469 charges the modular home vendor a fee for the privilege of placing its customer's new home on a lot in Lawrence Heights. The fee comprises partial recovery of 469's capital expenditure to install the development's infrastructure and it covers the cost to 469 of making the lot ready for the new home by constructing a driveway and foundation, connecting the home to services such as water, power, and telephone, and the fee covers the cost of any additional work that the new sub-tenant might commission. This "lot fee" started out in the late 1990s at $10,500 and as of the trial date it has risen to approximately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469's overhead comprises the rent it must pay to the Federal Government under the head lease, the cost of building roads and providing services to the lots, and the cost of day-to-day operations such as road maintenance, trash collection, and upkeep of common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head lease expires in 2045. It provides for a minimum amount of annual rent and adjustments to the rent in five-year increments. Those adjustments are geared to the Consumer Price Index. The original lease also provides for deferment of a portion of the rent for the first six years of the lease or the sub-letting of the 150th lot, whichever first occurs. In 2002, the parties modified the head lease to extend the deferment period to the letting of the 150th lot and to raise the minimum rent from $30,000 to $60,000 per year. In 2006, the lease was modified again to raise the minimum rent to $90,000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Federal Government and Mr. Christopher Hrabchuk have performed calculations of 469's payable, paid, and deferred rents. The Federal calculations cover the period 1996 to the end of 2011. The Federal calculations are based on increases of the base rent that actually occurred in that period. For the period 2012 to 2015, Mr. Christopher Hrabchuk has performed his own calculations. He has estimated that the CPI will increase 469's base rent by 4.4 percent. The Federal Government has not yet confirmed that Mr. Christopher Hrabchuk's estimate is accurate. The chart attached as Appendix "A" contains these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Assuming that Mr. Christopher Hrabchuk has got it right, as of the end of 2015, the deferred rent totals $730,000 (rounded). If the CPI formula results in an increase to the base rent greater than 4.4 percent, then the deferred rent total will be greater than $730,000. If the CPI increase is less, then the deferred rent will be less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Christopher Hrabchuk testified that 469 has successfully negotiated with the Lawrences for two further modifications to the head lease. The third modification would provide for an extension of the lease term for 17 years in return for annual rents plus a lump sum payment of $264,500. Mr. Christopher Hrabchuk testified that he came to that agreement with the Lawrences in 2013. The Lawrences have indicated their acceptance of those terms by letter signed July 26, 2013. The proposed extension of the head lease has not been formally accepted by the Federal Government. The letter agreement setting out the terms of the proposed third modification indicates that the parties consider that the price of the extension - $264,500 - is the present value of the rents 469 might collect from all of the lots in the development over the 17-year extension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Christopher Hrabchuk testified that he does not expect to have difficulty raising the $264,500. He said that he will collect the needful sum from 469's tenants as the price they must pay to obtain a 17-year extension of their sub-leases.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Christopher Hrabchuk testified that he expects there to be a fourth modification to the head lease. That modification would provide for forgiveness of the deferred rent in return for payment of a lump sum of $185,500 and an increase in the annual rent to $120,000 plus adjustments geared to inflation. Mr. Christopher Hrabchuk testified that he negotiated these terms with the Lawrences in November 2014, but that those terms have not yet been formally accepted by the Federal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Christopher Hrabchuk is confident that the Federal Government will accede to the third and fourth modifications.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worth noting that historically, the Federal Government has entered into agreements with 469 on the terms agreed to by the Lawrences and 469. No evidence was led at trial to suggest that the Federal Government will not continue to follow that practice with respect to the proposed agreements to extend the lease and discount the deferred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Christopher Hrabchuk testified that he expects 469 to be profitable even though he expects to have to pay the lump sums totalling $450,000 plus increased rents to the Lawrences. The profit will come from the balance of the rents that 469 will collect from its sub-tenants.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469's target market is persons who are nearing or have reached retirement age. These are people who wish to downsize their accommodation without diminishing the quality of their lifestyles. 469 strives to offer a quiet, tidy, fully serviced, and well-maintained suburban neighbourhood that is pleasant but not ostentatious, affordable but not shoddy, and rural but not secluded. The evidence at trial satisfied me that the Lawrence Heights development in fact offers attractive amenities to its occupants. It is a desirable place to 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469 prefers senior citizens for its sub-tenants. It does not cater to younger sub-tenants and, by charging extra rent for more than two occupants in a home, it actively discourages families from moving into the development. The neighbourhood is, therefore, comprised of a relatively homogenous group of retired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pace of development of Lawrence Heights was a subject of much discussion in the trial. As noted earlier, Lawrence Heights is located on two terraces that lie above Highway 97. 469 constructed the infrastructure of the lower terrace first. The construction proceeded in what might loosely be called phases. By correlating the phase development diagrams in trial Exhibit 4 with the annual sales data set out in Schedule A of the agreed statement of facts, I have determined that the actual pace of development of Lawrence Heights from 1998 to the present is thus: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7" type="#_x0000_t75" style="width:432.06pt;height:306.04pt">
            <v:imagedata r:id="rId883"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total development potential of Lawrence Heights is 202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All of the development to date is confined to the lower terrace. Lawrence and Christopher Hrabchuk both testified that what remains to be developed are several lots at the northern most edge of the lower terrace and another 50 to 54 lots on the upper terrace. They testified that they have not caused 469 to develop those lots because they consider the lots to be unsellable. They are unsellable because, according to the Hrabchuks, noise from racing operations at the defendants' race track renders those potential lots unmarketable. In their minds, the noise from the racetrack is such that no tenant of theirs would be willing to invest in a home and place it on one of the as yet undeveloped lots. For that reason they say that 469 is not willing to risk the capital expenditure - between $750,000 and $1.35 million - that would be necessary to build roads and install services for the remaining portion of the lower terrace and all of the upper terrace.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about the alleged damage to the development potential of these 50 or so lots that 469 complains in this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Facts Pertaining to Sunvalley Speedway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speedway was conceived by Mr. Gary Hammond in or around 1999. Mr. Hammond caused his company Whiteline Trucking Ltd. to acquire the land and he arranged for the track to be built. The property on which the track is located is legally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Lot A, Section 9, Township 7, ODYD, Plan KAP64279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track is located across Highway 97 from Lawrence Heights. Its southern perimeter is west and slightly to the north of the northern-most tip of Lawrence Heights' upper terrace. Those two points are approximately 300 meters apart as the crow flies.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Mr. Hammond's application, the township of Spallumcheen changed its zoning bylaw to permit the land to be used as an automotive racing facility. The zoning imposed a limit of 18 days of operation. It also limited the hours of operation from noon to midnight. Although the Township has a noise restriction bylaw, it saw fit to exempt the speedway from its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Hammond and Whiteline Trucking fell into financial difficulty. In or around 2003, Whiteline Trucking was placed in receivership. In 2004, Whiteline sold the speedway to 687309 B.C. Ltd. The principals of that corporation were Mr. Rhodes, Mr. Fraser, and Mr. Gilowski. In or around 2007, Mr. Gilowski caused his company Okanagan Aggregates Ltd. to purchase Mr. Rhodes' and Mr. Fraser's shares in the numbered company. Later, Okanagan Aggregates bought Mr. Gilowski's shares in the numbered company. The numbered company changed its name to Sunvalley Speedway Ltd. Finally, Okanagan Aggregates amalgamated with Sunvalley Speedway. In the result, by 2010 Okanagan Aggregates had assumed ownership and operational control over the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speedway hosted its first race in August 2000. There was only one event that year. The number of racing events in the following years varied from year to year. Based on the parties' agreed statement of facts and the evidence of Messrs. Satchell and Newcombe, I have determined that the following table accurately describes the number of days per year that racing occurred at the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Minimum Number of Race Days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2002</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2003</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2005</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2007</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2013</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2014</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2015</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Newcombe has acted as manager of the racetrack since its inception. He testified as to the normal operation of the track and as to the types of vehicles that use it. I found Mr. Newcombe to be a reasonably careful witness. His evidence was credible and reliable. I accept his evidence where it touched on how the racetrack operates.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Race events at the track occur between mid-April and early October. There is no racing during the winter months. As a general proposition, racing happens every second Saturday in the summer. Sometimes a Saturday race was postponed or cancelled due to weather. Occasionally, the track allowed a particular class of race cars to practice on the track on the Friday before a Saturday race. When they occurred, Friday practices took place during daylight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Saturday races sometimes involve afternoon practice for some classes. Normally, though, racing commences with qualifying runs at 6 p.m. Qualifying involves one car doing three laps on the track. Qualifying is usually finished by 7 p.m. Actual racing starts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a usual race day, three or four classes of car race, one after the other. Several classes involve small lightly-powered vehicles. These classes include: Cascar Juniors with 9 hp Honda motors; Dwarfs with air-cooled 750 cc motors; Baby Grands and Legends with air-cooled 1-liter or smaller engines; street stock cars; and B.C. Old Timers with their 230 to 250 c.i. 6-cylinder motors. These classes of vehicles are all equipped with reasonably effective exhaust mufflers. They do not generate enough noise to be bothersome beyond the perimeter of the race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Several other classes of race cars are, however, powerful and loud. The three general species of loud classes are Sprint cars, Sportsmen cars and trucks, and NASCAR series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Sprint cars are open wheel vehicles. Some run on a type of fuel that, when exhausted from the car, leaves an unpleasant odor in the air. Sprint cars are much louder in operation than a normal street legal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Sportsmen-type racers look like conventional passenger cars or pickup trucks, but have shell-like bodies attached to purpose-built chassis. Sportsmen racers have 358 c.i. V8 motors. They have mufflers but are, nevertheless, considerably louder in operation than ordinary cars. Sportsmen race cars campaign under a number of different names such as Wescar and Supertruck.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NASCAR vehicles are purpose-built race cars. Their mufflers systems are rudimentary.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two occasions - July 14 and 15, 2007, and July 19, 2008 - NASCAR brought open-exhaust race cars to the track. They did 300-lap races in each year. These vehicles had no muffler systems installed at all. They were extremely loud; so loud that that while they were on the track no conversation could be had in the grandstands. The sound of the 2008 event was recorded by a sound engineer retained by 469 for the purpose of this proceeding. I will describe that sound more fully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From 2009 on, all NASCAR vehicles arrived with some form of muffler. That did not make them as quiet as your grandfather's Toyota Camry, but it did reduce their sound level somewhat.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a typical race day, there will be one or two sportsmen or NASCAR classes. They will race for one or two hours. A sprint class may race as well. Those races generate the greatest amount of noise. There are usually one or two races involving the lesser classes as well. Racing is often over at 10 p.m., although it can go as late at 11 p.m. if the races are held up by caution flags or mishaps.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racetrack has a public address system. So that the people attending the race can hear the announcer, the volume of the PA must be high enough to be heard over the sound of the race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addition to competitive racing, Okanagan Aggregates has hosted several automotive spectacle events. These include monster trucks, hit to pass derbies, trailer towing demolition derbies, and "King of the Hill" events. None of these events generate an appreciable amount of noise within or outside the track's perimeter.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Newcombe performed technical inspections of all of the vehicles that used the track. The track imposes a noise limit on those vehicles. Signs are prominently posted at the track's entrance and racer registration areas. The signs indicate that the maximum noise permitted by a vehicle is 95 decibels. Mr. Newcombe tests the sound of the cars with a handheld sound level meter. He stands by the exhaust outlet and asks the operator to take the car's engine to 2,500 RPM. If the sound level exceeds 95 dB on his meter he does not let the car on the track until it is made to be quieter. Cars, when they race, run their engines at or near 8,000 RPM.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or around 2010, Okanagan Aggregates made three changes in what it says was an effort to reduce the volume of sound emanating from the track. One change was to remove two public address loudspeakers from the infield of the track. That left only speakers facing away from the hill on which Lawrence Heights lies. The second change was to install fabric fence covering on the portion of the catch fence surrounding the track that faces Lawrence Heights. The third measure was to install a fabric curtain between a gap in trees at the perimeter of the track property - again at a location that faced Lawrence Heights. None of these measures was assessed by the sound engineers whose work I will discuss later. None of these measures was shown to have any effect on the volume of racetrack sound heard at Lawrence Heights.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can be seen in the table above, a total of only five racing events were held in 2014 and 2015. Competitive racing has been significantly scaled back in those two years. There are several causes for that reduction. One cause was Mr. Newcombe's personal circumstances - in 2013 his wife was ill and, sadly, she passed away in 2014. This was very difficult for him. He was not able to devote as much time as before to scheduling and managing the track's operations. Another cause was a shift in Mr. Newcombe's employment. In or around 2014 he accepted a new position based in Merritt, B.C. where he looks after a fleet of heavy machinery owned by one of Mr. Gilowski's companies. Yet another cause was the fee charged by NASCAR to sanction that series racing events at the track. As Mr. Satchell, Okanagan Aggregates' financial controller, put it the fee and the amount of work required to host a NASCAR event outweighed the benefit of having those race events. Further, there was a lack of sponsorship and fan interest. Finally, the racetrack as a whole has never been profitable. Individual race events do make money for Okanagan Aggregates, but year on year the track costs the company more than it generates. Mr. Gilowski has instructed Mr. Satchell and Mr. Newcombe to wind down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are no official race events scheduled to take place at the track in 2016. It is too late now to contract with NASCAR to bring its cars to the track. It is an open question whether other classes will or will not race in the summer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the racetrack is relatively dormant at present, that is not necessarily a permanent situation. It is a fully built and serviced facility. Local ordinances allow it to be in operation up to 18 days per year. Okanagan Aggregates or any subsequent owner could elect to reinitiate racing in the years to 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Evidence concerning sound emanating from the racetrack came from two general sources. One source comprised the reports and testimony of experts in the field of capturing, collating, and interpreting sound data. The evidence from these experts was largely quantitative, although it has to be said that the playback of a selection of their recordings made a significant subjective impression upon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other source of sound evidence was the personal recollection of people who experienced racing sounds while inside Lawrence Heights. These people included residents of the development and the defendant's representatives Messrs. Satchell and Newcombe. This second source was subjective and anecdotal.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Sound Experts - Acoustical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acoustical engineers who testified at trial used various terms to describe the sound levels they recorded while on 469's property. The actual volume of sound was expressed in decibels. Each 10 dBA increase in sound level equates to a doubling of the sound in the listener's perception. An increase of 20 dBA is a fourfold increase. Background, or ambient, noise is the level of noise normally present in the environment. A quiet environment has a background sound level on the order of 35 to 45 dBA.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arranged for sound engineers to capture and record the sound of race events on July 19, 2008 and September 25 and 26, 2010. The defendants had their sound engineers attend at 469's property on June 22,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Oddly, all of the empirical studies were carried out on 469's property. No one thought to measure the level of sound of racing within the race track or at the perimeter of its grounds. It is not, therefore, possible to know by how much the sound at its source is attenuated by geography and distance between the track and Lawrence Heights.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Brown Strachan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July 19, 2008 event involved a two-hour long NASCAR race followed by a shorter race of street stock cars. The NASCAR vehicles had no exhaust mufflers at all. Nineteen cars started the race, 13 finished it. Mr. Peterson of Brown Strachan Associates recorded the event. He set up a microphone at the northwest corner of 469's leasehold. That point had a clear line of sight across Highway 97 to the racetrack below. The parties arranged for the recording to be played back in court. Mr. Peterson organized the playback equipment so that the sound level at the bench was the same as the sound level on the property on the night of the 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Mercifully, the playback in court of this event was limited to approximately 45 seconds. The sound was absolutely deafening. It was painful. There was no hope of having any conversation in the courtroom while it was going on. Halfway through this experience my only hope was that it would end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volume of sound from the 2008 NASCAR race did vary. At one point the race cars slowed for a time. The sound from the track during this period was less than peak volume, but was still incredibly loud. Mr. Peterson charted the noise levels of the races that night. The peak noise level was approximately 93 dBA. The average noise level during the two-hour NASCAR race was 86 dBA. The much shorter street stock race generated noise peak noise levels of 80 dBA and the average level of that race was 77 dBA. Mr. Peterson's measurement of the background noise at the site was 37 dBA.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FFA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September 25 and 26, 2010, Mr. Luna, a technician employed by FFA Consultants of Calgary, Alberta, captured and recorded the sound of a race event. The vehicles racing that night were Sprint cars, sportsmen cars, street stock cars, and street legal vehicles in a "King of the Hill" entertainment feature.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Luna set up recording devices at two fixed locations. Location one was at the northwest corner of the property similar to if not exactly at the same spot that Mr. Peterson had used. The second location was on the western edge of the upper terrace and perhaps 100 meters southeast of location one. Location two did not have a clear line of sight to the race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Luna also took spot measurements of sound levels at other locations within 469's leasehold. Three of those locations were on the lower terrace at the northern extent of the occupied lots. For those locations the upper terrace acts as something of a shield to sound from the racetrack.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Faszer, a sound engineer with FFA Consultants, played snippets of the sound of racing in court. He used the same playback method as Mr. Peterson. The noise from the September 2010 event was somewhat less than the noise of the 2008 race. It was still extremely loud. Normal conversation was impossible within the courtroom while the playback was on. In fact, the noise from the playback was so loud that shouting would probably have been ineffectual. I noted that Mr. Hardwick was driven to use hand signals to get Mr. Faszer's attention, so that he could shut the thing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FFA study showed that at location one, i.e.: the northwest bit of 469's property closest to the racetrack, the peak sound levels during the race were on the order of 82 dBA to 92 dBA and the average level during one-minute samples was on the order of 76 dBA to 85 dBA. At location two the sound levels tended to be 8 dBA lower than at location one. The sound levels at the spot measurement locations, i.e.: spots within the developed area of Lawrence Heights, tended to be 7 to 15 dBA lower than at location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When there was no racing going on that evening, the one-minute average background noise level varied from a high of 58 dBA at location one to a low of 44 dBA at location two. This noise was generated in large part by traffic on the highway below Lawrence Heights. That noise was played back in the courtroom. While audible, it was not so loud as to interfere with normal conversation. Subjectively, the traffic noise struck me much like the susurration of small waves on a beach.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FFA did not measure the background non-racing level of noise in Lawrence Heights' developed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a general proposition, then, the September 25 and 26 racing event generated noise in the upper terrace of 469's property that was roughly 20 dBA greater than the background or ambient noise in the area.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Wakefield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June 22, 2014, Mr. Williamson of Wakefield Acoustics measured sound levels on Lawrence Heights' property. On that day, racing practice, qualifying laps, and races began at approximately 12:30 p.m. and continued until approximately 6:30 p.m. Mr. Williamson's report indicates that 12 cars were on the track. However, no one at trial identified the classes of cars that participated in racing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Williamson set up his recording equipment at four locations. Site 1 was in the northwest corner of the property, at essentially the same spot as was used by Brown Strachan and FFA. This location is the most exposed to the racetrack. Mr. Williamson's site 2 was approximately 10 meters east of site 1. Site 3 was on the western ridge of the upper terrace but some 280 meters southeast of site 1. Highway 97 is immediately below sites 1 and 3. Mr. Williamson's site 4 was approximately 140 meters east of site 1. Site 4 was about as far from the track on the upper terrace as one can 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Whatever types of cars were racing when Mr. Williamson recorded them, they were significantly quieter vehicles than the cars that Messrs. Peterson and Luna recorded. At site 1 - the one location that was common in all three studies - Mr. Williamson's measurements were between 6 dBA and 12 dBA lower than the levels recorded for the two earlier race events in 2008 and 2010. Nevertheless, at site 1 Mr. Williamson recorded maximum sound levels between 73 dBA to 86 dBA and an average over 15 minutes of 67 dBA. The average ambient noise from the highway - i.e.: non-racing noise - at site one was 55 dBA.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sound levels at sites 2, 3, and 4 were uniformly lower than at site 1. The measurements at site 4 - the spot on the upper terrace furthest from the track - were limited to sounds heard there between 4 and 6:30 p.m. For that reason the levels of sound at site 4 may not be directly compared to the levels at the other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Williamson's report stated that a background noise level of 60 dBA is sufficient to significantly interfere with normal conversation and sleep patterns. He also stated that the number of cars on the track does not significantly influence the sound of racing. He said that a doubling of the number of cars will increase the sound level by only 3 dBA.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Anecdotal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Christopher Hrabchuk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Christopher Hrabchuk lived in Lawrence Heights from the summer of 2006 until 2013 when he and his wife and young children moved to Vernon, B.C. The Hrabchuks left Lawrence Heights because their children were reaching school age and there are no schools within easy commuting distance of Lawrence Heights.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Hrabchuks occupied Lot 62 in the development. Lot 62 lies approximately in the middle of the park's north-south axis and on the easterly side of that line. The lot is further away from the racetrack than are the majority of lots in Lawrence Heights.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Hrabchuk testified that he did not hear the sound of racing in the summer of 2006. In 2007 he was aware of cars using the track. He said that it seemed that the track was in use every second weekend. Often there was practicing on the Friday and racing on the Saturday. Mr. Hrabchuk said that the sound of cars racing on the track was clearly audible outside his residence. He described the noise as very aggravating. It was like constant thunder or a swarm of bees. The noise was such that he and his family would retreat to their house where they would watch television rather than enjoy the summertime evening. He said that he would not invite friends or family to their house on a race day because the noise was so intrusive. Sometimes the Hrabchuk family would leave their home on race days. They would go to a park or the lake to enjoy activities without the bother of noises from the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noise from the track was, according to Mr. Hrabchuk, essentially unchanged through the summer racing seasons of 2007 to 2013 inclusive. The noise was much less of a bother in 2014 and 2015 because there were far fewer race events in those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Allen Hossie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summer of 2006, Mr. Hossie and his wife moved into a home on Lot 88. Mr. Hossie is 71 years old. He is retired from his careers as a rehabilitation supervisor for Worksafe B.C. and as a coroner for the Province of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Hossie was aware of the race track's location. He knew that it was in operation before buying a home and sub-leasing his lot. Mr. Hossie was under the impression that the track was obliged to install noise abatement measures and that, because it had been licensed to operate, its operation would not impinge on his enjoyment of his property. Mr. Hossie candidly admitted that he was a bit naïve about the race track; he did not expect that the noise of racing at the track would be as loud and as intrusive as it turned out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Hossie's lot lies approximately in the middle of Lawrence Heights' lower terrace. He testified that the noise of practices and races on the track is intrusive and annoying. He said that when a race is on it is not comfortable to stay outside his house. He goes inside and tries to watch television or read. Even inside his house, though, the race noise is such that it interferes with his enjoyment of those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Hossie said that the race noise is such that when races are underway he cannot invite friends for dinner or to socialize.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June Schleusener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Schleusener is 73 years old. She is a homemaker. She lives with her husband on Lot 74. Lot 74 lies on the eastern side of the Lawrence Heights development. From her leasehold, her view is out over the Spallumcheen Valley. The Schleusener's lot is separated from the race track by Highway 97 and by Lawrence Heights' undeveloped upper terrace.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Schleusener and her husband selected Lawrence Heights for their retirement living because it was a quiet, well kept, neat, and pleasant community. Ms. Schleusener enjoys gardening. She keeps flower and vegetable gardens and has fruit trees in her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Schleusener's moved onto Lot 74 in 2003. They knew that the race track was in the vicinity. Ms. Schleusener understood that the track was under receivership and, by the overgrown and abandoned look of the place, assumed that it was not operational.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However, in 2004, she discovered that the race track was again hosting race events. Ms. Schleusener testified that the noise from racing is such that she and her husband retreat indoors and close the windows of their house. She said that she would like to work in her garden on a long warm summer evening, but that the noise of racing is so annoying that it drives her inside. The car racing was bad enough, but she said that the one time that "semis" (by which she meant large tractor trucks used to pull semi-trailers) raced the noise was tremendously loud and the smell of diesel exhaust was pervasive and unpleasant. In her words: "It stank".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Schleusener said that the racing seemed to be every two weeks during the summers of 2004 through to 2013. Noise came from the track on Fridays and throughout the day on Saturdays. She testified that the frequency of racing decreased in 2014 and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David Cromarty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Cromarty lives on Lot 103. His lot is on the western edge of the lower terrace. He has a view from his large deck. His view is of the valley bottom south to the shore of Okanagan Lake and of the lake and its bordering mountains "halfway to Kelowna". Mr. Cromarty selected his lot in large part because of that view. From his lot he cannot see the racetrack.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Cromarty moved onto Lot 103 in May 2000. He described Lawrence Heights as a very pleasant community. It has wide curving streets, large lots, and neat, well-kept residences. There is a pride of ownership there. Mr. Cromarty contrasted Lawrence Heights with a nearby development called Coyote Crossing. For reasons that will become clear later, this contrast is germane to the case. Mr. Cromarty has visited Coyote Crossing. He describes it as a trailer park. The streets are narrow and straight. The lots are small. It is, to his eye, a very basic development and it is not at all comparable to Lawrence Heights.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any event, Mr. Cromarty's evidence was that he could hear noise from the track as soon as race events started there in 2001. Mr. Cromarty described the noise of racing as very, very, loud. It was a shocking noise. The noise was so great that he could not have conversation out on his deck. Inside his house the noise was still intrusive and annoying. It disturbed his sleep. Mr. Cromarty developed a system of checking the local newspaper for advertisements for upcoming race events. He and his wife abandoned their home on race weekends in order to avoid the noise of the event. He would tell his children to not come to visit them at Lawrence Heights on a race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Cromarty did not keep track of the number of race events in a summer. He felt that there were races every other weekend through until approximately 2014. He agreed that there were far fewer races in 2014 and 2015 than in previous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Cromarty is not bothered by the noise from traffic on Highway 97, which runs approximately 150 meters down and away from Lot 103. He testified that only rarely does that traffic impinge on his mind. That is when an emergency vehicle goes by with its siren wailing.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Patricia Rogers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Pat Rogers lives on Lot 17. She and her husband moved into Lawrence Heights in August 1999. They selected Lawrence Heights over other developments for its quiet rural setting, wide streets, underground services, and nice homes. Lot 17 lies along the western edge of the development, a few lots south of Mr. Cromarty's residence. Like Mr. Cromarty, the Rogers' have a view south across the valley and out over Okanagan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Rogers' first experience with noise from the racetrack happened in the early 2000s. She and her husband were visiting neighbours. They were sitting outside having social conversation. When racing started, the noise of the motors, tires, and public address system was so loud that they could not talk to one another. They had to pack up and move inside. Ms. Rogers testified that this is true whenever a race is on; the noise is too loud to permit her to enjoy being outside her home on a summer evening. The Rogers often travelled in the summer - sometimes they planned their travel to avoid race weekends, sometimes their absence was a coincidence. However, when they were at home on a race weekend, intrusive noise from the track sometimes started on Fridays and was present during practice and race sessions on Saturdays. Sometimes the track would be noisy on Sundays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Rogers testified that although Highway 97 is downhill and a bit south of her lot, she is not bothered at all by traffic noise. She described the highway traffic as "white noise". Only occasionally will she hear the squeal of brakes when a motorist makes a sudden maneuver. Equally occasionally she hears the siren wail of a passing ambulance. Otherwise the highway does not interfere with her use and enjoyment of her home, nor does it disturb her sleep.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Donald Krazanowski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Krazanowski is a 75-year-old retired member of the Canadian Armed Forces. He lives in Lawrence Heights on Lot 34. His house is approximately in the middle of the southern end of the lower terrace. Mr. Krazanowski looked at a number of suburbs before settling on Lawrence Heights. He selected Lawrence Heights for its peaceful environment and large lots. Mr. Krazanowski moved onto Lot 34 in June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Krazanowski finds the noise from racing at the track annoying. The noise is such that he and his wife do not enjoy sitting outside on their deck on a Saturday evening in the summertime. The noise drives them indoors where they stay with the doors and windows shut while racing is going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Richard Hagman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Hagman is a 75-year-old retired teacher. He lives on Lot 6 in Lawrence Heights. Lot 6 is at the extreme southern end of Lawrence Heights. Mr. Hagman's house is, therefore, about as far away from the racetrack as it is possible to get and still be inside Lawrence Heights. Mr. Hagman moved into Lawrence Heights in 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Hagman testified that he and his wife are away from home quite a bit. By his estimate, he has heard noise from about three racing events over the nearly three years that he has lived at Lawrence Heights. Mr. Hagman said that he could hear the sound of racing out on his deck and to a lesser degree inside his house. The noise does not bother him. Mr. Hagman testified that he has never had to alter his behaviour due to racing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Hagman testified that on one occasion he and his wife walked from their home to the upper terrace and out onto the western ridge that overlooks the racetrack. That would have put them near to the northwest corner of 469's property. From that location, Mr. Hagman could see down into the racetrack. There was a race going on. He described the cars as older 40's and 50's type cars. He allowed as to how the noise from that race was louder at that location than it was at his house. He also allowed as to how having to hear that noise if you were living in that area could become annoying.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Judy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Robinson is a 65-year-old office administrator. She and her husband live in Lawrence Heights on Lot 27. Lot 27 is in the southwestern portion of the lower terrace. It lies across a cul-de-sac from lots that border the western edge of the development. The Robinsons moved into Lawrence Heights in May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Robinson testified that she can hear the sound of racing from her house. Although she described the noise as loud, it is not horribly loud. She does not find the sound intrusive or annoying. She has not had difficulty conversing while outside during a race event. Her guests have not displayed any sign of displeasure over sounds from the track.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Messrs. Barrie Satchell and Bob Newcombe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Satchell and Mr. Newcombe attended at Lawrence Heights on several occasions during race events. They confined themselves to the roadways within the developed portion of Lawrence Heights. They had with them the handheld sound meter that Mr. Newcombe uses to test cars at the track. Mr. Newcombe testified that at no place within Lawrence Heights did he measure race sounds exceeding 65 on his meter. Mr. Newcombe could not say whether what he saw on his meter's gauge represented decibels, or dBA, or maximum or minimum or time averaged sound levels. The two men said, however, that they had no difficulty conversing with one another while they were in Lawrence Heights. The loudest noise they experienced there was the sound of a resident's lawn mower.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Appraisal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plaintiffs adduced property value evidence via a report authored by the real estate appraiser Mr. MacDougall. The defendants tendered a report by Mr. Rizzo, also an appraiser. Mr. Rizzo's report was a critique of Mr. MacDougall's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MacDougall and Mr. Rizzo are equally qualified property value appraisers. They have expertise in assessing the investment value of, among other things, modular home developments like Lawrence Heights.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MacDougall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MacDougall's report focussed on the economic impact of racetrack noise upon on 469's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MacDougall's opinions were grounded on the assumption that operations at the racetrack rendered impossible the development of 80 lots in the Lawrence Heights site. Fifty-four lots are on the upper terrace, the remainder are on the northern portion of the lower terrace. It is important to appreciate that Mr. MacDougall did not pretend to say that in his opinion the racetrack had in fact prevented the development and letting of these 80 lots. Instead, his opinion was based upon that proposition as a given - he was not asked to analyze or defend it, nor did he try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MacDougall expressed his opinion in two ways. One way was to assess the difference between how much money a third party would be willing to invest in order to achieve the net cash flow generated by letting 202 lots - i.e.: all of 469's property - as opposed to the lesser net cash flow generated by letting only 122 of those lots - i.e.: those lots the development of which is not affected by racetrack noise. To reach his opinion on this topic, Mr. MacDougall made a number of assumptions. He assumed that the income and expense figures in 469's financial statements are accurate. Mr. MacDougall assumed that the sale of homes did not or would not add to 469's profitability. He assumed that 469 would be obliged to pay the base rent required of it by the head lease. He did not, it must be noted, consider the effect on 469's finances of the two proposed amendments to the head lease. Those proposed amendments - amendments upon which the Hrabchuks testified they expect to rely on and upon which they plan to operate 469's business - have to do with adding 17 years to the term of the head lease and discounting the deferred rent that has accrued to date. Finally, Mr. MacDougall assumed that a prudent investor would employ a capitalization rate of 8 percent. Given all of those assumptions, Mr. MacDougall opined that as of the close of 2012, the market value of a 202 lot Lawrence Heights was $6.3 million while the market value of a 122 lot Lawrence Heights was $3.44 million, giving a difference of $2.87 million. That number, $2.87 million, represents Mr. MacDougall's assessment of how much less an investor would pay to acquire 469's net cash flow for 122 lots as opposed to 202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MacDougall's second approach to valuing the cost to 469 of the assumed impact of racetrack operations was to look at the time frame within which 469 could have developed and let all 202 of its lots. Mr. MacDougall called this his absorption study. Mr. MacDougall considered a number of factors here, including the pace of lot sales at a competing suburban development called Desert Cove and the general rate of real estate transactions in the North Okanagan. In arriving at his conclusion, Mr. MacDougall considered the actual number of lots that 469 sub-let in a year and then adjusted that number upward to take out of the account the assumed effect of the racetrack upon 469's sales volumes. The adjusted number was the number of lot sales that Mr. MacDougall opined that 469 could have made in that year but for the negative effect of the racetrack. For example, for the year 2001, which was the race track's first year of operation, Mr. MacDougall adjusted the four sales that 469 actually made in that year up to a projected total of six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MacDougall did not make adjustments for the years 2000 and 2003. His rationale for that was that the racetrack was not yet operational in 2000 and he was told to assume that the racetrack was dormant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MacDougall candidly admitted that he did not ground his opinion upon an algorithm or formula. His opinion is simply an exercise of judgment based upon his understanding of the market uptake for modular homes in new developments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MacDougall opined that absent interference by the racetrack in 469's business, it would have been able to fully develop and sub-let all 202 of its lots by the end of 2007. Mr. MacDougall calculated that as of 2012 the value to 469 of the net revenue forgone by delayed development of lots in Lawrence Heights was $1.46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Further, Mr. MacDougall estimated that the 2012 value of net profits that 469 would have made by selling homes on all of its lots by the end of 2007 was $4.24 million. He based that opinion in part upon the assumption that 469 made a profit of $39,000 to $49,000 for every lot on which a modular home was 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MacDougall also provided figures for these losses adjusted for a period of loss confined to 2004 to 2012. Those numbers were somewhat lower than are noted above, but not substantially so. I will not set out those numbers here because, for reasons I will explain later, I am compelled to give little weight to Mr. MacDougall's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Rizzo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Mr. Rizzo submitted a report criticising Mr. MacDougall's opinions. Mr. Rizzo attacked the assumption that underlies Mr. MacDougall's work, </w:t>
      </w:r>
      <w:r>
        <w:rPr>
          <w:rFonts w:ascii="arial" w:eastAsia="arial" w:hAnsi="arial" w:cs="arial"/>
          <w:i/>
          <w:color w:val="000000"/>
          <w:sz w:val="20"/>
          <w:lang w:val="en-US" w:eastAsia="en-US" w:bidi="ar-SA"/>
        </w:rPr>
        <w:t>vis</w:t>
      </w:r>
      <w:r>
        <w:rPr>
          <w:rFonts w:ascii="arial" w:eastAsia="arial" w:hAnsi="arial" w:cs="arial"/>
          <w:color w:val="000000"/>
          <w:sz w:val="20"/>
          <w:lang w:val="en-US" w:eastAsia="en-US" w:bidi="ar-SA"/>
        </w:rPr>
        <w:t>: that the racetrack has impaired or prevented the development and letting of 80 of Lawrence Heights' 202 lots. Reduced to its core, Mr. Rizzo's complaint with that assumption is that because 469 has not developed those 80 lots and has not put them on the market, one cannot confidently say that they would not have sold owing to the presence of the racetrack.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Rizzo also attacked Mr. MacDougall's opinion that, absent the racetrack, 469 would have been able to develop and sub-let all of its lots by the end of 2007. Actually, Mr. Rizzo did not attack that opinion. As it turned out and as Mr. Rizzo had to admit under cross-examination, he misread that portion of Mr. MacDougall's report. Mr. Rizzo believed, incorrectly, that Mr. MacDougall predicted that the lots would be sold out by the end of 2012. Given that misapprehension, Mr. Rizzo proceeded to expend a good deal of ink on market factors, including the 2008 financial meltdown and the advent of competition in the area, that in his opinion would have retarded the marketing of 469's inventory of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Litigation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2001, 469 issued a writ of summons and statement of claim against Whiteline Trucking and others. In that proceeding, 469 alleged that noise from the racetrack was a nuisance to 469. It claimed relief by way of injunction and damages. 469 did not prosecute that proceeding. Given the transfer of ownership of the track in 2004, 469's complaints and claims in that suit are now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Over the years of operation of the track, Mr. Lawrence Hrabchuk has made numerous complaints to the Township of Spallumcheen. A few other residents of Lawrence Heights have likewise voiced to the Township their unhappiness about noise from the track operations. Other than one telephone call to the track to complain about late night operations, prior to 2009-2010 the defendants did not receive a direct complaint about noise from the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This proceeding was commenced in October 2009. This date is important because the defendants allege a defence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Mr. Lawrence Hrabchuk testified that the lawyer acting for him in 2009 advised him that the limitation period for a nuisance claim was two years. Therefore the plaintiffs' complaints in this matter were originally limited to track operations from 2008 on. Presumably, that meant from January 1, 2008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July 2010, the plaintiffs obtained an order authorizing them to add Okanagan Aggregates Ltd. as a defendant. That order was necessary because Okanagan Aggregates had amalgamated with the track's owner 687309 B.C. Ltd. The order was silent as to any amendments to the plaintiffs' pleadings made necessary by the addition of Okanagan Aggregates.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February 2013, the plaintiffs filed an amended notice of civil claim. No notice of trial had yet been filed. The amendments took into account the addition of Okanagan Aggregates as a defendant in the proceeding by virtue of its amalgamation with 687309 B.C. Ltd. and the status it then acquired as owner and operator of the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But the amendments did not stop there. At paragraph 15 of the notice of civil claim, the plaintiffs amended their allegation of the date on which the alleged nuisance commenced. Instead of the original allegation that the nuisance started in 2008, the plaintiffs now alleged that the nuisance commenced on February 13, 2004 (i.e.: the date that 687309 B.C. Ltd. acquired ownership of the track). The amendment to paragraph 15 effectively moved the plaintiffs' claim back by four years and four months from the commencement of the suit and by seven years and four months from the date of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plaintiffs seek an injunction, registrable against title, preventing all racing activity at the track. Alternatively, the plaintiffs say that a limited injunction should go; one that would keep the amount of noise emanating from the track to a level that would not constitute a nuisance to current and future residents of the lower and upper terraces at Lawrence Heights.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If granted, an injunction would address future harm. The plaintiffs claim damages for past harm. They say that the limitation period for claims of pure economic loss arising from nuisance is six years. They say that they should be permitted to rely on their amended pleadings to reach their damages claim back to February 13, 2004. Alternatively, the plaintiffs say that their claims should go back six years from the date of the amendment of their notice of civil claim. That would limit their damages claims to the period from February 15, 2007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To address past harm, the personal plaintiffs seek damages of $7,500 to $10,000 - the smaller award going to Mr. Christopher Hrabchuk on account of his short stay in the development and the larger awards going to the three other longer-term 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For its part, 469 seeks damages to compensate it for the cost to it of delayed development of some of the lots at the northern extreme of the lower terrace and all of the upper terrace lots. That award would, by 469's estimate, be substantial. How substantial? Mr. Hardwick, counsel for the plaintiffs, argued for awards as follows:</w:t>
      </w:r>
      <w:r>
        <w:rPr>
          <w:rFonts w:ascii="arial" w:eastAsia="arial" w:hAnsi="arial" w:cs="arial"/>
          <w:sz w:val="20"/>
          <w:lang w:val="en-US" w:eastAsia="en-US" w:bidi="ar-SA"/>
        </w:rPr>
        <w:cr/>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value of delayed net lease revenue from 2004 to 2015: $1.836 million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value of delayed profit margin on home and lot sales: $4.2 million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Delay of net lease revenues from 2015 to eventual letting of all lots: $0.3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469's damages claim totals $6.336 million. These claims are derived entirely from Mr. MacDougall's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defendants assert that the limitation period for nuisance claims is two years. They say that the plaintiffs' claims cannot reach back as far as February 2004. At most, they say, the plaintiffs can claim for nuisance for the two-year period preceding the filing of their original pleading. That would limit the plaintiffs' claims to the period October 2007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defendants say that the doctrine of statutory authority provides them with a complete defence to the claim. The statute upon which they rely is the Township of Spallumcheen's Bylaw 1462 and its successors. The authority conferred by the bylaw is the right to operate an automotive racetrack on the defendants' land. The defendants assert that the emission of large amounts of noise is an inevitable consequence of automotive racing and that it must therefore be the case that in passing the bylaw the Township intended to abrogate any right that the plaintiffs may have to complain about that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Leaving technical defences aside, the defendants say that the evidence at trial did not go so far as to establish that the noise from the track is, in fact, a nuisance. They point to the fact that no one at Lawrence Heights complained directly to the track operator - evidence, they say, that the noise cannot have been all that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Even if the noise at the northwest extreme of the upper terrace might amount to a nuisance, the defendants argue that that little piece of land would not be the site of a modular home anyway. The sound levels everywhere else in the development are demonstrably lower than in that northwest corner. So, according to the defendants, any nuisance that the plaintiffs have made out affects only a very small portion of 469's property. It is not, in their view, sufficiently significant as to amount to a substantial and unreasonable interference in the plaintiffs' use or enjoyment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the event that liability goes against them, the defendants argue that the plaintiffs' delay in commencing and prosecuting their claim gives rise to the defence of laches and that the equitable remedy of injunction ought not be granted in their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for damages, the defendants maintain that the plaintiffs have not shown that they have in fact suffered a loss. The defendants say that the personal plaintiffs have not shown that their property values have been negatively affected by the racetrack. They argue that 469's claim for damages rests upon Mr. MacDougall's opinion which itself rests upon a proposition that has not been proven on the balance of probabilities. That proposition is, of course, that the pace of development and letting of 469's lots has been retarded by racetrack operations. The defendants argue that there is simply no empirical evidence to support that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tort of private nuisance is defined as the interference in the claimant's use or enjoyment of land: </w:t>
      </w:r>
      <w:r>
        <w:rPr>
          <w:rFonts w:ascii="arial" w:eastAsia="arial" w:hAnsi="arial" w:cs="arial"/>
          <w:i/>
          <w:color w:val="000000"/>
          <w:sz w:val="20"/>
          <w:lang w:val="en-US" w:eastAsia="en-US" w:bidi="ar-SA"/>
        </w:rPr>
        <w:t>Antrim Truck Centre Ltd. v. Ontario (Transportation)</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2013 SCC 13</w:t>
        </w:r>
      </w:hyperlink>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[2013] 1 S.C.R. 594</w:t>
        </w:r>
      </w:hyperlink>
      <w:r>
        <w:rPr>
          <w:rFonts w:ascii="arial" w:eastAsia="arial" w:hAnsi="arial" w:cs="arial"/>
          <w:color w:val="000000"/>
          <w:sz w:val="20"/>
          <w:lang w:val="en-US" w:eastAsia="en-US" w:bidi="ar-SA"/>
        </w:rPr>
        <w:t xml:space="preserve"> per Cromwell J. at paragraph 18. Cromwell J. explained the elements of the tort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elements of a claim in private nuisance have often been expressed in terms of a two-part test of this nature: to support a claim in private nuisance the interference with the owner's use or enjoyment of land must be both </w:t>
      </w:r>
      <w:r>
        <w:rPr>
          <w:rFonts w:ascii="arial" w:eastAsia="arial" w:hAnsi="arial" w:cs="arial"/>
          <w:i/>
          <w:color w:val="000000"/>
          <w:sz w:val="20"/>
          <w:lang w:val="en-US" w:eastAsia="en-US" w:bidi="ar-SA"/>
        </w:rPr>
        <w:t>substantial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unreasonable</w:t>
      </w:r>
      <w:r>
        <w:rPr>
          <w:rFonts w:ascii="arial" w:eastAsia="arial" w:hAnsi="arial" w:cs="arial"/>
          <w:color w:val="000000"/>
          <w:sz w:val="20"/>
          <w:lang w:val="en-US" w:eastAsia="en-US" w:bidi="ar-SA"/>
        </w:rPr>
        <w:t>. A substantial interference with property is one that is non-trivial. Where this threshold is met, the inquiry proceeds to the reasonableness analysis, which is concerned with whether the non-trivial interference was also unreasonable in all of the circumstances. ...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At paragraph 22 of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Cromwell J. discussed the first element of the tort: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What does this threshold require? In </w:t>
      </w:r>
      <w:r>
        <w:rPr>
          <w:rFonts w:ascii="arial" w:eastAsia="arial" w:hAnsi="arial" w:cs="arial"/>
          <w:i/>
          <w:color w:val="000000"/>
          <w:sz w:val="20"/>
          <w:lang w:val="en-US" w:eastAsia="en-US" w:bidi="ar-SA"/>
        </w:rPr>
        <w:t>St. Lawrence Cement</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[2008] 3 S.C.R. 392</w:t>
        </w:r>
      </w:hyperlink>
      <w:r>
        <w:rPr>
          <w:rFonts w:ascii="arial" w:eastAsia="arial" w:hAnsi="arial" w:cs="arial"/>
          <w:color w:val="000000"/>
          <w:sz w:val="20"/>
          <w:lang w:val="en-US" w:eastAsia="en-US" w:bidi="ar-SA"/>
        </w:rPr>
        <w:t xml:space="preserve"> the Court noted that the requirement of substantial harm "means that compensation will not be awarded for trivial annoyances": para. 77. In </w:t>
      </w:r>
      <w:r>
        <w:rPr>
          <w:rFonts w:ascii="arial" w:eastAsia="arial" w:hAnsi="arial" w:cs="arial"/>
          <w:i/>
          <w:color w:val="000000"/>
          <w:sz w:val="20"/>
          <w:lang w:val="en-US" w:eastAsia="en-US" w:bidi="ar-SA"/>
        </w:rPr>
        <w:t>St. Pierre</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[1987] 1 S.C.R. 906</w:t>
        </w:r>
      </w:hyperlink>
      <w:r>
        <w:rPr>
          <w:rFonts w:ascii="arial" w:eastAsia="arial" w:hAnsi="arial" w:cs="arial"/>
          <w:color w:val="000000"/>
          <w:sz w:val="20"/>
          <w:lang w:val="en-US" w:eastAsia="en-US" w:bidi="ar-SA"/>
        </w:rPr>
        <w:t xml:space="preserve"> while the Court was careful to say that the categories of nuisance are not closed, it also noted that only interferences that "</w:t>
      </w:r>
      <w:r>
        <w:rPr>
          <w:rFonts w:ascii="arial" w:eastAsia="arial" w:hAnsi="arial" w:cs="arial"/>
          <w:color w:val="000000"/>
          <w:sz w:val="20"/>
          <w:u w:val="single"/>
          <w:lang w:val="en-US" w:eastAsia="en-US" w:bidi="ar-SA"/>
        </w:rPr>
        <w:t>substantially</w:t>
      </w:r>
      <w:r>
        <w:rPr>
          <w:rFonts w:ascii="arial" w:eastAsia="arial" w:hAnsi="arial" w:cs="arial"/>
          <w:color w:val="000000"/>
          <w:sz w:val="20"/>
          <w:lang w:val="en-US" w:eastAsia="en-US" w:bidi="ar-SA"/>
        </w:rPr>
        <w:t xml:space="preserve"> alte[r] the nature of the claimant's property itself" or interfere "to a </w:t>
      </w:r>
      <w:r>
        <w:rPr>
          <w:rFonts w:ascii="arial" w:eastAsia="arial" w:hAnsi="arial" w:cs="arial"/>
          <w:color w:val="000000"/>
          <w:sz w:val="20"/>
          <w:u w:val="single"/>
          <w:lang w:val="en-US" w:eastAsia="en-US" w:bidi="ar-SA"/>
        </w:rPr>
        <w:t>significant</w:t>
      </w:r>
      <w:r>
        <w:rPr>
          <w:rFonts w:ascii="arial" w:eastAsia="arial" w:hAnsi="arial" w:cs="arial"/>
          <w:color w:val="000000"/>
          <w:sz w:val="20"/>
          <w:lang w:val="en-US" w:eastAsia="en-US" w:bidi="ar-SA"/>
        </w:rPr>
        <w:t xml:space="preserve"> extent with the actual use being made of the property" are sufficient to ground a claim in nuisance: p. 915 (emphasis added). One can ascertain from these authorities that a substantial injury to the complainant's property interest is one that amounts to more than a slight annoyance or trifling interference. As La Forest J. put it in </w:t>
      </w:r>
      <w:r>
        <w:rPr>
          <w:rFonts w:ascii="arial" w:eastAsia="arial" w:hAnsi="arial" w:cs="arial"/>
          <w:i/>
          <w:color w:val="000000"/>
          <w:sz w:val="20"/>
          <w:lang w:val="en-US" w:eastAsia="en-US" w:bidi="ar-SA"/>
        </w:rPr>
        <w:t>Tock v. St. John's Metropolitan Area Board</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actionable nuisances include "only those inconveniences that materially interfere with ordinary comfort as defined according to the standards held by those of plain and sober tastes", and not claims based "on the prompting of excessive 'delicacy and fastidiousness'": p. 1191. Claims that are clearly of this latter nature do not engage the reasonableness analysis.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xml:space="preserve"> then turned to the second element: whether the interference was unreasonable.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xml:space="preserve"> concerned a complaint of nuisance against the Province of Ontario. The claim arose from the relocation of a public highway. As such, the assessment of reasonableness required the court to consider the utility of the Province's decision to relocate the highway. The utility of the defendant's action was not, however, the sole consideration in the court's consideration of reasonableness. Cromwell J.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main question here is how reasonableness should be assessed when the activity causing the interference is carried out by a public authority for the greater public good. As in other private nuisance cases, the reasonableness of the interference must be assessed in light of all of the relevant circumstances. The focus of that balancing exercise, however, is on whether the interference is such that it would be unreasonable in all of the circumstances to require the claimant to suffer it without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Nuisance may arise as a consequence of a physical impact upon the claimant's property, as for example when a neighbour allows water to flood onto the claimant's land. It is not, however, necessary to the tort that the claimant's property itself be damaged. Nuisance may arise in the absence of physical damage, as for example when sound or odor travels from one property to another.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Injunctive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Suzuki v. Munro</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2009 BCSC 1403</w:t>
        </w:r>
      </w:hyperlink>
      <w:r>
        <w:rPr>
          <w:rFonts w:ascii="arial" w:eastAsia="arial" w:hAnsi="arial" w:cs="arial"/>
          <w:color w:val="000000"/>
          <w:sz w:val="20"/>
          <w:lang w:val="en-US" w:eastAsia="en-US" w:bidi="ar-SA"/>
        </w:rPr>
        <w:t>, Verhoeven J. succinctly set out the factors concerning the granting of an injunction in the case of nuisance by noise.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An injunction is an equitable remedy, and therefore the granting of one is discretionary: R.J. Sharpe, </w:t>
      </w:r>
      <w:r>
        <w:rPr>
          <w:rFonts w:ascii="arial" w:eastAsia="arial" w:hAnsi="arial" w:cs="arial"/>
          <w:i/>
          <w:color w:val="000000"/>
          <w:sz w:val="20"/>
          <w:lang w:val="en-US" w:eastAsia="en-US" w:bidi="ar-SA"/>
        </w:rPr>
        <w:t>Injunctions and Specific Performance</w:t>
      </w:r>
      <w:r>
        <w:rPr>
          <w:rFonts w:ascii="arial" w:eastAsia="arial" w:hAnsi="arial" w:cs="arial"/>
          <w:color w:val="000000"/>
          <w:sz w:val="20"/>
          <w:lang w:val="en-US" w:eastAsia="en-US" w:bidi="ar-SA"/>
        </w:rPr>
        <w:t xml:space="preserve">, 3rd ed. (Aurora: Canada Law Book Inc., 2000) at para. 4.10, </w:t>
      </w:r>
      <w:r>
        <w:rPr>
          <w:rFonts w:ascii="arial" w:eastAsia="arial" w:hAnsi="arial" w:cs="arial"/>
          <w:i/>
          <w:color w:val="000000"/>
          <w:sz w:val="20"/>
          <w:lang w:val="en-US" w:eastAsia="en-US" w:bidi="ar-SA"/>
        </w:rPr>
        <w:t>Boggs v. Harrison</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2009 BCSC 789</w:t>
        </w:r>
      </w:hyperlink>
      <w:r>
        <w:rPr>
          <w:rFonts w:ascii="arial" w:eastAsia="arial" w:hAnsi="arial" w:cs="arial"/>
          <w:color w:val="000000"/>
          <w:sz w:val="20"/>
          <w:lang w:val="en-US" w:eastAsia="en-US" w:bidi="ar-SA"/>
        </w:rPr>
        <w:t xml:space="preserve"> at para. 141.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[110] A number of factors are relevant in determining whether or not to grant an injunction. The inadequacy of damages is frequently considered, along with the nature of the plaintiff's injury and the balance of convenience between the parties: Sharpe, </w:t>
      </w:r>
      <w:r>
        <w:rPr>
          <w:rFonts w:ascii="arial" w:eastAsia="arial" w:hAnsi="arial" w:cs="arial"/>
          <w:i/>
          <w:color w:val="000000"/>
          <w:sz w:val="20"/>
          <w:lang w:val="en-US" w:eastAsia="en-US" w:bidi="ar-SA"/>
        </w:rPr>
        <w:t>Injunctions and Specific Performance</w:t>
      </w:r>
      <w:r>
        <w:rPr>
          <w:rFonts w:ascii="arial" w:eastAsia="arial" w:hAnsi="arial" w:cs="arial"/>
          <w:color w:val="000000"/>
          <w:sz w:val="20"/>
          <w:lang w:val="en-US" w:eastAsia="en-US" w:bidi="ar-SA"/>
        </w:rPr>
        <w:t xml:space="preserve"> at paras. 1.60-1.140, </w:t>
      </w:r>
      <w:r>
        <w:rPr>
          <w:rFonts w:ascii="arial" w:eastAsia="arial" w:hAnsi="arial" w:cs="arial"/>
          <w:i/>
          <w:color w:val="000000"/>
          <w:sz w:val="20"/>
          <w:lang w:val="en-US" w:eastAsia="en-US" w:bidi="ar-SA"/>
        </w:rPr>
        <w:t>Boggs</w:t>
      </w:r>
      <w:r>
        <w:rPr>
          <w:rFonts w:ascii="arial" w:eastAsia="arial" w:hAnsi="arial" w:cs="arial"/>
          <w:color w:val="000000"/>
          <w:sz w:val="20"/>
          <w:lang w:val="en-US" w:eastAsia="en-US" w:bidi="ar-SA"/>
        </w:rPr>
        <w:t xml:space="preserve"> at para. 141, A.M. Linden &amp; B.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8th ed. (Markham: LexisNexis Canada Inc., 2006) at 594.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[111] In situations where the nuisance is likely to continue without the granting of the injunction, as is the case here once the interlocutory order ends and the Munroes are no longer enjoined from operating the air conditioner at night, the inadequacy of damages is easily satisfied: Linden &amp;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at 594.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As to the balance of convenience, Verhoeven J. observed that items in balance are the harm to the claimants compared to the reasonableness of the efforts that the defendants have or could make to eliminate the nuisance: </w:t>
      </w:r>
      <w:r>
        <w:rPr>
          <w:rFonts w:ascii="arial" w:eastAsia="arial" w:hAnsi="arial" w:cs="arial"/>
          <w:i/>
          <w:color w:val="000000"/>
          <w:sz w:val="20"/>
          <w:lang w:val="en-US" w:eastAsia="en-US" w:bidi="ar-SA"/>
        </w:rPr>
        <w:t>Suzuki</w:t>
      </w:r>
      <w:r>
        <w:rPr>
          <w:rFonts w:ascii="arial" w:eastAsia="arial" w:hAnsi="arial" w:cs="arial"/>
          <w:color w:val="000000"/>
          <w:sz w:val="20"/>
          <w:lang w:val="en-US" w:eastAsia="en-US" w:bidi="ar-SA"/>
        </w:rPr>
        <w:t xml:space="preserve"> at paragraph 113.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An injunction can only address harm going forward; injunction cannot be a remedy for past loss. For that reason, where the nuisance has gone on for some time, it is common for the court to couple injunctive relief - which looks forward in time - with an award of damages - which redress harm done up to the date the injunction takes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As with any award of damages, it is for the plaintiff to prove on the balance of probabilities that it has suffered a compensable loss. That the loss may not be amenable to calculation is no bar to the making of an award. Where a damage award cannot be determined by use of a formula or algorithm, the court will do its best to assess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of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This claim arose in 2009.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in effect at that time provided for a two-year limitation period for, among other things: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3(2)(a) subject to subsection (4)(k), for damages in respect of injury to person or property, including economic loss arising from the injury, whether based on contract, tort or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stipulated a six-year limitation period for other claims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3(5) 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cases where nuisance has arisen as a consequence of physical harm or damage to the claimant's property, the limitation period has been found to be two years: see for example </w:t>
      </w:r>
      <w:r>
        <w:rPr>
          <w:rFonts w:ascii="arial" w:eastAsia="arial" w:hAnsi="arial" w:cs="arial"/>
          <w:i/>
          <w:color w:val="000000"/>
          <w:sz w:val="20"/>
          <w:lang w:val="en-US" w:eastAsia="en-US" w:bidi="ar-SA"/>
        </w:rPr>
        <w:t>Low v. Petro-Canada Inc.</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2001 BCSC 251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ML Plaza Holdings Ltd. v. Imperial Oil Limited</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2006 BCSC 352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Peace Portal Properties Ltd. v. Surrey (District)</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[1989] B.C.J. No. 533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cases of pure economic loss arising from a tort but not consequent to damage or injury to person or property, the limitation period has been found to be six years, see: </w:t>
      </w:r>
      <w:r>
        <w:rPr>
          <w:rFonts w:ascii="arial" w:eastAsia="arial" w:hAnsi="arial" w:cs="arial"/>
          <w:i/>
          <w:color w:val="000000"/>
          <w:sz w:val="20"/>
          <w:lang w:val="en-US" w:eastAsia="en-US" w:bidi="ar-SA"/>
        </w:rPr>
        <w:t>Moses v. Lower Nicola Indian Band</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2015 BCCA 61</w:t>
        </w:r>
      </w:hyperlink>
      <w:r>
        <w:rPr>
          <w:rFonts w:ascii="arial" w:eastAsia="arial" w:hAnsi="arial" w:cs="arial"/>
          <w:color w:val="000000"/>
          <w:sz w:val="20"/>
          <w:lang w:val="en-US" w:eastAsia="en-US" w:bidi="ar-SA"/>
        </w:rPr>
        <w:t>, at paragraphs 39 and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In general, however, the law distinguishes between "pure economic loss" and economic loss arising from a personal injury. This distinction is described by Professor Feldthusen in "Pure Economic Loss Consequent Upon Physical Damage to a Third Party" (1977) 16 </w:t>
      </w:r>
      <w:r>
        <w:rPr>
          <w:rFonts w:ascii="arial" w:eastAsia="arial" w:hAnsi="arial" w:cs="arial"/>
          <w:i/>
          <w:color w:val="000000"/>
          <w:sz w:val="20"/>
          <w:lang w:val="en-US" w:eastAsia="en-US" w:bidi="ar-SA"/>
        </w:rPr>
        <w:t>UWOL</w:t>
      </w:r>
      <w:r>
        <w:rPr>
          <w:rFonts w:ascii="arial" w:eastAsia="arial" w:hAnsi="arial" w:cs="arial"/>
          <w:color w:val="000000"/>
          <w:sz w:val="20"/>
          <w:lang w:val="en-US" w:eastAsia="en-US" w:bidi="ar-SA"/>
        </w:rPr>
        <w:t xml:space="preserve"> Rev. 1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Consequential economic loss is a financial loss which by definition is always claimed by the same party who has suffered physical damage. </w:t>
      </w:r>
      <w:r>
        <w:rPr>
          <w:rFonts w:ascii="arial" w:eastAsia="arial" w:hAnsi="arial" w:cs="arial"/>
          <w:color w:val="000000"/>
          <w:sz w:val="20"/>
          <w:u w:val="single"/>
          <w:lang w:val="en-US" w:eastAsia="en-US" w:bidi="ar-SA"/>
        </w:rPr>
        <w:t>It is a loss one suffers because one has suffered physical damage</w:t>
      </w:r>
      <w:r>
        <w:rPr>
          <w:rFonts w:ascii="arial" w:eastAsia="arial" w:hAnsi="arial" w:cs="arial"/>
          <w:color w:val="000000"/>
          <w:sz w:val="20"/>
          <w:lang w:val="en-US" w:eastAsia="en-US" w:bidi="ar-SA"/>
        </w:rPr>
        <w:t xml:space="preserve"> ... Pure economic loss is a financial loss which is </w:t>
      </w:r>
      <w:r>
        <w:rPr>
          <w:rFonts w:ascii="arial" w:eastAsia="arial" w:hAnsi="arial" w:cs="arial"/>
          <w:color w:val="000000"/>
          <w:sz w:val="20"/>
          <w:u w:val="single"/>
          <w:lang w:val="en-US" w:eastAsia="en-US" w:bidi="ar-SA"/>
        </w:rPr>
        <w:t>not consequent upon injury to the plaintiff's own person or property</w:t>
      </w:r>
      <w:r>
        <w:rPr>
          <w:rFonts w:ascii="arial" w:eastAsia="arial" w:hAnsi="arial" w:cs="arial"/>
          <w:color w:val="000000"/>
          <w:sz w:val="20"/>
          <w:lang w:val="en-US" w:eastAsia="en-US" w:bidi="ar-SA"/>
        </w:rPr>
        <w:t xml:space="preserve">. [At 4; emphasis added. Cited with approval in </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(1990) 65 D.L.R. (4th) 321</w:t>
        </w:r>
      </w:hyperlink>
      <w:r>
        <w:rPr>
          <w:rFonts w:ascii="arial" w:eastAsia="arial" w:hAnsi="arial" w:cs="arial"/>
          <w:color w:val="000000"/>
          <w:sz w:val="20"/>
          <w:lang w:val="en-US" w:eastAsia="en-US" w:bidi="ar-SA"/>
        </w:rPr>
        <w:t xml:space="preserve"> (Fed.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reason has been suggested to us as to why this reasoning would not apply in the context of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and the wording of s. 3(2)(a) -- i.e., "injury to person or property, including economic loss arising from the injury" -- strongly suggests that it does.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Given the foregoing, and in particular the interpretation of "injury to the person" adopted in </w:t>
      </w:r>
      <w:r>
        <w:rPr>
          <w:rFonts w:ascii="arial" w:eastAsia="arial" w:hAnsi="arial" w:cs="arial"/>
          <w:i/>
          <w:color w:val="000000"/>
          <w:sz w:val="20"/>
          <w:lang w:val="en-US" w:eastAsia="en-US" w:bidi="ar-SA"/>
        </w:rPr>
        <w:t>Martin</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[1979] B.C.J. No. 1111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 conclude that Mr. Moses cannot be said to have suffered economic loss arising from personal injury. I find, with respect, that the chambers judge erred in ruling that the plaintiff's claim for misfeasance in public office fell within s. 3(2)(a)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It follows that this claim was subject to a six-year, rather than a two-year, limitation and was thus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statute-barred.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It is useful to note that the defendants do not rely, for this defence, on the fact that they have complied with the Township's zoning bylaw. To take that position would be to err. That is because a lawful activity may nevertheless constitute a private nuisance. In other words, compliance with bylaws and other regulations is not a shield against a nuisance complaint: </w:t>
      </w:r>
      <w:r>
        <w:rPr>
          <w:rFonts w:ascii="arial" w:eastAsia="arial" w:hAnsi="arial" w:cs="arial"/>
          <w:i/>
          <w:color w:val="000000"/>
          <w:sz w:val="20"/>
          <w:lang w:val="en-US" w:eastAsia="en-US" w:bidi="ar-SA"/>
        </w:rPr>
        <w:t>Milne v. Saltspring Island Rod and Gun Club</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2014 BCSC 1088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Suzuki v. Munroe</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2009 BCSC 1403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Kenny v. Schuster Real Estate Co.</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(1992), 10 B.C.A.C. 126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Instead, the defendants say that when it passed the zoning bylaw allowing automotive racing on the defendants' land, the Township enacted a law that abrogated any neighbour's right to claim that noise from racing on the track is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Statutory authorization is a relatively rare species of defence.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the Supreme Court of Canada considered the defence in the context of a claim of public nuisance. Writing for the Court, Major J. explained the defence: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Statutory authority provides, at best, a narrow defence to nuisance. The traditional rule is that liability will not be imposed if an activity is authorized by statute and the defendant proves that the nuisance is the "inevitable result" or consequence of exercising that authority. See </w:t>
      </w:r>
      <w:r>
        <w:rPr>
          <w:rFonts w:ascii="arial" w:eastAsia="arial" w:hAnsi="arial" w:cs="arial"/>
          <w:i/>
          <w:color w:val="000000"/>
          <w:sz w:val="20"/>
          <w:lang w:val="en-US" w:eastAsia="en-US" w:bidi="ar-SA"/>
        </w:rPr>
        <w:t>Lord Mayor, Aldermen and Citizens of the City Manchester of v. Farnworth</w:t>
      </w:r>
      <w:r>
        <w:rPr>
          <w:rFonts w:ascii="arial" w:eastAsia="arial" w:hAnsi="arial" w:cs="arial"/>
          <w:color w:val="000000"/>
          <w:sz w:val="20"/>
          <w:lang w:val="en-US" w:eastAsia="en-US" w:bidi="ar-SA"/>
        </w:rPr>
        <w:t xml:space="preserve">, [1930] A.C. 171 (H.L.), at p. 183; </w:t>
      </w:r>
      <w:r>
        <w:rPr>
          <w:rFonts w:ascii="arial" w:eastAsia="arial" w:hAnsi="arial" w:cs="arial"/>
          <w:i/>
          <w:color w:val="000000"/>
          <w:sz w:val="20"/>
          <w:lang w:val="en-US" w:eastAsia="en-US" w:bidi="ar-SA"/>
        </w:rPr>
        <w:t>City of Portage La Prairie v. B.C. Pea Growers Ltd.</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[1966] S.C.R. 150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Schenck v. Ontario (Minister of Transportation and Communications)</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[1987] 2 S.C.R. 289</w:t>
        </w:r>
      </w:hyperlink>
      <w:r>
        <w:rPr>
          <w:rFonts w:ascii="arial" w:eastAsia="arial" w:hAnsi="arial" w:cs="arial"/>
          <w:color w:val="000000"/>
          <w:sz w:val="20"/>
          <w:lang w:val="en-US" w:eastAsia="en-US" w:bidi="ar-SA"/>
        </w:rPr>
        <w:t xml:space="preserve">. An unsuccessful attempt was made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to depart from the traditional rule. Wilson J. writing for herself and two others, sought to limit the defence to cases involving either mandatory duties or statutes which specify the precise manner of performance. La Forest J. (Dickson C.J. concurring) took the more extreme view that the defence should be abolished entirely unless there is an express statutory exemption from liability. Neither of those positions carried a majority.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In the absence of a new rule, it would be appropriate to restate the traditional view, which remains the most predictable approach to the issue and the simplest to apply. That approach was expressed by Sopinka J.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at p. 1226: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must negative that there are alternate methods of carrying out the work. The mere fact that one is considerably less expensive will not avail. If only one method is practically feasible, it must be established that it was practically impossible to avoid the nuisance. It is insufficient for the defendant to negative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standard is a higher one. While the defence gives rise to some factual difficulties, in view of the allocation of the burden of proof they will be resolved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defence of statutory authority succeeded in the case of </w:t>
      </w:r>
      <w:r>
        <w:rPr>
          <w:rFonts w:ascii="arial" w:eastAsia="arial" w:hAnsi="arial" w:cs="arial"/>
          <w:i/>
          <w:color w:val="000000"/>
          <w:sz w:val="20"/>
          <w:lang w:val="en-US" w:eastAsia="en-US" w:bidi="ar-SA"/>
        </w:rPr>
        <w:t>Sutherland v. Vancouver International Airport,</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2002 BCCA 416</w:t>
        </w:r>
      </w:hyperlink>
      <w:r>
        <w:rPr>
          <w:rFonts w:ascii="arial" w:eastAsia="arial" w:hAnsi="arial" w:cs="arial"/>
          <w:color w:val="000000"/>
          <w:sz w:val="20"/>
          <w:lang w:val="en-US" w:eastAsia="en-US" w:bidi="ar-SA"/>
        </w:rPr>
        <w:t xml:space="preserve">. There, the Court of Appeal held that when assessing whether the particular activity complained of was an inevitable result of the authorizing statute, the court may look at the processes that the parties went through before the statute was passed. Those processes may include public meetings, academic or empirical studies, engineering reports, and the like.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those processes were squarely focussed on the issue of noise from airport operations. Considerable data on that issue were put to the authorizing agency ahead of its decision (see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at paragraphs 107 to 110).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defendants pled the defence of mitigation. I did not understand Mr. Beckman, counsel for the defendants, to have seriously pursued that defence in the course of the trial or during final submissions. I consider the pleading of mitigation to have been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It is always useful to know the perimeters of a claim for damages. For that reason I will begin my analysis of this claim with a discussion of the limitation issue. That issue, put bluntly, is whether the plaintiffs are correct when they say that the limitation period for pure economic loss arising out of private nuisance is six years, or whether the defendants have it right when they say that the limitation period is only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As noted earlier, this claim is governed by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key provision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relevant to this matter is the two-year limitation imposed on claims described by s. 3(2)(a):</w:t>
      </w:r>
      <w:r>
        <w:rPr>
          <w:rFonts w:ascii="arial" w:eastAsia="arial" w:hAnsi="arial" w:cs="arial"/>
          <w:sz w:val="20"/>
          <w:lang w:val="en-US" w:eastAsia="en-US" w:bidi="ar-SA"/>
        </w:rPr>
        <w:cr/>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3(2)(a) subject to subsection (4)(k), for damages in respect of </w:t>
      </w:r>
      <w:r>
        <w:rPr>
          <w:rFonts w:ascii="arial" w:eastAsia="arial" w:hAnsi="arial" w:cs="arial"/>
          <w:color w:val="000000"/>
          <w:sz w:val="20"/>
          <w:u w:val="single"/>
          <w:lang w:val="en-US" w:eastAsia="en-US" w:bidi="ar-SA"/>
        </w:rPr>
        <w:t>injury to person or property</w:t>
      </w:r>
      <w:r>
        <w:rPr>
          <w:rFonts w:ascii="arial" w:eastAsia="arial" w:hAnsi="arial" w:cs="arial"/>
          <w:color w:val="000000"/>
          <w:sz w:val="20"/>
          <w:lang w:val="en-US" w:eastAsia="en-US" w:bidi="ar-SA"/>
        </w:rPr>
        <w:t>, including economic loss arising from the injury, whether based on contract, tort or statutory duty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If the plaintiffs' claims are not of a type described in s. 3(2)(a), then by virtue of s. 3(5)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limitation period for their claims is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There is no contest or doubt about the fact that the plaintiffs' claims here are for pure economic loss. The evidence at trial did not suggest much less prove that the plaintiffs' property has been damaged or that the individual plaintiff's persons have been injured by the alleged nuisance (the plaintiffs did allege personal injury in their notice of civil claim, but those claims were abandoned). More particularly, 469's claims are entirely economic; it says that it has lost money and only money as a consequence of the noise emanating from the race track. The individual plaintiffs allege that their enjoyment of their property was negatively affected by the same noise, but they do not allege that their hearing has been damaged or the windows of their houses were broken by an assault of sound waves from the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To be certain that pure economic loss is different and distinguishable from the kind of claim arising out of injury to person or property as contemplated by s. 3(2)(a), one need only look to the discussion of the issue in </w:t>
      </w:r>
      <w:r>
        <w:rPr>
          <w:rFonts w:ascii="arial" w:eastAsia="arial" w:hAnsi="arial" w:cs="arial"/>
          <w:i/>
          <w:color w:val="000000"/>
          <w:sz w:val="20"/>
          <w:lang w:val="en-US" w:eastAsia="en-US" w:bidi="ar-SA"/>
        </w:rPr>
        <w:t>Moses v. Lower Nicola Indian Band</w:t>
      </w:r>
      <w:r>
        <w:rPr>
          <w:rFonts w:ascii="arial" w:eastAsia="arial" w:hAnsi="arial" w:cs="arial"/>
          <w:color w:val="000000"/>
          <w:sz w:val="20"/>
          <w:lang w:val="en-US" w:eastAsia="en-US" w:bidi="ar-SA"/>
        </w:rPr>
        <w:t xml:space="preserve"> quoted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So, the question here boils down to a simple proposition: Do the plaintiffs' claims for pure economic loss arise from an injury to person or property? The answer to that question has to be: "No, they did not". For that reason I find that the limitation period that governs the plaintiffs' claims is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 appreciate that the conclusion that I have reached may seem to run contrary to the two-year limitation periods that were found to apply in several earlier nuisance claims. Those cases are: </w:t>
      </w:r>
      <w:r>
        <w:rPr>
          <w:rFonts w:ascii="arial" w:eastAsia="arial" w:hAnsi="arial" w:cs="arial"/>
          <w:i/>
          <w:color w:val="000000"/>
          <w:sz w:val="20"/>
          <w:lang w:val="en-US" w:eastAsia="en-US" w:bidi="ar-SA"/>
        </w:rPr>
        <w:t>Low v. Petro-Canada Inc.</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2001 BCSC 251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ML Plaza Holdings Ltd. v. Imperial Oil Limited</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2006 BCSC 352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Peace Portal Properties v. Surrey (District)</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[1989] B.C.J. No. 533</w:t>
        </w:r>
      </w:hyperlink>
      <w:r>
        <w:rPr>
          <w:rFonts w:ascii="arial" w:eastAsia="arial" w:hAnsi="arial" w:cs="arial"/>
          <w:color w:val="000000"/>
          <w:sz w:val="20"/>
          <w:lang w:val="en-US" w:eastAsia="en-US" w:bidi="ar-SA"/>
        </w:rPr>
        <w:t xml:space="preserve"> (S.C.). In my view, those cases are distinguishable from the present case. The distinguishing feature is that in each of those cases the plaintiff did suffer some loss or damage to his property. In </w:t>
      </w:r>
      <w:r>
        <w:rPr>
          <w:rFonts w:ascii="arial" w:eastAsia="arial" w:hAnsi="arial" w:cs="arial"/>
          <w:i/>
          <w:color w:val="000000"/>
          <w:sz w:val="20"/>
          <w:lang w:val="en-US" w:eastAsia="en-US" w:bidi="ar-SA"/>
        </w:rPr>
        <w:t>Low</w:t>
      </w:r>
      <w:r>
        <w:rPr>
          <w:rFonts w:ascii="arial" w:eastAsia="arial" w:hAnsi="arial" w:cs="arial"/>
          <w:color w:val="000000"/>
          <w:sz w:val="20"/>
          <w:lang w:val="en-US" w:eastAsia="en-US" w:bidi="ar-SA"/>
        </w:rPr>
        <w:t xml:space="preserve"> contaminants escaped onto the plaintiff's property; </w:t>
      </w:r>
      <w:r>
        <w:rPr>
          <w:rFonts w:ascii="arial" w:eastAsia="arial" w:hAnsi="arial" w:cs="arial"/>
          <w:i/>
          <w:color w:val="000000"/>
          <w:sz w:val="20"/>
          <w:lang w:val="en-US" w:eastAsia="en-US" w:bidi="ar-SA"/>
        </w:rPr>
        <w:t>ML Plaza</w:t>
      </w:r>
      <w:r>
        <w:rPr>
          <w:rFonts w:ascii="arial" w:eastAsia="arial" w:hAnsi="arial" w:cs="arial"/>
          <w:color w:val="000000"/>
          <w:sz w:val="20"/>
          <w:lang w:val="en-US" w:eastAsia="en-US" w:bidi="ar-SA"/>
        </w:rPr>
        <w:t xml:space="preserve"> was another case of escaping contamination; and in </w:t>
      </w:r>
      <w:r>
        <w:rPr>
          <w:rFonts w:ascii="arial" w:eastAsia="arial" w:hAnsi="arial" w:cs="arial"/>
          <w:i/>
          <w:color w:val="000000"/>
          <w:sz w:val="20"/>
          <w:lang w:val="en-US" w:eastAsia="en-US" w:bidi="ar-SA"/>
        </w:rPr>
        <w:t>Peace Portal Properties</w:t>
      </w:r>
      <w:r>
        <w:rPr>
          <w:rFonts w:ascii="arial" w:eastAsia="arial" w:hAnsi="arial" w:cs="arial"/>
          <w:color w:val="000000"/>
          <w:sz w:val="20"/>
          <w:lang w:val="en-US" w:eastAsia="en-US" w:bidi="ar-SA"/>
        </w:rPr>
        <w:t xml:space="preserve"> the nuisance was the inundation of the plaintiff's lands by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Having answered the question of what limitation period applies here, the next question to tackle is: What effect did the plaintiffs' amendment of their pleadings have upon the scope of their claims? Recall that the original statement of claim sought to claim for nuisance from January 2008 forward. The original statement of claim was filed in October 2009. Given that the limitation period for their nuisance claim was in fact six years, it would have been right and proper for the plaintiffs to have claimed for nuisance commencing six years earlier, i.e.: from October 2003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Put another way, in law the plaintiffs had the right to sue for nuisances commencing in October 2003. Their legal right to sue was not truncated by their (or their lawyer's) decision to make a claim for nuisance from January 2008 forward. Having commenced the proceeding, the plaintiffs were always entitled to sue for the loss they suffered within the proper limitation period. The day after their original filing, the plaintiffs could have amended their pleadings to seek damages from October 2003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my view, the plaintiffs' February 2013 amendment - which asserted nuisance from February 2004 forward - did nothing more than give effect to the scope of claim to which they were always entitled but had mistakenly not originally claimed. The amendment did not cause the defendants any practical prejudice; they produced ample evidence of racetrack operations from 2004 to the date of trial. Never did the defendants complain that useful evidence was lost to them through the passage of time. There is, therefore, no need for the court to give leave to the plaintiffs to amend their claim as they have. That is because the amendment did not bring into a claim into play despite an already expired limitation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analysis of a claim for private nuisance requires the court to consider two propositions: first, did the alleged nuisance substantially interfere with the claimant's enjoyment or use of his land; and second, was the interference unreasonable in all of the circumstances (see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xml:space="preserve"> at paragraphs 19 to 22)? For the claim to succeed the evidence must answer both questions in the affirmative.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Substantial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the context of the individual plaintiffs, the use and enjoyment they say was affected was and is, in general terms, their right to live in their houses and on their sub-leased lots without being irritated by racetrack noise. The use of their land includes being able to sit in peaceful quietude on their outdoor decks on a summer Saturday afternoon and evening. The enjoyment that they say has been infringed is the pleasure they should have in residing in a quiet suburban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the context of 469's claim, its claim centers on use of its leasehold. The corporation, being a non-human entity, cannot be said to have suffered a subjective loss of enjoyment of its property. The use affected is, of course, the use to which 469 says it would put the land: sub-letting individual lots in order to generate a profitable stream of rental income and collecting what amounts to one-time land development fees for each rented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Has the individual plaintiffs' use and enjoyment of their land been substantially affected by noise from the racetrack? Their evidence was to the effect that when racing was underway, the noise was loud and irritating enough to drive them indoors or to persuade them to leave Lawrence Heights altogether. The racing happened on 10 to 18 afternoons and evenings during the summer months. Summertime is the time of year when the plaintiffs would otherwise have enjoyed sitting outside, tending to their gardens, reading, relaxing, cooking and eating outdoors, and entertaining family or friends. Having a noise like someone running a chainsaw in the backyard, as Mr. Christopher Hrabchuk put it, would certainly be a substantial interference with those uses and enjoyments.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am mindful of the evidence of Mr. Hagman, Ms. Robinson, and Messrs. Satchell and Newcombe that they did not find race noise to be a bother. I cannot give much weight to Mr. Hagman's evidence; he has lived in Lawrence Heights during the least active phase of the track's operations. He lives about as far away from the track as one can get and still be inside Lawrence Heights.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Ms. Robinson struck me as a very nice lady. She is clearly a tolerant individual. She appears to have a "live and let live" attitude, which is fine for her but does not necessarily make the individual plaintiffs out to be ultra-sensitive whiners.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When they visited the park during races, Mr. Satchell and Mr. Newcombe were not there to enjoy a restful evening or cookout on their decks. They confined their perambulations to the development's roadways and trails. I do not accept their evidence as representative of the impression that racing noise has had on actual residents. In any case, those two gentlemen had just come from the racetrack itself. For them, any place other than trackside was likely to seem quiet and peaceful.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find that the individual plaintiffs have shown that noise from the race track has substantially interfered with their use and enjoyment of their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469's claim that its use of the leasehold has been substantially interfered with is a more difficult proposition. 469's evidence on this point lies in two general areas. One area was comprised of Lawrence and Christopher Hrabchuk's evidence that they noticed that fewer non-residents visited Lawrence Heights on race days and that must therefore mean that fewer potential customers to whom they could make their sales pitch, and their evidence that noise from the track made lots in the upper terrace unmarketable. The other area of evidence relating to 469's assertion that its use of its land was substantially interfered with was Mr. MacDougall's report. More specifically, that evidence was Mr. MacDougall's opinion that but for the race track 469 would have been able to sub-let all of its lots, including the lots on the upper terrace, by the end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my view, very few senior citizens, looking for a peaceful, quiet, and rural lot on which to place their retirement home would elect to sub-let lots on the western edge and northwestern tip of the upper terrace. At least, they would not make that election if they knew that between noon and midnight on as many as 18 days during the summer they would be subjected to the noisome roar of racing cars. The playback of racing noise from locations in those areas provides ample support for that prediction. For that reason I am inclined to accept the Hrabchuks' evidence that they have delayed development of the upper terrace because of the racetrack. As I will discuss later, I find that that is only part of the reason they have delayed, but it is an important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lots on the western edge and northwestern tip of the upper terrace would otherwise be eminently sellable. I find that noise from the racetrack has in fact substantially interfered with 469's use of its leasehold.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have said earlier that I will not give much weight to Mr. MacDougall's opinions. I will explain here why I cannot accept his opinion that but for the racetrack 469 would have been able to sub-let all of its 202 lots by the end of 2007. I find that there are two flaws in that opinion and they all have to do with the adjustments Mr. MacDougall made to 469's actual sales between 2000 and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first flaw is that Mr. MacDougall gave no thought to whether 469 had the resources necessary to build the infrastructure necessary to put all of its 202 lots on the market before the end of 2007. There was no evidence at trial - other than bald assurances by Messrs. Hrabchuk - that 469 actually had the capital or the borrowing power or a combination of the two needed to finance that construction. Neither was there evidence that the infrastructure could be built at that accelerated pace. So, while the market demand might have been there, there was not sufficient evidence at trial to allow me to conclude that 469 would have actually developed all of its lots in time so that by the end of 2007 all of its lots would have had tenants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second flaw has to do with Mr. MacDougall's correlation of racetrack operation to lot sales in 2003. Mr. MacDougall testified that he was instructed that the racetrack was dormant in 2003. For that reason he made no adjustment to the sales figures for that year. However, there were in fact at total of 18 race events in the summer of 2003. That amounted to a full season of racing; the track used all of the days allotted to it under the Township's business regulation bylaw. The assumption on which Mr. MacDougall based his opinion was, therefore, demonstrably wrong. If that assumption was wrong then I can have little confidence in his assumption that racing affected lot sales in any other year in the period 2000 to the end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For these reasons I find that I cannot rely on Mr. MacDougall's opinion to show that noise from the racetrack substantially interfered with 469's use of its leasehold in the period 2000 to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Unreasonable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second stage of analysis of a claim for nuisance is whether the interference was unreasonable in all the circumstances. The factors to consider in this phase of the discussion include the nature of the environment in and around the claimants' and defendants' properties, the use to which the area has been put historically, and the utility of the defendants'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have described Lawrence Heights' environment earlier in these reasons. The surrounding area comprises a mix of agricultural, suburban housing, trailer park housing, and light industrial uses. The agricultural includes a large privately owned farm that lies across Highway 97 and directly south of Lawrence Heights. The suburb and trailer park uses include the Desert Cove and the Coyote Crossing developments that lie to the south of Lawrence Heights and to the east of the racetrack. The light industrial uses include a gravel pit on the far south side of the race track as well as a pre-cast concrete facility that is to the below and to the north of Lawrence Heights. Well to the east of Lawrence Heights are an 18-hole golf course and a tourist destination called the O'Keefe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Lawrence Heights was the first significant development in the immediate area. When Lawrence Heights was first conceived and was first under construction the racetrack was essentially a large pasture. The racetrack was built in 1999 and opened for one race in 2000. Coyote Crossing started letting lots in 2000. Desert Cove started selling lots sometime after that. Generally speaking then, history shows that the area was initially largely rural but that development in and around Lawrence Heights has progressed on a gradual but persistent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defendants argued that there is public utility in the racetrack operations. They say that police and firefighters train there from time to time and that charities have received income by providing parking control, participating in liquor sales, and running 50-50 lottery games at the track. While all of this is no doubt true, these are very minor contributions to the public good. It cannot be said that the racetrack itself exists to serve any primary purpose other than to make money for Okanagan Aggregates.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have no difficulty finding that the advent of noise from racing cars was an unreasonable interference with the individual plaintiffs. The noise of racing engines is the antithesis of the kind of gentle background sounds that residents of a rural subdivision can reasonably expect to hear in their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It was not, in my view, unreasonable that 469 should have planned to develop the western edge and northwestern tip of the leasehold - that land is well suited to suburban development. The racetrack has interfered with that plan to a significant degree. The social utility the racetrack provides is minor and does not outweigh 469's financial interest in the leasehold. Further, there was no evidence at trial that Okanagan Aggregates could not involve charities in quiet events at the track or that limiting the amount of noise emanating from the track would somehow prevent emergency services personnel from training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Taking all of the foregoing into account, I find that noise from the racetrack does constitute an unreasonable interference in the use and enjoyment of the individual plaintiffs' sub-leases and of 469's use of the western edge and northwestern tip of the upper terrace.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conclusion, then, I find that noise from the defendants' racetrack has constituted a private nuisance for the individual and the corporate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Defence of 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defence of statutory authority depends entirely on the defendant proving that the nuisance is the inevitable result of the activity authorized by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the present case the defendants have adduced evidence that certain classes of race cars do not produce noise amounting to nuisance. Those classes include the old timers cars, the Baby Grand, and Hornet vehicles. Vehicles in some of these classes are essentially road-legal cars that enthusiasts have modified for safety while racing. The cars in these classes are equipped with either very small engines - Baby Grands - or are small displacement compact cars - Hornets. Their exhaust systems are equipped with effective mufflers. According to Mr. Newcombe, whose evidence on this topic I accept, these are genuine racing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evidence at trial did not go so far as to prove that in order for Okanagan Aggregates to operate a race track it was necessary that it host races involving cars with no or only rudimentary mufflers. Such vehicles include the NASCAR, Sportsmen, and Sprint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Further, the evidence clearly established that Okanagan Aggregates can host non-racing events such as "King of the Hill" and trailer demolition spectacles without generating enough noise as to constitute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For these reasons I find that the defendants are not entitled to rely on the defence of 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Careful readers will note that I have not addressed the difficult question of whether the Township of Spallumcheen could, through the passage of a zoning bylaw, abrogate a land owner's right to sue for private nuisance. Neither have I tackled the even more difficult question of whether, assuming that the Township does have that power, by exercising it could abrogate the rights of a land owner who is not within the Township's jurisdiction. That could be an issue because Lawrence Heights is on an Indian Reservation. The Township has no authority whatsoever over that land.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Remedy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individual plaintiffs seek an award of damages for past nuisance. Ms. Schleusener and Messrs. Krazanowski and Cromarty seek $10,000 each. Mr. Christopher Hrabchuk seeks an award of $7,500. The lesser amount for Mr. Hrabchuk is based upon his shorter tenure in Lawrence Heights.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defendants' approach to the assessment of damages for the individual plaintiffs was to point out that none of them have shown that the value of their leaseholds has diminished by virtue of the nuisance. That is, with the greatest respect to the defendants, a thoroughly wrong-headed approach. None of the individual plaintiffs ever presented a case for diminution of the value of their houses. They complained only about not being able to enjoy them in a reasonable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Suzuki v. Munroe</w:t>
      </w:r>
      <w:r>
        <w:rPr>
          <w:rFonts w:ascii="arial" w:eastAsia="arial" w:hAnsi="arial" w:cs="arial"/>
          <w:color w:val="000000"/>
          <w:sz w:val="20"/>
          <w:lang w:val="en-US" w:eastAsia="en-US" w:bidi="ar-SA"/>
        </w:rPr>
        <w:t>, the court awarded damages of $4,000 and $2,000 to the plaintiff wife and husband respectively. There, the nuisance interfered with the plaintiffs' enjoyment of their property over a period of three years. The nuisance occurred whenever summertime temperatures triggered the defendants' air conditioner. The plaintiff wife suffered rather more badly than did her husband. She experienced considerable psychological upset from a combination of the nuisance and from having a running battle with the defendants over the air conditioner.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my opinion, the harm that the individual plaintiffs suffered from the nuisance was less severe than the harm to Mrs. Suzuki, but they have experienced the harm over a longer period of time than she did. I think that a reasonable award of damages to Ms. Schleusener, Mr. Krazanowski, and Mr. Cromarty is $7,500 and to Mr. Christopher Hrabchuk is $5,000. An order will go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am persuaded that 469 has suffered damages as well. I do not accept Mr. MacDougall's opinion that the capital value of 469's loss is $2.87 million. That number is not reliable because it is based upon the assumption that racetrack noise has and will permanently prevent 469 from developing the northern most lots on the lower terrace and all of the lots on the upper terrace. The fact is that since Mr. MacDougall expressed his opinion, 469 has developed and rented some of the lower terrace lots. That fact negatives the assumption Mr. MacDougall was instructed to employ and undermines the value of his opinion of 469's consequent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am not convinced that 469 should recover any damages relating to delay of development of the remaining lots on the lower terrace.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As I said earlier, I do not accept Mr. MacDougall's opinion that absent the racetrack by the end of 2007 469 would have developed and sub-let all of the lots on the lower and upper terraces.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best that I can do with the evidence before me is to say that noise from the racetrack has caused some delay in 469's development of the upper terrace. In so saying, I have not lost sight of the fact that development and letting of lots in the upper terrace would certainly have triggered 469's obligation to pay the full amount of deferred rent under the head lease. The running total of deferred rent reached $498,000 by the end of 2007 and reached just under $600,000 by the end of 2011. The deferred rent now stands at a rounded $730,000. I find that that contingent liability operated as another check on 469's ambition to develop the upper terrace. I find that it is very unlikely that 469 will develop the upper terrace before it perfects its agreement with Mr. and Ms. Lawrence to deeply discount the amount of deferred rent it owes.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Doing the best that I can with the admittedly imperfect evidence relating to the issue, I would assess 469's damages at $100,000 for that element of delayed development of the upper terrace attributable to the nuisance. That sum is meant to compensate 469 for the net rental income stream and profit on house placements that it would have realized on lots on the upper terrace prior to the trial, but which it did not earn owing to delay of development of the upper terrace caused by the nuisance.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As Verhoeven J. said in </w:t>
      </w:r>
      <w:r>
        <w:rPr>
          <w:rFonts w:ascii="arial" w:eastAsia="arial" w:hAnsi="arial" w:cs="arial"/>
          <w:i/>
          <w:color w:val="000000"/>
          <w:sz w:val="20"/>
          <w:lang w:val="en-US" w:eastAsia="en-US" w:bidi="ar-SA"/>
        </w:rPr>
        <w:t>Suzuki</w:t>
      </w:r>
      <w:r>
        <w:rPr>
          <w:rFonts w:ascii="arial" w:eastAsia="arial" w:hAnsi="arial" w:cs="arial"/>
          <w:color w:val="000000"/>
          <w:sz w:val="20"/>
          <w:lang w:val="en-US" w:eastAsia="en-US" w:bidi="ar-SA"/>
        </w:rPr>
        <w:t>, injunctive relief is appropriate where damages will be an inadequate remedy and the inadequacy of damages is easily satisfied where the nuisance will continue after trial if an injunction is not granted. That is clearly the case here. The defendants have a substantial investment in the racetrack and the Township has granted them authority to race on 18 days each year. If the use of the racetrack is not regulated by an injunction, the defendants or their successor(s) on title will be free to resume racing with any class or type of vehicle, including unmufflered NASCAR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For that reason, to protect the plaintiffs and to permit 469 to develop lots on the upper terrace, the use of the racetrack must be subject to some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An order will go that the owner and occupier of the land legally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Lot A, Section 9, Township 7, ODYD, Plan KAP64279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enjoined from using that land for any purpose that will cause a level of noise exceeding 80 decibels averaged over a five minute period measured at the point on the perimeter of the land most closely proximate to Lawrence Heights. That order may be registered by 469 against the title to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parties are at liberty to make an application for costs. Absent an application made within 30 days of the release of these reasons for a different result, the plaintiffs will be entitled to a single bill of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ROGERS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48" type="#_x0000_t75" style="width:432.06pt;height:395.31pt">
            <v:imagedata r:id="rId902" o:title=""/>
          </v:shape>
        </w:pict>
      </w:r>
      <w:r>
        <w:rPr>
          <w:rFonts w:ascii="arial" w:eastAsia="arial" w:hAnsi="arial" w:cs="arial"/>
          <w:sz w:val="20"/>
          <w:lang w:val="en-US" w:eastAsia="en-US" w:bidi="ar-SA"/>
        </w:rPr>
        <w:t xml:space="preserv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9"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3"/>
          <w:headerReference w:type="default" r:id="rId904"/>
          <w:footerReference w:type="even" r:id="rId905"/>
          <w:footerReference w:type="default" r:id="rId906"/>
          <w:headerReference w:type="first" r:id="rId907"/>
          <w:footerReference w:type="first" r:id="rId9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9" w:history="1">
        <w:r>
          <w:rPr>
            <w:rFonts w:ascii="arial" w:eastAsia="arial" w:hAnsi="arial" w:cs="arial"/>
            <w:b/>
            <w:bCs/>
            <w:i/>
            <w:color w:val="0077CC"/>
            <w:kern w:val="32"/>
            <w:sz w:val="28"/>
            <w:szCs w:val="32"/>
            <w:u w:val="single"/>
            <w:shd w:val="clear" w:color="auto" w:fill="FFFFFF"/>
            <w:lang w:val="en-US" w:eastAsia="en-US" w:bidi="ar-SA"/>
          </w:rPr>
          <w:t>Ali v. Fineblit, [2015] B.C.J. No. 1823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8-12, 15-17, and 23-26,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M114738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1823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1494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Rizwan Ali, Plaintiff, and Shirley Esther Fineblit,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0"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1" w:name="Keywords_46"/>
      <w:bookmarkEnd w:id="301"/>
      <w:r>
        <w:rPr>
          <w:rFonts w:ascii="arial" w:eastAsia="arial" w:hAnsi="arial" w:cs="arial"/>
          <w:b/>
          <w:color w:val="000000"/>
          <w:sz w:val="20"/>
          <w:lang w:val="en-US" w:eastAsia="en-US" w:bidi="ar-SA"/>
        </w:rPr>
        <w:t>Damages — Physical and psychological injuries — Physical injuries — Body injuries — Back and spine — Soft tissue — Leg injuries — Knee — Action by Ali for damages for personal injuries sustained in a motor vehicle accident allowed in part — Ali was turning left when the defendant Fineblit attempted to pass him on the left and came into contact with Ali's motorcycle — Fineblit was 100 per cent liable for the accident — There was insufficient evidence to establish that Ali suffered a neck injury — However, his left knee and back were injured in the accident — Ali failed to establish a future loss of earning capacity — He was awarded $168,135 in damages, including $70,000 in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housekeeping ability — Retroactive loss of income — Special damages — Expenses and expenditures — Therapy or rehabilitation — Non-pecuniary loss — Action by Ali for damages for personal injuries sustained in a motor vehicle accident allowed in part — Ali was turning left when the defendant Fineblit attempted to pass him on the left and came into contact with Ali's motorcycle — Fineblit was 100 per cent liable for the accident — There was insufficient evidence to establish that Ali suffered a neck injury — However, his left knee and back were injured in the accident — Ali failed to establish a future loss of earning capacity — He was awarded $168,135 in damages, including $70,000 in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2" w:name="Case Summary_41"/>
            <w:bookmarkEnd w:id="3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Ali for damages for personal injuries sustained in a motor vehicle accident. The accident occurred in October 2009 when Ali was 35 years old. He was turning left at an intersection when the defendant Fineblit attempted to pass him on the left. Her vehicle came into contact with Ali's motorcycle. Ali took the position that he sustained injuries to his left leg, neck and back. He further submitted that he was permanently partially disabled as a result of the injuries and suffered ongoing pain. While Fineblit conceded that Ali was injured in the accident, she took the position that he was exaggerating the nature, duration and extent of the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3" w:name="Holdings of Court_34"/>
            <w:bookmarkEnd w:id="30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Ali took steps to ensure he could safely turn left whereas Fineblit failed to ensure she could pass in safety. Fineblit was 100 per cent liable for the accident. There was insufficient evidence to establish that Ali suffered a neck injury which exacerbated his headaches. However, the medical evidence supported that his left knee and back were injured in the accident. He continued to suffer from left knee pain and intermittent low back pain. Ali's knee injury impacted all areas of his life, but he failed to establish that he had suffered a future loss of earning capacity. He was awarded $168,135 in damages, including $70,000 in non-pecuniary damages, $25,000 for past loss of earning capacity, $44,040 for loss of housekeeping capacity, $27,700 for the cost of future care and $1395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4" w:name="Legislation Cited_32"/>
      <w:bookmarkEnd w:id="3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1"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910" w:history="1">
        <w:r>
          <w:rPr>
            <w:rFonts w:ascii="arial" w:eastAsia="arial" w:hAnsi="arial" w:cs="arial"/>
            <w:i/>
            <w:color w:val="0077CC"/>
            <w:sz w:val="20"/>
            <w:u w:val="single"/>
            <w:shd w:val="clear" w:color="auto" w:fill="FFFFFF"/>
            <w:lang w:val="en-US" w:eastAsia="en-US" w:bidi="ar-SA"/>
          </w:rPr>
          <w:t>R.S.B.C.1996, c. 318, s. 145</w:t>
        </w:r>
      </w:hyperlink>
      <w:r>
        <w:rPr>
          <w:rFonts w:ascii="arial" w:eastAsia="arial" w:hAnsi="arial" w:cs="arial"/>
          <w:color w:val="000000"/>
          <w:sz w:val="20"/>
          <w:lang w:val="en-US" w:eastAsia="en-US" w:bidi="ar-SA"/>
        </w:rPr>
        <w:t>(1), s. 150, s. 157, s. 159, s. 160, s. 169, s. 170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5" w:name="Counsel_46"/>
      <w:bookmarkEnd w:id="3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2"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K. Miles, C. Caldwell.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B. McHale.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6" w:name="Judgment_46"/>
      <w:bookmarkEnd w:id="306"/>
      <w:r>
        <w:pict>
          <v:line id="_x0000_s1253" style="position:absolute;z-index:251859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7" w:name="L.B. GEROW J._0"/>
            <w:bookmarkEnd w:id="307"/>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Rizwan Ali claims for damages he alleges he sustained in a motor vehicle accident on October 3, 2009, at the intersection of West 7th Avenue and Pine Street, Vancouver, B.C. Mr. Ali was stopped at the intersection when the defendant, Shirley Fineblit attempted to pass him on the left side. As Ms. Fineblit was attempting pass Mr. Ali, he turned left and her vehicle came into contact with his motorcycle. Both liability and quantum are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Ali claims that as a result of the accident, he sustained injuries to his left leg, neck and back. He says he is permanently partially disabled as a result of the injuries he sustained in the accident. Mr. Ali says that he suffers from ongoing pain in his left knee and back, as well as increased headaches, disturbed sleep and anxiety. Mr. Ali is claiming damages for pain and suffering, loss of past and future income earning capacity, and cost of future care. He is also claiming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Ms. Fineblit responsible for the accident and, if so, is Mr. Ali contributorily negligent?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Mr. Ali suffer in the accident?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of general damages for pain and suffering?</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if any, should be awarded for past loss of income earning capacity?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if any, should be awarded for loss of future income earning capacity?</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if any, should be awarded for the cost of future care?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if any, should be awarded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Ali is 40 years old, and living with his wife and two young sons on Bowen Island. Mr. Ali was 35 years old at the time of the accident and was working as a software architect. Mr. Ali's job entailed commuting to various clients' workplaces, mostly in the United States, to work onsite on a weekly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accident, Mr. Ali was riding his motorcycle. He had just been on a motorcycle trip across Canada, and had returned to Vancouver by plane and had the motorcycle shipped back. Mr. Ali had just picked up the motorcycle from the shipper and was returning to his residence at the time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Ali's evidence is that he was travelling along West 7th Avenue between 30 kph and 40 kph as it is a residential street. According to Mr. Ali, he slowed as he approached Pine Street and turned on his left turn signal. He also checked his mirrors. He stopped and ensured the car behind him had stopped, and then started to make his turn when he was hit by the car that had been stopped behind him trying to pass him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Ali's evidence is that he struggled to keep his motorcycle up and made it across the intersection where he stopped, parked his motorcycle and got off. His evidence is that the car hit his left knee and then swiped the front fork and turn signal of his motorcycle. Mr. Ali says he was stunned at what had happened and was angry and upset with the other motorist for passing him on the left when he was signalling that he was going to turn. After he got off the motorcycle, Mr. Ali exchanged information with Ms. Fineblit. After Ms. Fineblit left, Mr. Ali sat on the curb for a while, and then drove his motorcycle home. When he got home he went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Fineblit testified that she had been grocery shopping prior to the accident. She too was returning home when the accident occurred. Ms. Fineblit was following Mr. Ali on West 7th Avenue. According to Ms. Fineblit, Mr. Ali was driving very slowly, at what she described as a walking pace. Ms. Fineblit's evidence is that she thought Mr. Ali was turning right and so she passed him on the left. She heard a tap on the left hand passenger door and stopped and saw Mr. Ali beside her. Mr. Ali turned to the left and got off his motorcycle and started shrieking at her. Ms. Fineblit did not think there was damage to either party and there was no indication that Mr. Ali was injured. Ms. Fineblit's evidence is that she thought the edge of the left handlebar just caught her car. Ms. Fineblit testified that after the accident she went over to the motorcycle and fixed the front left hand turn indicator. At the time, the left turn indicator was blinking.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Neither party called the police or an ambulance. The first medical treatment Mr. Ali sought was on October 9, 2009, six days after the accident when he went to see his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Ali says his symptoms from the injuries he sustained in the accident, particularly the left knee injury, are ongoing and have impacted all areas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Who is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set out earlier, Mr. Ali's motorcycle struck Ms. Fineblit's vehicle when he was turning left. Mr. Ali did not see Ms. Fineblit until the collision. There is a dispute as to whether Mr. Ali signalled that he was making a left hand turn, and whether Ms. Fineblit acted reasonably in passing him on the left when he was stopped. For the following reasons, I find Ms. Fineblit 100% liable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Ali submits that the evidence indicates the accident was the result of Ms. Fineblit's frustration and annoyance at a delay in her travel and her decision to proceed in an unsafe manner by passing on the left in an intersection when her evidence is that she could not ascertain what he was going to do. Both Ms. Fineblit and Mr. Ali testified that when she passed him he was in the centre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Fineblit took an ill-advised risk, hoping she could pass Mr. Ali and that he would not turn left. The law is clear that the servient driver, i.e. Ms. Fineblit, had to wait or sound her horn before proceeding to pass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Fineblit takes the position that Mr. Ali was taking his motorcycle on a road test when the accident occurred, and was not paying attention to his surroundings and the other vehicles on the road. Ms. Fineblit was entitled to rely on the fact that Mr. Ali had put his right hand signal on, and pass Mr. Ali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Fineblit was not confused as she approached the intersection. Rather her evidence is that Mr. Ali was unpredictable. Ms. Fineblit attempted to ascertain what Mr. Ali was doing as he approached the intersection. Ms. Fineblit was not acting hastily, but rather, cautiously. She stopped behind Mr. Ali and assessed the situation. She formed the opinion that Mr. Ali was turning right because she saw a right hand signal. Ms. Fineblit's evidence that she saw the right hand turn signal should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There is nothing in the evidence to establish when Mr. Ali turned on his left hand signal. Mr. Ali has suggested that because the left hand signal was activated after the accident, is should be inferred it was activated before the accident. Mr. Ali likely changed his mind and activated his left hand turn signal while turning which contravenes ss. 169 and 170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Fineblit asserts that motorcycles are less visible than cars and that explains why she did not see the left signal. Ms. Fineblit submits that Mr. Ali failed in his duty to her by knowingly operating a vehicle that is less visible; driving slower than was reasonable; signalling right before the intersection and then turning left; failing to give a clear indication of his intention to turn left; not using hand signals; stopping at the intersection; and not moving to the left sufficiently to indicate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Fineblit's position is that Mr. Ali's evidence that he checked his mirror, saw her stopped behind him and performed a shoulder check and checked his mirrors before he commenced his turn is not credible.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following provisions from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R.S.B.C.1996, c. 318</w:t>
      </w:r>
      <w:r>
        <w:rPr>
          <w:rFonts w:ascii="arial" w:eastAsia="arial" w:hAnsi="arial" w:cs="arial"/>
          <w:color w:val="000000"/>
          <w:sz w:val="20"/>
          <w:lang w:val="en-US" w:eastAsia="en-US" w:bidi="ar-SA"/>
        </w:rPr>
        <w:t>, have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145 (1) A person must not drive a motor vehicle at so slow a speed as to impede or block the normal and reasonable movement of traffic, except when reduced speed is necessary for safe operation or in compliance with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 (1) The driver of a vehicle must confine the course of the vehicle to the right hand half of the roadway if the roadway is of sufficient width and it is practicable to do so, except</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overtaking and passing a vehicle proceeding in the same direction,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proceeding at less than normal speed of traffic at the time and place and under existing conditions must drive the vehicle in the right hand lane available for traffic, or as closely as practicable to the right hand curb or edge of the roadway, except when</w:t>
      </w:r>
    </w:p>
    <w:p>
      <w:pPr>
        <w:numPr>
          <w:numId w:val="1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overtaking and passing another vehicle,</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for a left hand turn at an intersection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157 (1) Except as provided in section 158, the driver of a vehicle overtaking another vehicle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cause the vehicle to pass to the left of the other vehicle at a safe distance,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cause or permit the vehicle to return to the right side of the highway until safely clear of the overtaken vehicle.</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when overtaking and passing on the right is permitted, a driver of an overtaken vehicle,</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audible signal given by the driver of the overtaking vehicle, must cause the vehicle to give way to the right in favour of the overtaking vehicle, and</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increase the speed of the vehicle until completely passed by the overtaking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159 A driver of a vehicle must not drive to the left side of the roadway in overtaking and passing another vehicle unless the driver can do so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160 A driver of a vehicle must not drive to or on the left side of the roadway, other than on a one way highway, unless the driver has a clear view of the roadway for a safe distance, having regard for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Drivers are entitled to expect other drivers to obey the rules of the road. They are not required to anticipate another driver's negligent manoeuver. As noted in </w:t>
      </w:r>
      <w:r>
        <w:rPr>
          <w:rFonts w:ascii="arial" w:eastAsia="arial" w:hAnsi="arial" w:cs="arial"/>
          <w:i/>
          <w:color w:val="000000"/>
          <w:sz w:val="20"/>
          <w:lang w:val="en-US" w:eastAsia="en-US" w:bidi="ar-SA"/>
        </w:rPr>
        <w:t>Carvalho v. Angotti</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2007 BCSC 1760</w:t>
        </w:r>
      </w:hyperlink>
      <w:r>
        <w:rPr>
          <w:rFonts w:ascii="arial" w:eastAsia="arial" w:hAnsi="arial" w:cs="arial"/>
          <w:color w:val="000000"/>
          <w:sz w:val="20"/>
          <w:lang w:val="en-US" w:eastAsia="en-US" w:bidi="ar-SA"/>
        </w:rPr>
        <w:t>,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principle in </w:t>
      </w:r>
      <w:r>
        <w:rPr>
          <w:rFonts w:ascii="arial" w:eastAsia="arial" w:hAnsi="arial" w:cs="arial"/>
          <w:i/>
          <w:color w:val="000000"/>
          <w:sz w:val="20"/>
          <w:lang w:val="en-US" w:eastAsia="en-US" w:bidi="ar-SA"/>
        </w:rPr>
        <w:t>Walker v. Harmon</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 (S.C.C.), has been cited in countless cases, including </w:t>
      </w:r>
      <w:r>
        <w:rPr>
          <w:rFonts w:ascii="arial" w:eastAsia="arial" w:hAnsi="arial" w:cs="arial"/>
          <w:i/>
          <w:color w:val="000000"/>
          <w:sz w:val="20"/>
          <w:lang w:val="en-US" w:eastAsia="en-US" w:bidi="ar-SA"/>
        </w:rPr>
        <w:t>Keen v. Stene</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44 D.L.R. (2d) 350</w:t>
        </w:r>
      </w:hyperlink>
      <w:r>
        <w:rPr>
          <w:rFonts w:ascii="arial" w:eastAsia="arial" w:hAnsi="arial" w:cs="arial"/>
          <w:color w:val="000000"/>
          <w:sz w:val="20"/>
          <w:lang w:val="en-US" w:eastAsia="en-US" w:bidi="ar-SA"/>
        </w:rPr>
        <w:t xml:space="preserve"> at 367 (B.C.C.A.):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he seeks to case any portion of the blame upon B, the driver with the right of way, A must establish that after B became aware, or by the exercise of reasonable care should have become aware, of A's disregard of the law, B had in fact a sufficient opportunity to avoid the accident of which a reasonably careful and skillful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it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When a driver is going to pass another vehicle they must be reasonably certain it is safe to do so. If there is uncertainty, the obligation of the passing motorist is to wait to until it is reasonably safe to do so: </w:t>
      </w: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opinion, Ms. Fineblit's evidence that she was unable to ascertain what the motorcycle in front of her was going to do meant prior to passing it she should have sounded her horn to let Mr. Ali know she was passing or wait until she was able to ascertain what he was going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weather at the time of the accident was clear and sunny. There was normal daylight visibility. Ms. Fineblit became aware of the motorcycle sometime before the intersection of Pine Street. Her evidence is that she did not see the motorcycle go to the right hand side of the roadway. Ms. Fineblit's evidence at her examination for discovery was contrary to her evidence at trial. At trial Ms. Fineblit stated that the motorcycle was in the centre of her portion of the roadway, but at her examination for discovery she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Q203: And his motorcycle was positioned in the middle of the roadway?</w:t>
      </w:r>
    </w:p>
    <w:p>
      <w:pPr>
        <w:numPr>
          <w:numId w:val="1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Pretty much. Pretty close to the centre of the road as I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stated earlier, Ms. Fineblit agreed that the motorcycle's left hand signal was on after the accident. Ms. Fineblit's evidence is that she did not see any lights in the rear of the motorcycle prior to the accident, but saw the signal light on the right front handlebar prior to the accident. Her evidence is that on the basis of seeing the right front signal on the motorcycle, she decided it was safe to go around the motorcycle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do not accept Ms. Fineblit's evidence that she observed the right front signal light but not the brake light or the left rear signal light on the motorcycle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Robin Brown, an engineer with expertise in the areas of metallurgy and motor vehicle accident reconstruction, provided a report and testified at trial. In Mr. Brown's evidence and report he notes that the front signal lights on the 2002 Honda 919 motorcycle Mr. Ali was driving are also running lights that illuminate with the headlights when the ignition is turned on and face forwards.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my view, it is reasonable to infer that Ms. Fineblit could not have seen any forward facing lights on the motorcycle. As noted earlier, Ms. Fineblit's evidence is that she did not observe the rear brake light or rear signal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clear from Ms. Fineblit's evidence that she was impatient with Mr. Ali's driving because she thought he was driving too slowly. Ms. Fineblit agrees she stopped behind Mr. Ali when he stopped and put his foot down in the intersection. Although Ms. Fineblit attempted to resile at trial from her earlier evidence that he was pretty close to the centre of the road, it is clear she was uncertain as to what he was doing, and whether he was going to turn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accept Mr. Ali's evidence that he had put his left hand turn signal on as he approached the intersection, stopped, and checked his mirrors and saw Ms. Fineblit stopped behind him prior to starting his left hand turn. That evidence is consistent with Ms. Fineblit's evidence on her examination for discovery that Mr. Ali was close to the centre of the road and the fact that his left signal light was blinking after the accident. It is also consistent with Ms. Fineblit's evidence that Mr. Ali stopped in the intersection and she stopped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Although Ms. Fineblit argues that there is a higher duty on a motorcycle to ensure their intention to run, stop or change lanes is clear as a result of the lower visibility, she provided no authority for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Both parties have provided a number of cases. However, each case is determined on its facts. For example in </w:t>
      </w:r>
      <w:r>
        <w:rPr>
          <w:rFonts w:ascii="arial" w:eastAsia="arial" w:hAnsi="arial" w:cs="arial"/>
          <w:i/>
          <w:color w:val="000000"/>
          <w:sz w:val="20"/>
          <w:lang w:val="en-US" w:eastAsia="en-US" w:bidi="ar-SA"/>
        </w:rPr>
        <w:t>Pipe v. Dusome</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2007 BCSC 1066</w:t>
        </w:r>
      </w:hyperlink>
      <w:r>
        <w:rPr>
          <w:rFonts w:ascii="arial" w:eastAsia="arial" w:hAnsi="arial" w:cs="arial"/>
          <w:color w:val="000000"/>
          <w:sz w:val="20"/>
          <w:lang w:val="en-US" w:eastAsia="en-US" w:bidi="ar-SA"/>
        </w:rPr>
        <w:t>, one of the cases provided by Ms. Fineblit, the defendant was turning into a driveway, did not stop prior to making his turn, the left rear signal light of the vehicle was not working, and he did not check his mirrors before starting his turn. In the circumstances, it was found the defendant was 80% liable for not ensuring he could complete his turn safely before turning into the driveway. The plaintiff was found 20% at fault for failing to ensure he could pass safely because he was unsure as to what the defendant was doing and assumed he was going to turn right because of the fact he had slowed.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Even if I accepted Ms. Fineblit's evidence it is clear that she was uncertain as to what Mr. Ali was doing at the time he stopped in the intersection. At trial, Ms. Fineblit conceded that as Mr. Ali was close to the centre of West 7th Avenue he could have proceeded straight, turned left or turned right. In the circumstances, I am of the view she should have either waited to determine whether he was in fact turning right or sounded her horn prior to attempting to pass him. It was clear to Ms. Fineblit that Mr. Ali was stopped in the centre of the intersection, close to the middle of the road. This is not the same as the </w:t>
      </w:r>
      <w:r>
        <w:rPr>
          <w:rFonts w:ascii="arial" w:eastAsia="arial" w:hAnsi="arial" w:cs="arial"/>
          <w:i/>
          <w:color w:val="000000"/>
          <w:sz w:val="20"/>
          <w:lang w:val="en-US" w:eastAsia="en-US" w:bidi="ar-SA"/>
        </w:rPr>
        <w:t>Pipe</w:t>
      </w:r>
      <w:r>
        <w:rPr>
          <w:rFonts w:ascii="arial" w:eastAsia="arial" w:hAnsi="arial" w:cs="arial"/>
          <w:color w:val="000000"/>
          <w:sz w:val="20"/>
          <w:lang w:val="en-US" w:eastAsia="en-US" w:bidi="ar-SA"/>
        </w:rPr>
        <w:t xml:space="preserve"> case where the defendant was turning left into a driveway without coming to a stop, and without signalling his intention to turn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However, as stated earlier, I accept Mr. Ali's evidence that he put his left hand turn indicator on, and checked and saw that Ms. Fineblit had stopped behind him before commencing his turn. I find that Mr. Ali did take steps to ensure he could safely turn left. He put on his left hand turn signal, came to a stop near the centre of the intersection, and saw that Ms. Fineblit had stopped her vehicle behind his before he commenced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Having considered the evidence, submissions and the case law provided, I find that Ms. Fineblit failed to ensure she could pass in safety before attempting to pass Mr. Ali and should be held 100%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are the Nature, Extent and Duration of the Injuries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Prior to the accident, with the exception of the occasional headache, Mr. Ali was asymptomatic, very active and fully functional. As a result of the accident, Mr. Ali has had to visit Dr. Robert Menzies, his family physician, to treat his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Six days after the accident, on October 9, 2009, Mr. Ali saw Dr. Menzies and complained of pain in his left knee, back and left big toe. His left knee was tender and swollen. Dr. Menzies' diagnosis was a medial collateral strain in the left knee, a back strain, and a bruised toe.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Drs. Fuller, Stewart, and Menzies are all of the opinion that Mr. Ali's injuries and ongoing pain in his left knee and low back occurred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pain in Mr. Ali's left knee increases in colder and damp weather and wakes him up at night. When his left knee is stationary or he uses it too much, the pain increases. More recently, his lower back pain has radiated into his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Mr. Ali submits that as long as there is a substantial connection between the harm that he has suffered and Ms. Fineblit's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is liable. This accident involved a car colliding with an exposed left knee. Mr. Ali did not have the benefit of being inside of a car when the collision occurred, which would have given him some protection. There were no intervening events or pre-existing conditions to which the injuries and damages can be attributed.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Fineblit's expert Dr. Masri testified that Mr. Ali's left knee was fine before the accident, that he sustained an injury to the knee in the collision, and that his knee has not been normal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was no evidence that Mr. Ali had back issues prior to the 2009 accident. Dr. Robinson, a neurologist with expertise in headaches, is of the opinion that Mr. Ali's increased headaches are due to the accident. Prior to the accident his headaches were not a major problem as they are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Ali submits there is a clear temporal relationship between the occurrence of the accident and the onset of all of his symptoms. With respect to Ms. Fineblit's argument that his weight is the cause of his ongoing problems, the tortfeasor must take the plaintiff as she finds him. Mr. Ali submits that weight loss with a knee injury which prevents his ability to enjoy his formerly vigorous lifestyle, is a herculean task. Mr. Ali says had he been able to continue with his regular athletic pursuits and daily recreational activities, he would not have gained weight. Dr. Masri agreed that a reduction in regular activity could cause weight gain, that being overweight required a treatment regimen, and that there were psychological and lifestyle factors that contributed to being overweight or obese.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Ali says that there is no intervening event or pre-existing condition which contributed to his injuries. Absent the accident, he would not be in his current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Fineblit submits that Mr. Ali medical history prior to the accident is relevant, including:</w:t>
      </w:r>
      <w:r>
        <w:rPr>
          <w:rFonts w:ascii="arial" w:eastAsia="arial" w:hAnsi="arial" w:cs="arial"/>
          <w:sz w:val="20"/>
          <w:lang w:val="en-US" w:eastAsia="en-US" w:bidi="ar-SA"/>
        </w:rPr>
        <w:cr/>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Pre-existing headache and migraines associated with stress and airplane travel;</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overweight with high cholesterol in the months preceding the accident;</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shoulder and associated upper back injury necessitating treatment before and after the accident;</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right knee requiring physiotherapy treatment;</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Palpatory tenderness of the left knee, pre-dating the accident;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injuries due to a December 2007 motorcycle accident including injury to the shoulder, to the chest and to the right leg;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sports injuries and prior car accident injuries resulting in a fractured wrist, fractured arm and fractured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Fineblit concedes that Mr. Ali was injured in the accident. She says Mr. Ali has established he suffered a grade 1 soft tissue injury to his low back, a contusion to his left toe, and a contusion to his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Fineblit submits that Mr. Ali's ongoing complaints are either unrelated to the accident or a consequence of his failure to receive beneficial treatment and active rehabilitation. Ms. Fineblit takes the position that Mr. Ali did not sustain an injury to his neck or upper back as a result of the accident. Ms. Fineblit says the evidence supports a finding that Mr. Ali's neck symptoms are as a result of non-accident factors including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Fineblit argues that Mr. Ali has demonstrated a lack of credibility in the reports of his symptoms and injuries. His current self-reports are inconsistent with his reports in the years following the accident and are unreliable. Mr. Ali's headaches existed prior to the accident. Mr. Ali has not established that any increased symptoms are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evidence of Dr. Dost, a neurologist, on the issue of headaches is the most reliable assessment of the cause of Mr. Ali's headaches and should be preferred over the evidence of Dr. Robinson. Dr. Dost disagrees that the worsening of Mr. Ali's headaches is the result of a neck injury, as there is no support for that conclusion in the medical records. Dr. Dost contends Dr. Robinson ignored other reasonable explanations for Mr. Ali's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Ali's left toe injury resolved within six months of the accident, and there is no evidence that his current mid-back pain was caused by the accident. There is no temporal connection between the mid-back pain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Ali's ongoing knee problems are as a result of his failure to receive recommended treatment, deconditioning and being overweight. Ms. Fineblit submits that if Mr. Ali had properly exercised and sought out active rehabilitation, his knee problems would have resolved within six months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order to establish causation Mr. Ali must prove on a balance of probabilities that but for the accident he would not have suffered the injury he complains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Supreme Court of Canada considered causation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The Court confirmed that the basic test for determining causation remains the "but for" test articulated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plaintiff bears the burden of proving that but for the negligent act or omission of the defendant the injury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para.35, the Court states that the general rule is the plaintiff must be returned to the position he or she would have been in, with all of its attendant risks and shortcomings, and not a better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stated earlier, Ms. Fineblit concedes that Mr. Ali was injured in the accident. However, she takes the position that Mr. Ali is exaggerating the nature, duration and extent of the injuries he suffered in the accident. Ms. Fineblit submits that the evidence is that the injury to his toe and lower back have resolved. Insofar as the injury to his left knee continues to impair his work, household, and recreational activities, Ms. Fineblit argues that is a result of Mr. Ali failing to follow the recommended physiotherapy and exercise programs, and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All of the doctors who examined Mr. Ali agree he sustained an injury to his left knee in the accident. There is a dispute regarding whether Mr. Ali suffered an injury to his mid-back and neck in the accident, and the extent to which his ongoing symptoms in his left knee are the result of the accident, or the result of Mr. Ali's failure to participate in physiotherapy and active rehabilitation, and maintain a healthy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Menzies, Mr. Ali's family doctor, provided a report and testified at the trial. Mr. Ali came to see him on October 9, 2009, six days after the accident. At the time, Mr. Ali reported a sore left knee, back and toes. On examination, Dr. Menzies found Mr. Ali's left knee painful in the area of the medial ligament and puffy. The range of motion was normal. Dr. Menzies diagnosed a strain of the medial collateral ligament of Mr. Ali's left knee, a back strain, and a bruised toe. Dr. Menzies provided him with exercises to do for his back and knee. Since the first visit Mr. Ali has continued to complain about his left knee pain despite Dr. Menzies stating that his left knee was almost healed in a CL 19 report to ICBC in January 2010. In the CL 19 report, Dr. Menzies' diagnosis was a Grade 1 strain to his low back and a sprain to his left knee that was "almost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November 2009, Mr. Ali was still experiencing discomfort but his back was improving. In March 20, 2010, Mr. Ali reported that his left knee and toe pain were worse. On October 22, 2010, approximately a year after the accident, Mr. Ali reported to Dr. Menzies that he had re-occurring hemicranial headaches for years which he believed were correlated to air travel. Dr. Menzies notes that in the past running helped him control these symptoms. Mr. Ali also complained about left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January 18, 2011, Mr. Ali reported his left knee had been hurting every day. Mr. Ali reported that his knee locked in partial flexion accompanied by severe pain. On examination, Dr. Menzies found Mr. Ali had a tender medial joint line, and a limited range of motion on flexion and extension. Dr. Menzies diagnosed a meniscus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August 2011, Mr. Ali complained about his left knee. He reported that he occasionally got migraines and his right shoulder was bothering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May 2012, Mr. Ali reported an exacerbation of his knee pain. He had been flying back and forth to London, England which made it worse. Mr. Ali continued to complain of left knee pain through 2012, 2013, and 2014. As well, he complained of back pain, neck pain and headaches from time to time. As of December 2014, Dr. Menzies' opinion was that Mr. Ali's back and neck pain related more to his work and deconditioning than the accident. Dr. Menzies testified that part of Mr. Ali's deconditioning was due his knee injury making it difficult for him to exercise. Dr. Menzies' opinion is that Mr. Ali could have some improvement in his symptoms with physiotherapy, a brace, and monitoring of the strengthening of his left leg. He recommended Mr. Ali obtain a brace for his knee so that he could exercise more. However, Dr. Menzies is of the view that Mr. Ali is not going to completely recover from the injury, particularly the medial pain in his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Nairn Stewart, an expert in physical medicine and rehabilitation retained by the plaintiff, provided two reports and testified at the trial. Dr. Stewart interviewed and examined Mr. Ali on October 23, 2013, four years after the accident. At the time, Mr. Ali was complaining of neck pain, headaches, low back pain, and left knee pain. Mr. Ali told Dr. Stewart he had experienced intermittent pain in his neck following the accident, as well as headaches related to the neck pain. On physical examination, Dr. Stewart found tenderness in his neck and shoulder muscles. Mr. Ali had a full range of motion in his neck, back, shoulders and hips. There was tenderness over the medial joint line of the left knee, and mild laxity in the medial collateral ligament of his left knee. Dr. Stewart also reviewed the medical records of Dr. Menzies and Dr. O'Brien, an orthopaedic surgeon, who assessed Mr. Ali in June 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 report dated May 21, 2014, Dr. Stewart notes that Mr. Ali's medical records indicate that he had a long history of migraine-type headaches pre-dating the accident but no history of neck, back or knee pain. Dr. Stewart's opinion is that Mr. Ali's neck pain is more likely due to the fact he sits for hours in front of his computer at work as there was no mention of neck pain in the medical records. As well, Dr. Stewart was unable to attribute Mr. Ali's headaches to the accident because of his pre-existing history with headaches. Dr. Stewart recommended that Mr. Ali participate in a regular exercise and strengthening program, and some psychological counselling to help him adjust to his injury. Dr. Stewart's opinion is that Mr. Ali will continue to experience pain and restrictions in his left knee and low back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Stewart provided a second report dated March 3, 2015 commenting on the report of Dr. B.A. Masri, an orthopaedic surgeon retained by the defendant. Dr. Stewart is of the opinion, contrary to Dr. Masri, that it is unlikely Mr. Ali's knee pain will resolve if he loses weight. Dr. Stewart noted that at the time she saw Mr. Ali he reported significant ongoing limitations with regards to his work, household and leisure activities as a result of the injuries to his left knee and low back. Dr. Stewart states in the March 3, 2015 report that Dr. Masri's report did not change her opinion that it is unlikely Mr. Ali symptoms will fully resolve, noting: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unlikely, in my opinion, that those limitations which were present four years after his injury would have disappeared in the year between my assessment of that of Dr. Masri, or that an active exercise program would eliminate all of Mr. Ali's functional limitations this long after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John Fuller, an orthopaedic specialist, provided three reports dated November 13, 2014, March 24, 2015, and April 25, 2015, and testified at the trial. Dr. Fuller examined Mr. Ali on October 29, 2014 and on March 18, 2015. When Dr. Fuller examined Mr. Ali, his complaints were headaches with a significant migraine component, recurring low back pain, and pain and limitations in his left knee. On examination, Dr. Fuller found there was laxity of the medial collateral ligament and to a degree the lateral collateral ligament in his left knee. Dr. Fuller also found that Mr. Ali had mid-back pain at the thoracolumbar junction. In Dr. Fuller's opinion the prognoses for further improvement of Mr. Ali's left knee and back symptoms are guarded given the length of time the symptoms have persisted. In Dr. Fuller's second report, he strongly disagrees with Dr. Masri's opinion that Mr. Ali's "collateral ligaments as well as cruciate ligaments were normal." Dr. Fuller reiterated that he found definite laxity of the medial collateral ligament and pain on testing it. Dr. Fuller's opinion is that the residual laxity and sensitivity of the medial collateral ligament in Mr. Ali's left knee is the primary source of his symptoms and residual disability. In his opinion, the strengthening of Mr. Ali's quadriceps is unlikely to improve symptoms due to the medial collateral ligament.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Robert Gordon Robinson, a neurologist with an expertise in headaches, provided a report dated February 16, 2015 and testified at the trial. Dr. Robinson interviewed and examined Mr. Ali on January 8, 2015, and reviewed the medical records and medical legal reports. Mr. Ali reported to Dr. Robinson that he had experienced low back and left knee pain and an increase in his pre-existing difficulties with headaches since the accident. Mr. Ali advised Dr. Robinson he had suffered from pain in his neck, low back and left foot following the accident. Mr. Ali reported his neck pain had gradually improved though it continues to occasionally tighten up. Mr. Ali told Dr. Robinson he had a history of headaches pre-dating the accident from about 2007, or earlier. Mr. Ali did not have any specific memory of headache difficulties up until January 2010, a few months after the accident. Ever since then his headaches had been more frequent and severe. Mr. Ali told Dr. Robinson that as well as being more severe his headaches had changed in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Robinson's opinion is that it is probable that the soft tissue injuries sustained in the accident resulted in an aggravation of Mr. Ali's pre-existing migraine manifested by an increased frequency, severity, and change in character. Dr. Robinson states in his report that it is not impossible but less likely that these changes would have occurred had the accident not happened and Mr. Ali not suffered an injury to his neck. Dr. Robinson agreed that if Mr. Ali had not had an injury to his neck it is less likely that the increase in headaches was caused by the accident. Dr. Robinson testified that the delay in the onset of the headaches was a factor he considered. Dr. Robinson is of the opinion that due to the change of character of the headaches, and the increase in the frequency and severity relatively soon after the accident, the most probable cause of the exacerbation is the accident, despite the fact Mr. Ali had not reported neck pain to his family doctor after the accident. Dr. Robinson's opinion is that it is less likely that Mr. Ali's headaches would have changed in character frequency and severity beginning in January 2010 without the motor vehicle accident, or that the change is caused by other factors, such as an earlier accident of 2007, or a temporomandibular joint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Masri provided reports dated January 12, 2015 and April 16, 2015, and testified. Dr. Masri, conducted an independent medical examination of Mr. Ali on December 8, 2014. Dr. Masri states in the January report that Mr. Ali told him he did not have neck pain right after the accident. Dr. Masri's opinion is that Mr. Ali suffered a mild soft tissue injury to his low back which settled after four weeks. In his opinion, any ongoing symptoms Mr. Ali has in his low back are due to his poor core strength and weight gain since the accident. Mr. Ali advised Dr. Masri he had gained approximately 40 pounds after the accident. However, as noted earlier, Mr. Ali was still complaining about his low back in January 2010, when Dr. Menzies completed the CL 19 report for ICBC. It is unclear given the evidence why Dr. Masri is of the opinion that Mr. Ali's back symptoms settled in four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Masri agrees Mr. Ali's left knee was injured in the accident when it was trapped between his motorcycle and Ms. Fineblit's vehicle. As a result he suffered bruising and contusion of the knee medially and laterally. Mr. Ali's knee has improved in Dr. Masri's opinion but it is not normal. However, Dr. Masri is of the view that Mr. Ali's knee should have returned to normal by now, and the reason it has not is that Mr. Ali has failed to participate in a meaningful exercise program to strengthen his muscles, particularly his quadriceps and hamstring muscles. Dr. Masri's diagnosis is that Mr. Ali is suffering from patellofemoral pain syndrome. Dr. Masri agrees that being in a seated position for a long time will trigger knee pain. Dr. Masri disagrees with Dr. Fuller that Mr. Ali has laxity in medial collateral ligament or lateral collateral ligament. However, Dr. Masri agreed that Mr. Ali's left knee was normal before the accident, and has not been normal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Masri recommends that Mr. Ali participate in a well-supervised exercise program until he has achieved symmetry in his muscles. As well, Mr. Ali needs to lose 40 pounds, which will improve his pain. Dr. Masri's opinion in his report differs from those of Dr. Fuller and Dr. Stewart in that he is of the view that the prognosis is excellent if Mr. Ali follows an exercise program and loses weight, and that Mr. Ali's symptoms should improve to the point he is no longer suffering from impairment to his left knee. However in cross-examination, Dr. Masri agreed that he could not be certain that Mr. Ali would respond to physiotherapy and an active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Rehan Dost, a neurologist provided a report for the defendant in response to the report of Dr. Robinson. Dr. Dost did not examine Mr. Ali and did not testify at trial. Dr. Dost agrees that Mr. Ali's headaches worsened in a delayed fashion post-accident. However, Dr. Dost disagrees with Dr. Robinson that Mr. Ali suffered a neck injury in the accident. Dr. Dost states there is no basis in the medical evidence to support a finding that Mr. Ali suffered a neck injury in the accident. Dr. Menzies' records do not indicate any complaints by Mr. Ali of neck injury, nor do the records of the massage therapist dated December 2, 2009. Dr. Dost also points to the fact that Mr. Ali told Dr. Robinson his neck pain had improved and yet he still complains of headaches. In Dr. Dost's opinion that does not support a conclusion that Mr. Ali's pre-existing headaches were exacerbated by a neck injury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my view, the medical evidence, and the evidence of Derek Wone the massage therapist who treated Mr. Ali, after the accident, all support Mr. Ali's evidence that his left knee and low back were injured in the accident. Mr. Ali has consistently continued to complain of left knee pain following the accident. As well, Mr. Ali has complained of back pain intermittently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However, there is no evidence that Mr. Ali reported any neck injury or neck pain to his family doctor or his massage therapist following the accident. The evidence is that Mr. Ali had a pre-existing history of headaches, and had a shoulder injury in the motorcycle accident in 2007 when he was thrown from his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agree with Dr. Stewart and Dr. Dost that there is no evidence to support a conclusion that the exacerbation to Mr. Ali's headaches was caused by the accident. Dr. Robinson's opinion that the change to Mr. Ali's headaches was probably caused by the accident is based on his understanding that Mr. Ali suffered a neck injury in the accident. Given the lack of any contemporaneous report of neck injury or neck pain and the description of the accident, there is in my view, insufficient evidence to conclude that Mr. Ali suffered an injury to his neck in the accident which has exacerbated his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my opinion the medical evidence supports a finding that Mr. Ali suffered injuries to his left knee, low back and toe in the accident. The injuries to his toe resolved fairly soon after the accident. However, he has continued to suffer from left knee pain and intermittent low back pain since the accident. As stated earlier, I do not agree with Dr. Masri that the evidence supports a conclusion that Mr. Ali's back symptoms resolved within four weeks. There is no evidence that Mr. Ali's low back was symptomatic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While Dr. Masri expressed the opinion in his report that Mr. Ali's left knee problems should have resolved and any ongoing problems are due to his weight and lack of exercise, he resiled from that opinion in his evidence at trial. Dr. Masri conceded that not everyone responds well to physiotherapy or active rehabilitation, and there were no guarantees that Mr. Ali's knee symptoms would entirely resolve if he had participated in a regular physiotherapy or active rehabilitation program. The evidence is that Dr. Menzies provided Mr. Ali with exercises to perform for his knee which give him some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Both Dr. Stewart and Dr. Fuller deal with ongoing chronic pain, as opposed to Dr. Masri, who deals with more acute problems. In my view, the opinion of Dr. Stewart and Dr. Fuller that an active exercise program and weight loss may reduce Mr. Ali's left knee symptoms but not resolve them is to be preferred. Accordingly, I find that it is likely Mr. Ali will continue to experience pain and limitations in his left knee. As well, the medical evidence supports the conclusion that Mr. Ali will continue to suffer from intermittent low back pain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that but for the accident Mr. Ali would not be suffering from the chronic pain and limitations in his left knee, and intermittent pain in his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appropriate award of general damages for pain and suffering?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 plaintiff is entitled to reasonable damages for her pain and suffering. The plaintiff should be placed in the same position she would have been if the accident had not occurred, but not in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noted that a non-pecuniary award will vary to meet the specific circumstances of each case, and set out the factors to be considered in making such an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Mr. Ali submits he has suffered a serious chronic injury to his left knee, an aggravation to his headache condition, and an injury to his back in the accident. Mr. Ali submits that the appropriate award for general damages is $75,000. Mr. Ali relies on the following cases as support for an award in that amount: </w:t>
      </w:r>
      <w:r>
        <w:rPr>
          <w:rFonts w:ascii="arial" w:eastAsia="arial" w:hAnsi="arial" w:cs="arial"/>
          <w:i/>
          <w:color w:val="000000"/>
          <w:sz w:val="20"/>
          <w:lang w:val="en-US" w:eastAsia="en-US" w:bidi="ar-SA"/>
        </w:rPr>
        <w:t>Bradshaw v. Matwick</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2009 BCSC 564</w:t>
        </w:r>
      </w:hyperlink>
      <w:r>
        <w:rPr>
          <w:rFonts w:ascii="arial" w:eastAsia="arial" w:hAnsi="arial" w:cs="arial"/>
          <w:color w:val="000000"/>
          <w:sz w:val="20"/>
          <w:lang w:val="en-US" w:eastAsia="en-US" w:bidi="ar-SA"/>
        </w:rPr>
        <w:t xml:space="preserve">, where a plaintiff who had suffered an injury to his neck, back and knee, causing him pain for three years was awarded $70,000; </w:t>
      </w:r>
      <w:r>
        <w:rPr>
          <w:rFonts w:ascii="arial" w:eastAsia="arial" w:hAnsi="arial" w:cs="arial"/>
          <w:i/>
          <w:color w:val="000000"/>
          <w:sz w:val="20"/>
          <w:lang w:val="en-US" w:eastAsia="en-US" w:bidi="ar-SA"/>
        </w:rPr>
        <w:t>Haley v. Gust</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2010 BCSC 1143</w:t>
        </w:r>
      </w:hyperlink>
      <w:r>
        <w:rPr>
          <w:rFonts w:ascii="arial" w:eastAsia="arial" w:hAnsi="arial" w:cs="arial"/>
          <w:color w:val="000000"/>
          <w:sz w:val="20"/>
          <w:lang w:val="en-US" w:eastAsia="en-US" w:bidi="ar-SA"/>
        </w:rPr>
        <w:t xml:space="preserve">, where a 35 year old plaintiff who suffered a permanent ligament rupture in her knee was awarded $75,000; and </w:t>
      </w:r>
      <w:r>
        <w:rPr>
          <w:rFonts w:ascii="arial" w:eastAsia="arial" w:hAnsi="arial" w:cs="arial"/>
          <w:i/>
          <w:color w:val="000000"/>
          <w:sz w:val="20"/>
          <w:lang w:val="en-US" w:eastAsia="en-US" w:bidi="ar-SA"/>
        </w:rPr>
        <w:t>Penner v. Silk</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2009 BCSC 1682</w:t>
        </w:r>
      </w:hyperlink>
      <w:r>
        <w:rPr>
          <w:rFonts w:ascii="arial" w:eastAsia="arial" w:hAnsi="arial" w:cs="arial"/>
          <w:color w:val="000000"/>
          <w:sz w:val="20"/>
          <w:lang w:val="en-US" w:eastAsia="en-US" w:bidi="ar-SA"/>
        </w:rPr>
        <w:t xml:space="preserve">, rev'd on other grounds </w:t>
      </w:r>
      <w:hyperlink r:id="rId921"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where a 51 year old plaintiff with chronic patellar injuries affecting his work was awarded $80,000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Ms. Fineblit submits that the appropriate award for non-pecuniary damages is between $35,000 to $50,000. In support, Ms. Fineblit relies on </w:t>
      </w:r>
      <w:r>
        <w:rPr>
          <w:rFonts w:ascii="arial" w:eastAsia="arial" w:hAnsi="arial" w:cs="arial"/>
          <w:i/>
          <w:color w:val="000000"/>
          <w:sz w:val="20"/>
          <w:lang w:val="en-US" w:eastAsia="en-US" w:bidi="ar-SA"/>
        </w:rPr>
        <w:t>Hartman v. Dias</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2006 BCSC 478</w:t>
        </w:r>
      </w:hyperlink>
      <w:r>
        <w:rPr>
          <w:rFonts w:ascii="arial" w:eastAsia="arial" w:hAnsi="arial" w:cs="arial"/>
          <w:color w:val="000000"/>
          <w:sz w:val="20"/>
          <w:lang w:val="en-US" w:eastAsia="en-US" w:bidi="ar-SA"/>
        </w:rPr>
        <w:t xml:space="preserve">, where a 20 year old plaintiff who suffered an injury to her knee with ongoing pain five years later was awarded $30,000; </w:t>
      </w:r>
      <w:r>
        <w:rPr>
          <w:rFonts w:ascii="arial" w:eastAsia="arial" w:hAnsi="arial" w:cs="arial"/>
          <w:i/>
          <w:color w:val="000000"/>
          <w:sz w:val="20"/>
          <w:lang w:val="en-US" w:eastAsia="en-US" w:bidi="ar-SA"/>
        </w:rPr>
        <w:t>Foley v. Imperial Oil Limited</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2010 BCSC 797</w:t>
        </w:r>
      </w:hyperlink>
      <w:r>
        <w:rPr>
          <w:rFonts w:ascii="arial" w:eastAsia="arial" w:hAnsi="arial" w:cs="arial"/>
          <w:color w:val="000000"/>
          <w:sz w:val="20"/>
          <w:lang w:val="en-US" w:eastAsia="en-US" w:bidi="ar-SA"/>
        </w:rPr>
        <w:t xml:space="preserve">, where a 31 year old plaintiff who suffered a dislocated knee cap and some minor scrapes and strains was awarded $43,500; </w:t>
      </w:r>
      <w:r>
        <w:rPr>
          <w:rFonts w:ascii="arial" w:eastAsia="arial" w:hAnsi="arial" w:cs="arial"/>
          <w:i/>
          <w:color w:val="000000"/>
          <w:sz w:val="20"/>
          <w:lang w:val="en-US" w:eastAsia="en-US" w:bidi="ar-SA"/>
        </w:rPr>
        <w:t>Dodsworth v. Krenus</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2010 BCSC 267</w:t>
        </w:r>
      </w:hyperlink>
      <w:r>
        <w:rPr>
          <w:rFonts w:ascii="arial" w:eastAsia="arial" w:hAnsi="arial" w:cs="arial"/>
          <w:color w:val="000000"/>
          <w:sz w:val="20"/>
          <w:lang w:val="en-US" w:eastAsia="en-US" w:bidi="ar-SA"/>
        </w:rPr>
        <w:t xml:space="preserve">, where a 24 year old plaintiff who suffered a knee injury who was unable to weight bear for 13 months and continued to suffer from knee pain was awarded $45,000; </w:t>
      </w:r>
      <w:r>
        <w:rPr>
          <w:rFonts w:ascii="arial" w:eastAsia="arial" w:hAnsi="arial" w:cs="arial"/>
          <w:i/>
          <w:color w:val="000000"/>
          <w:sz w:val="20"/>
          <w:lang w:val="en-US" w:eastAsia="en-US" w:bidi="ar-SA"/>
        </w:rPr>
        <w:t>Lourenco v. Pham</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2013 BCSC 2090</w:t>
        </w:r>
      </w:hyperlink>
      <w:r>
        <w:rPr>
          <w:rFonts w:ascii="arial" w:eastAsia="arial" w:hAnsi="arial" w:cs="arial"/>
          <w:color w:val="000000"/>
          <w:sz w:val="20"/>
          <w:lang w:val="en-US" w:eastAsia="en-US" w:bidi="ar-SA"/>
        </w:rPr>
        <w:t xml:space="preserve">, where a 22 year old plaintiff who suffered from ongoing headaches, neck pain, back pain and knee pain was awarded $50,000; and </w:t>
      </w:r>
      <w:r>
        <w:rPr>
          <w:rFonts w:ascii="arial" w:eastAsia="arial" w:hAnsi="arial" w:cs="arial"/>
          <w:i/>
          <w:color w:val="000000"/>
          <w:sz w:val="20"/>
          <w:lang w:val="en-US" w:eastAsia="en-US" w:bidi="ar-SA"/>
        </w:rPr>
        <w:t>Grudzien v. Hu</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2013 BCSC 720</w:t>
        </w:r>
      </w:hyperlink>
      <w:r>
        <w:rPr>
          <w:rFonts w:ascii="arial" w:eastAsia="arial" w:hAnsi="arial" w:cs="arial"/>
          <w:color w:val="000000"/>
          <w:sz w:val="20"/>
          <w:lang w:val="en-US" w:eastAsia="en-US" w:bidi="ar-SA"/>
        </w:rPr>
        <w:t>, where a 46 year old plaintiff who suffered continuing limitation in his low back and right knee three years after the accident was awarded $50,000.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indicated above, Ms. Fineblit concedes that Mr. Ali suffered a soft tissue injury to his back and an injury to his left knee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is clear from Mr. Ali's evidence, as well as the evidence of his family, treating health care professionals and the medical experts that he is suffering from ongoing symptoms in his left knee and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Prior to the accident Mr. Ali did not have any problems with his left knee or low back. The evidence is that Mr. Ali's knee injury has impacted all areas of his life, including his work. The evidence is that he was very physically active, and ran and hiked on a regular basis to offset the sitting demands of his job. Since the accident, he has not been able to return to many of his pre-accident activities, such as running, snowboarding and hiking. As well, Mr. Ali's ongoing left knee symptoms prevent him from doing some of the household chores, and his wife has taken on more of the household duties and cleaning. Mr. Ali's wife and sister testified that his mood had changed since the accident and he does not have the easy going nature he did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evidence is that the symptoms from his left knee and back injury have all impacted his work. Mr. Ali travelled by plane frequently for his work prior to the accident. Since the accident, Mr. Ali had limited his air travel because he has trouble sitting on long flights. Mr. Ali testified that he experiences increased pain in his knee after sitting on flights. As well, Mr. Ali has increased back and knee symptoms from sitting at his desk or standing for long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noted earlier, while there maybe some improvement to Mr. Ali's left knee and back symptoms over time with a supervised exercise program, there is a likelihood that his left knee injury will cause limitations and pain indefinitely and he will suffer from ongoing flare ups of back pain. I find that as a result of the accident, Mr. Ali has been left with ongoing chronic pain in his left knee which is unlikely to resolve, and intermittent pain in his back. Dr. Fuller and Dr. Stewart agree it is likely Mr. Ali will have some symptom improvement with further physiotherapy and/or active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have reviewed the cases provided. Each case has distinctive facts, and it is often difficult to reconcile them as awards for pain and suffering are individual in nature. The cases provided by Mr. Ali are to some extent predicated on his submissions that the accident exacerbated his headaches, which as stated above, is not supported by the evidence. The cases provided by Ms. Fineblit are to some extent predicated on her submissions that Mr. Ali's back improved within four weeks of the accident which were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summary, the accident caused injuries to Mr. Ali's left knee and back which have been slow to resolve. There is a likelihood that the symptoms and restrictions of the left knee are permanent, and he will continue to suffer from intermittent back pain as a result of the accident. Having considered the evidence, and the cases provided by counsel, it is my view that an award of non-pecuniary damages in the amount $70,000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Income and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Ali advances a claim for past loss of income and income earning capacity from October 3, 2009 until June 8, 2015, in the amount of $169,487.00 net based on an assessment prepared by Jeff Matthews, a chartered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All the evidence provided points to the fact that Mr. Ali is an enthusiastic and hard worker. At the time of the accident, Mr. Ali was operating a business as an independent consultant doing onsite computer consulting. Most of Mr. Ali's clients are located in the eastern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Ali's business required that he travel on a weekly basis by plane to his client's workplace. Mr. Ali says the evidence supports a finding that as a result of his knee injury, he was unable to continue to travel by plane to the same extent, and as a result, has lost income. Mr. Ali has continued to perform off-site work as a computer consultant, but says it takes him significantly longer to produce the same volume and his skills are less valuable if he is not onsite at his customer's workplace. Mr. Ali submits that based on a true comparison of pre-accident and post-accident revenues, his skills are worth significantly more in various remote locations, accessible only by air travel. The injuries he sustained in the accident have prevented him from utilizing his skill sets in a more profitable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Prior to the accident Mr. Ali was in high demand and did not have to look for work. During 2012 and 2013, Mr. Ali worked on fewer and smaller projects. As a result of working off site, Mr. Ali receives fewer referrals, and he is no longer in demand. Mr. Ali describes it as "out of sight, out of mind". Due to his inability to travel, Mr. Ali was forced to turn down three lucrative onsite projects. Mr. Ali's evidence at trial is that he has not had work since October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Fineblit concedes that Mr. Ali lost income for three to four weeks of work following the accident, or the amount of $7,600 gross. Ms. Fineblit points to fact Mr. Ali continued to work after the accident doing the same type of work. Mr. Ali billed 1840 hours in 2010 the year following the accident which was more hours than he billed in any previous year, while continuing to travel extensively. Ms. Fineblit says that Mr. Ali has failed to prove a connection between any loss of earnings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Paul Pakulak, an occupational therapist retained by Mr. Ali, performed a functional capacity evaluation of Mr. Ali and found that he demonstrated the capacity to perform the work of a software engineer and technology management consultant at a competitive and sustainable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Fineblit submits that the changes to Mr. Ali's business were the result of other factors. Despite the fact Mr. Ali claims he had to agree to a lower hourly rate from his onsite rate of US$110 per hour as a result of the accident, in 2009 Mr. Ali negotiated and agreed to two new projects both at US$95 per hour. The terms of these projects were established before the accident and there is no evidence that the projects changed after the accident or that Mr. Ali's role on the projects changed. Any consequences resulting from Mr. Ali's decision to work on these projects is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Ali has failed to produce a witness from KANA, his main source of referrals or any clients. There is no corroborating evidence from witnesses or documentation to support Mr. Ali's perceptions of his business. The only evidence before the court is Mr. Ali's self-reports, perceptions and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evidence does not support a finding that Mr. Ali's air travel is curtailed by his knee injury. There are many ways to accommodate his knee injury symptoms on flights as set out in the report of Robert Gander, an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is evidence that Mr. Ali experienced difficulty with air travel with pre-existing head-ache condition. In the year following the accident, Mr. Ali took more flights than the previous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2008, Mr. Ali married and had a son. Ms. Fineblit submits that it is reasonable to infer that Mr. Ali changed the nature of his business to accommodate his new family.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the Court confirmed the approach to be taken to hypothetical events such as loss of opportunity for past and future earnings. A plaintiff must prove that an injury had an effect on his or her ability to earn income on a balance of probabilities, but once that has been established, hypothetical events need not be proved on a balance of probabilities. Rather, they are to be given weight based on their likelihood.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noted above, Ms. Fineblit concedes that Mr. Ali's suffered an injury to his left knee and back in the accident. As well, Ms. Fineblit concedes that Mr. Ali suffered loss of past income for approximately 3 to 4 weeks following the accident. However, she takes the position that the past loss of wage based on Mr. Ali's inability to travel is not made out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Fineblit argues that the evidence of his work post-accident does not support Mr. Ali's ongoing income loss claim after the first couple of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Ali's income tax returns from 2007 to 2013 do not establish a decrease in income post-accident. His income tax returns show the following total income made up of employment income and dividends: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2007: $45,806</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2008: $47,248</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2009: $99,500</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2010: $90,000</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2011: $83,000</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2012: $83,700</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2013: $108,700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Ali has not provided any personal or corporate income tax returns for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is clear from the evidence that Mr. Ali continued to work at his job post-accident, including travelling by plane for work. Although Mr. Ali complains that the plane travel causes him knee pain, none of the medical experts have provided an opinion he is unable to fly. Mr. Ali's evidence is that it takes him longer to perform work, but as noted by Ms. Fineblit, he billed more hours and travelled more in 2010, the year following the accident, than he had in any year preceding it. Mr. Ali's explanation for the travel is that he had a job in California which meant shorter flights, which he could handle.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Fuller was unable to explain Mr. Ali's problem with air travel, except to say ones movement is curtailed in an aircraft. There is evidence that Mr. Ali has increased knee pain as a result of sitting in one position for a length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Gander, the occupational therapist who conducted a functional capacity analysis, discussed air travel requirements and Mr. Ali's sitting restrictions. As noted by Mr. Gander, in determining Mr. Ali's capacity to travel on airplanes over variable durations the quantity of leg room available is a relevant consideration. Mr. Ali has a requirement to position his knee in a 45 degree angle of flexion should uninterrupted intervals of sitting continue beyond about an hour and 15 minutes. Mr. Gander considered the amount of leg room available in the different classes and concluded Mr. Ali did not have any functional limitations for travelling by air in classes apart from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Typical leg room provided in economy class allows a male passenger of average height to maintain his knees in 60 to 80 degree flexion, which Mr. Ali is able to perform in repeated intervals of approximately an hour and a half. Mr. Ali is 5'7" which is shorter than the typical North American male, and accordingly his knees would be in lesser flexion. In Mr. Gander's opinion, Mr. Ali's sitting capacity is compatible with the usual demands of prolonged air travel in economy class. Mr. Gander states that it is possible to obtain a seat, such as an aisle seat which allows him to extend his knee, or stand at intervals, if he cannot obtain an aisle seat or seat with more leg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Although Mr. Ali argues that Mr. Gander does not have the expertise to comment on his ability to endure lengthy and frequent flights, Mr. Gander has expertise in assessing an individual's sitting capabilities, and what is necessary to accommodate limitations. In my view, Mr. Gander's evidence is borne out by the fact that Mr. Ali took more flights in the year after the accident while billing more hours than he had during any prior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Ali asserts that it was not until 2011 when the effects of the accident began to show. In 2011, Mr. Ali suffered a dramatic dip in his billable hours. Mr. Ali says the decrease in billable hours in 2011 is result of having to turn down projects because he was unable to perform onsite work because he could not travel every week. However, two of the projects he turned down were in Australia. It is unlikely he would have been able to commute to Australia on a weekly basis to either location from Vancouver. I note as well, in August 2011, Mr. Ali told Dr. Menzies that he was going to physiotherapy when he is in town but it is a difficult task. However, Mr. Ali only attended physiotherapy once in 2011, even though his evidence was that he was in Vancouver for most of the year because of his inability to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2012, Mr. Ali's billable hours increased to 1568 hours, which was more than he had billed in 2008, the year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view, Mr. Ali has not established he suffered an ongoing past loss of income as a result of the accident. It is apparent from the evidence that Mr. Ali's earning and billable hours through his company fluctuate and are project dependent. In the year following the accident, Mr. Ali billed more hours and took more flights than any other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Although Mr. Ali submits he was forced to reduce his hourly rate because he did not want to travel after the accident, the evidence is that he reduced his rate for two projects prior to the accident. Mr. Ali agreed his rates fluctuated and based on the type and duration of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Ali's evidence is that he reduced his travel schedule due to the fact he would experience an exacerbation to his knee pain after airplane travel. That became particularly pronounced on longer flights and flights in commuter planes where the seats have less leg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noted, there is no expert evidence that Mr. Ali' injuries restrict his air travel, or that recommend he restrict his air travel. In fact, the evidence is to the contrary. Dr. Fuller does not have an explanation for Mr. Ali's problem with air travel. Mr. Gander's opinion is that even in economy with a non-optimum seat Mr. Ali has the sitting capacity for airplane travel. Mr. Ali travelled frequently in the year following the accident with no effect on his billable hours. Accordingly, I have concluded the evidence does not support a finding that the injuries Mr. Ali sustained in the accident have caused a loss of past income earning beyond the first few weeks following the accident. I have taken into consideration that air travel may cause Mr. Ali to experience pain in his knee in the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Ali's evidence is that he could not travel until four to six weeks after the accident. At the time of the accident, Mr. Ali was working on a project earning US$95 per hour for IBM. In my view, having considered the evidence, an award of $25,000 is appropriate, based on a 40 hour week for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Ali seeks an award for the loss of future earning capacity. As noted earlier, Mr. Ali's asserts that his capital asset, a healthy body, has been significantly impaired or damaged due to injuries he sustained in the accident. He takes the position that he is entitled to be compensated as his ability to earn income has been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my view, the capital asset approach rather than the earnings approach is the appropriate approach to use in determining any loss of future income earning capacity for Mr. Ali as he has continued to be self-employed since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Parameters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the Court noted that the first inquiry in dealing with a claim of this nature is whether there is a substantial possibility of future income loss. The Court stated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award for future loss of earning capacity represents compensation for a pecuniary loss. It is an assessment rather than mathematical calculation; however, there is a comparison between a plaintiff's likely future earnings before and after the accident: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at paras. 11-12. Under the capital asset approach, a trial judge may begin by comparing the present value of the difference between the plaintiff's earnings before and after the injury; however, that is not conclusive.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determining a plaintiff's loss of future income earning capacity, some of the factors to be considered in making the assessment include:</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been rendered less capable overall from earning income from all types of employment?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marketable or attractive to an employer as an employee?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lost the opportunity to take advantage of all job opportunities he or she was injured?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valuable to him or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the Court discussed the difficulties in assessing an award for loss of future capacity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The inherent difficulties of assessing awards for hypothetical future events are well-known. The exercise has been variously described as "gazing into a crystal ball"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xml:space="preserve"> at 469) and "an estimate based on prophesies"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at 263). In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as Mr. Justice Donald observed at 264: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defendant's arguments unduly focus on the mechanics of the judge's calculation and they fail to recognize that in the end it is the judge's sense of what is fair compensation that matters. There is much more art than science in the process. Accordingly, on appeal any missteps that may have occurred in arriving at an award are unimportant if the figure falls within the range of reasonable compensation.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Ali asserts that he has demonstrated there is a real and substantial possibility that he will continue to generate less income for his company than he otherwise would but for the accident. His losses will continue into the future because the improvements in his injured left knee and back have plateaued and as a result he continues to work at a significantly reduced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Ali's capital asset, a healthy body, has been significantly impaired or damaged due to the injuries he sustained in the accident. He is entitled to be compensated as his ability to earn income has been compromised. Mr. Ali says he is less marketable as a sub-contractor or resource to KANA, he has lost the ability to take advantage of all job opportunities offered to him, and he is less valuable to himself. Mr. Ali says based on the report prepared by Mr. Matthews, the net present value of his income loss until age 65 is $439,000.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Ali says he does not have a customer base in Vancouver, and that there is no market for his specialized skills in Vancouver. His customers have been, for the most part, large US and international corporations. Due to the decline in referrals and business, he has considered taking a job, which would involve uprooting his family and abandoning his dream home that he recently constructed on Bowen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Fineblit says he can perform the onsite job with accommodations, as set out in Mr. Gander's report. Mr. Ali says the evidence regarding the difference between an economy ticket and a business class ticket on various airlines shows that the lowest cost differential between Vancouver and Chicago is $343,222 to age 65 based on 80 flights per year. Mr. Ali submits that evidence supports an award of $439,000 for loss of capacity to earn future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Fineblit takes the position that Mr. Ali has not proved that there is a real and substantial possibility of a future event leading to an income loss. Ms. Fineblit says Mr. Ali has not produced any independent evidence that his income has been impacted by the injuries he sustained in the accident. Although Mr. Ali asserts that he is not getting any referrals from KANA due to his injuries, he has not called anyone from KANA. Nor has he called any representatives of any of his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Ali's future loss of capacity claim is based on the fact he cannot travel by air. However, there is no expert evidence that his air travel is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Fineblit points to the fact that Mr. Ali's income records cease in 2013, with an incomplete record for 2014, and no financial evidence for 2015. Ms. Fineblit submits in the absence of this evidence there is no evidential foundation to establish an ongoing income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my view, Mr. Ali has failed to prove that there is a real and substantial possibility of a future event leading to an income loss. While he may have limitations as a result of the injuries, Mr. Pakulak's opinion is that Mr. Ali demonstrates the capacity to complete the work of a technology management consultant on a full time basis at a competitive and sustainable pace. Prolonged sitting will continue to increase symptoms and he will need to change positions periodically to manage the symptoms. Mr. Gander is of the same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As stated earlier, the evidence does not support a finding that Mr. Ali is unable to travel by air, or that he has suffered an ongoing income loss as a result of the injuries sustained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Accordingly, I am of the view that Mr. Ali has not established that he has suffered a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Ali is advancing a claim for loss of housekeeping capacity. He says as a result of injuries sustained in the accident, he has been restricted in his ability to help his wife with household chores. Mr. Ali says he is no longer able to wash the floors, clean the large windows at their new house, or clean the bathrooms. Mr. Ali says his limitations with regard to household chores have become more pronounced since December 2014, when his family moved into their new house on Bowen Island. Mr. Ali is restricted in his ability to perform yard work and home maintenance tasks that are physically demanding. As a result of his injuries and pain, there is a real and substantial possibility that Mr. Ali will have to hire someone to perform these tasks for him that he would otherwise do himself. His wife is engaged in the care of their two young children, one of whom is a newborn.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Ali says his new family home on Bowen Island is large, and he is unable to do yard work. Mr. Ali's evidence is that before the accident he was able to perform a significant portion of the housework, that he did yard work with and for his parents, and that he enjoyed working on more advanced home projects for himself. Mr. Ali says he is very handy and enjoyed home renovation tasks. Before the accident, he renovated the kitchen and bathroom in his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Ali requires assistance for the heavier tasks around the home including landscaping. He has assessed his needs on the basis of an hour per week at $37.50 per hour ($37.50 x 52 weeks per year = $1,950) or approximately $2,000 per year. The calculation is based on Mr. Gander's evidence that the cost of landscaping would range from $25 to $50 per hour. An average rate between the two would be $37.50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Ali says that using the multipliers provided by Darren Benning, an economist, an award of $2,000 per year until he reaches age 70 is appropriate, given his inability to carry out household cleaning and home maintenance tasks. Using a cumulative multiplier the sum of $2,000 per year results in a net present value of $44,040.00 for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Fineblit takes the position that the home support services being claimed are not medically necessary and should not be awarded.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Parameters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law regarding the compensation for loss of housekeeping capacity is set out in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at para.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As we have seen, it is now well established that a plaintiff whose ability to perform housekeeping services is diminished in part or in whole ought to be compensated for that loss. It is equally well established that the loss of housekeeping capacity is the plaintiff's and not that of her family. When family members have gratuitously done the work the plaintiff can no longer do and the tasks they perform have a market value, that value provides a tangible indication of the loss the plaintiff has suffered and enables the court to assign a specific economic value in monetary terms to the loss. This does not mean the loss is that of the family members or that they are to be compensated. Their provision of services evidences the plaintiff's loss of capacity and provides a basis for valuing that loss. The loss remains the plaintiff's loss of economic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set out earlier, the medical evidence establishes that Mr. Ali has restrictions as a result of the accident to his left knee and intermittent pain in his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Stewart was of the view that it was likely Mr. Ali will continue to be limited with regard to performing more strenuous household tasks in the future because of his injuries in the motor vehicle accident. As well, Dr. Fuller's opinion is that Mr. Ali will be unlikely to perform heavier household tasks as a result of his ongoing knee injury. In his report, Mr. Pakulak states that Mr. Ali has demonstrated limited capacity for the more physically demanding household chores, yard work and home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Both Mr. Ali and his wife have testified regarding the difficulties he has had doing household chores and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my view, the evidence establishes there is some medical justification for the provision of some assistance to Mr. Ali in the future in regards to heavier chores and yard work. In my opinion, the claim Mr. Ali is making based on one hour of assistance per week at $37.50 is reasonable. Accordingly, I am awarding $44,040.00 for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Ali is claiming $27,700 for the cost of psychological counselling, an active rehabilitation program, and monthly massage therapy. Mr. Ali notes that Dr. Stewart recommended he provided with a personal trainer, a gym pass, 12 sessions of psychological counselling and monthly massage therapy. Mr. Ali points to the fact that Ms. Fineblit has not presented any evidence to rebut Dr. Stewart's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There is evidence of the cost of the various treatments recommended by Dr. Stewart. Using the costs provided the sum of $27,000 is a reasonable award under this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Fineblit concedes that Mr. Ali needs some future care, and in particular to participate in an active rehabilitation program, in order to reach maximum medical recovery. However, Ms. Fineblit says that $15,000 is an appropriate award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amount of $15,000 is an estimate and Ms. Fineblit is not relying on any evidence to establish that as the appropriate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Parameters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Cost of future care is established if there is a medical justification for the claim, and the claim is reasonable. An award under this head of damages is based on what is reasonably necessary to promote the physical and mental health of a plaintiff: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78 (S.C.); aff'd </w:t>
      </w:r>
      <w:hyperlink r:id="rId177"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As noted, all of the experts are of the view that it is likely Mr. Ali will have some further symptom improvement with either more physiotherapy or an active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Stewart recommends that Mr. Ali have psychological counselling in the form of cognitive therapy to help him adjust to his injury. In Dr. Stewart's view, 12 sessions is appropriate. As well, Dr. Stewart recommends monthly massage therapy for symptom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Menzies agrees with Dr. Stewart that some psychological counselling would benefit Mr. 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As noted, Ms. Fineblit agrees that Mr. Ali should be awarded some amount for an active rehabilitation program. The amount she suggests is not based on any evidence or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There is evidence that 12 sessions of psychological counselling would cost approximately $2,400 at $200 per session. The cost of an active rehabilitation program is between $2,000 and $5,000. An average of these figures is $3,500. Derek Wone, Mr. Ali's massage therapist, testified that the cost of a session is $105. Six sessions per year would cost $630. There is evidence that a gym pass costs approximately $360 per year. Using a multiplier from Mr. Benning's report, the cost of $990 per year for massage and a gym pass until Mr. Ali reaches the age of 70 results in a net present value of $21,800.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Having considered the evidence and submissions, I am of the view that an award in the amount of $27,700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Fineblit takes the position that Mr. Ali has failed to mitigate his damages by following the recommended treatment, and in particular the recommendation that he attend physiotherapy. Ms. Fineblit takes the position that non-pecuniary damages and past loss of income should be reduced by 20% as a result of Mr. Ali's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Ali submits that the only recommended treatment at the outset for his injuries was a diagrammed back and knee exercise regimen provided by Dr. Menzies. Mr. Ali has followed that regimen diligently and it continues to offer him some relief. He has also attempted to return to jogging and cycling. After 6 to 8 weeks of attempting to do those activities, his left knee hurts, feels loose, and the pain in his knee wakes him up at night. Mr. Ali testified that massage therapy, also recommended by Dr. Menzies and more recently endorsed by Dr. Stewart, has provided temporary symptomatic relief. He also received massage treatment when he was travelling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Ali acknowledges that ideally he could have made more of an attempt to attend physiotherapy initially. He testified that he had to prioritize work over physiotherapy and that it consumed a significant portion of his working day to attend a physiotherapy appointment. However, that alone does not lead to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Fineblit argues that an active rehabilitation program and physiotherapy would have reduced the damages suffered. However, Ms. Fineblit did not provide any evidence from a physical medicine and rehabilitation specialist to advance her case for a failure to mitigate. Dr. Masri resiled from his opinion that active rehabilitation and weight loss would result in Mr. Ali's symptoms reducing to the point that he is no longer suffering from any impairment to his left knee, stating that he could not say how Mr. Ali would respond or how effective treatment would be. Dr. Masri testified that over 50% of people would improve and, on average, he would expect some improvement. Dr. Masri's opinion is that Mr. Ali's pain would be somewhat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Ali points to the fact that Dr. Stewart and Dr. Fuller are not in agreement with Dr. Masri that Mr. Ali would have recover if he lost weight and participated in an active rehabilitation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Parameters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There is no question that every plaintiff has an obligation to take reasonable steps to reduce the damages flowing from a tort. In order to be successful in discharging the burden of proving that Mr. Ali has failed to mitigate, Ms. Fineblit must establish that Mr. Ali failed to undertake a recommended treatment, that by following the recommended treatment Mr. Ali would have overcome the problem, and that the refusal to take the treatment was unreasonable: </w:t>
      </w:r>
      <w:r>
        <w:rPr>
          <w:rFonts w:ascii="arial" w:eastAsia="arial" w:hAnsi="arial" w:cs="arial"/>
          <w:i/>
          <w:color w:val="000000"/>
          <w:sz w:val="20"/>
          <w:lang w:val="en-US" w:eastAsia="en-US" w:bidi="ar-SA"/>
        </w:rPr>
        <w:t xml:space="preserve">Chiu v. Chiu, </w:t>
      </w:r>
      <w:hyperlink r:id="rId936"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mitigation test is a subjective/objective test.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53, the Court reiterated the following test from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this Court set out the test for failure to mitigate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agree with Ms. Fineblit that Mr. Ali did not follow the recommendation to attend physiotherapy following the accident. However, he has provided a reasonable explanation as to why he did not attend physiotherapy after the accident. As noted earlier, Mr. Ali continued to work in the year following the accident, including travelling extensively, which made the scheduling of appointments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Menzies provided Mr. Ali with exercises that he continued to do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As noted earlier, Dr. Masri resiled from the opinion in his report that Mr. Ali's left knee problems should have resolved and any ongoing problems are due to his weight and lack of exercise, in his evidence at trial. Dr. Masri conceded that not everyone responds well to physiotherapy or active rehabilitation, and there were no guarantees that Mr. Ali's knee symptoms would entirely resolve if he had participated in a regular physiotherapy or active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As well, as noted earlier, the opinion of Dr. Stewart and Dr. Fuller that an active exercise program and weight loss may reduce Mr. Ali's left knee symptoms but not resolve them is to be preferred.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While Mr. Ali may have had a better recovery if he had exercised more, the evidence does not support a conclusion that Mr. Ali would have received substantial benefit which would have reduced his damages if he had attended physiotherapy. The evidence is that regardless of physiotherapy or active rehabilitation, Mr. Ali will be left with a permanent partial disability to his left knee which will impact his ability to stand or sit for lengths of time, and limit him from returning to his pre-accident activities, including hiking, jogging and snowboarding.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note as well that Ms. Fineblit concedes that some award for past loss of income earning capacity should be made. In the circumstances, I have concluded that Ms. Fineblit has not established that the awards for non-pecuniary damages or past loss of income earning capacity should be reduced on the basis that Mr. Ali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Ali claims the amount of $1,395.00 for massage therapy. Ms. Fineblit takes the position that there should be no award for special damages. However, she has provided no basis for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evidence is that Mr. Ali has spent $1,395 for massage therapy as a result of the injuries he sustained in the accident. In my view, he is entitled to be reimbursed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As set out above, I find that Ms. Fineblit is liable for the accident, and Mr. Ali is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am awarding the following for the injuries suffered by Mr. Ali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$70,000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earning capacity - $25,000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loss of income earning capacity - $0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 $44,040.00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$27,700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 - $1,395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 $168,135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As well, Mr. Ali is entitled to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4"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0"/>
          <w:headerReference w:type="default" r:id="rId941"/>
          <w:footerReference w:type="even" r:id="rId942"/>
          <w:footerReference w:type="default" r:id="rId943"/>
          <w:headerReference w:type="first" r:id="rId944"/>
          <w:footerReference w:type="first" r:id="rId9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6" w:history="1">
        <w:r>
          <w:rPr>
            <w:rFonts w:ascii="arial" w:eastAsia="arial" w:hAnsi="arial" w:cs="arial"/>
            <w:b/>
            <w:bCs/>
            <w:i/>
            <w:color w:val="0077CC"/>
            <w:kern w:val="32"/>
            <w:sz w:val="28"/>
            <w:szCs w:val="32"/>
            <w:u w:val="single"/>
            <w:shd w:val="clear" w:color="auto" w:fill="FFFFFF"/>
            <w:lang w:val="en-US" w:eastAsia="en-US" w:bidi="ar-SA"/>
          </w:rPr>
          <w:t>Basic v. Barjaktarovic Estate, [2019] B.C.J. No. 155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17-20,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S171955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Zvonko Basic, Plaintiff, and Kosa Barjaktarovic, in her Capacity as Litigation Representative for the Estate of Dragolub Barjaktarovic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5"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8" w:name="Keywords_47"/>
      <w:bookmarkEnd w:id="308"/>
      <w:r>
        <w:rPr>
          <w:rFonts w:ascii="arial" w:eastAsia="arial" w:hAnsi="arial" w:cs="arial"/>
          <w:b/>
          <w:color w:val="000000"/>
          <w:sz w:val="20"/>
          <w:lang w:val="en-US" w:eastAsia="en-US" w:bidi="ar-SA"/>
        </w:rPr>
        <w:t>Damages — For torts — Affecting the person — Assault — Action for damages for injuries sustained in assault allowed in part — 78-year-old plaintiff sustained bruising and contusions that resolved within weeks, broken rib that continued to cause difficulties, and TMJ injury that exacerbated pre-existing injury — Plaintiff had unrelated health issues that already affected quality of life, but injuries from assault had modest impact — Plaintiff awarded $30,000 non-pecuniary damages — Assault caused some mental distress, so plaintiff awarded $2,500 aggravated damages, and $5,000 punitive damages to promote denunciation and deterrence — Plaintiff awarded $1,090 special damages — Total award was $38,590.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Pre-existing medical conditions — Special damages — Expenses and expenditures — Medical — Non-pecuniary loss — Pain and suffering — Exemplary or punitive damages — Punishment and deterrence — Aggravated damages — Nature or character of wrongful act — Action for damages for injuries sustained in assault allowed in part — 78-year-old plaintiff sustained bruising and contusions that resolved within weeks, broken rib that continued to cause difficulties, and TMJ injury that exacerbated pre-existing injury — Plaintiff had unrelated health issues that already affected quality of life, but injuries from assault had modest impact — Plaintiff awarded $30,000 non-pecuniary damages — Assault caused some mental distress, so plaintiff awarded $2,500 aggravated damages, and $5,000 punitive damages to promote denunciation and deterrence — Plaintiff awarded $1,090 special damages — Total award was $38,590.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Assault — Practice and procedure — Burden of proof — Action for damages for injuries sustained in assault allowed in part — Plaintiff and defendant, who was now deceased, were acquaintances at coffee shop — Plaintiff suffered mental illness causing paranoia and spread rumour about defendant, which led to altercation — Plaintiff's evidence that defendant punched him in chin then repeatedly in chest was largely consistent, corroborated by photographs of his injuries, and not contradicted by witness evidence — Given 78-year-old plaintiff's physical condition was already deteriorated at time of incident, it was not likely he started altercation with larger defendant — Plaintiff awarded $38,590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9" w:name="Case Summary_42"/>
            <w:bookmarkEnd w:id="3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sustained in an assault. The plaintiff and defendant met at a coffee shop where they were both customers. The plaintiff suffered from a psychiatric condition that caused paranoia, which was progressive and present at the time of the alleged assault. The plaintiff testified he went to the coffee shop, which he had been avoiding, because he heard the defendant was angry because the plaintiff had spread a rumour that the defendant urinated in a bottle of brandy and gave it to the plaintiff. The plaintiff testified the defendant confronted him outside the shop, cursing at him, and then punched him in the chin. The plaintiff testified the defendant repeatedly punched him in the chest, ripping his shirt. The plaintiff testified another man put him in a choke hold and pulled him away. The defendant was now deceased and had died before he could be examined for discovery. An employee of the coffee shop did not witness the altercation but made a statement to police in which she said she heard a bang and saw one man on the ground and a man with a ripped shirt being restrained, and the man with the ripped shirt came inside complaining of chest pain. The plaintiff claimed a number of injuries substantially affecting his life, and sought $200,000-$250,000 non-pecuniary damages, $5,000 each in aggravated and punitive damages and special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0" w:name="Holdings of Court_35"/>
            <w:bookmarkEnd w:id="31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employee's police statement was hearsay, not necessary because she did not observe the incident and her evidence did not necessarily contradict the plaintiff's evidence, and was too vague to be reliable. The plaintiff clearly observed the events and the incident was one he was unlikely to forget. The plaintiff's description of the incident and his injuries was documented in hospital record and police photographs, and any inconsistencies in his evidence were not substantive. The defendant was charged with assault causing bodily harm and the matter was diverted to alternate measures, but this did not necessarily mean he accepted responsibility and the court was prohibited by s. 717(3) of the Criminal Code of taking judicial notice of any acceptance of responsibility. While the plaintiff was paranoid and verbally aggressive, he had a number of pre-existing conditions and his deteriorated physical condition made it unlikely he would have initiated a physical confrontation with the defendant, who was of greater stature. There was no evidence the defendant acted in self-defence. The defendant was found to have assaulted the plaintiff without provocation. The plaintiff sustained a fractured rib, contusions and bruising and a TMJ injury that exacerbated a pre-existing condition. The plaintiff's wife's evidence about the significant impact of his injuries on his life was treated with caution, given she had a history of being afraid of him, as was evidence from his family physician, who admitted to writing letters for the purpose of helping the plaintiff. The plaintiff's shock from the assault quickly resolved, and his bruises and contusions were better within weeks. The evidence did not establish he suffered a concussion. The plaintiff's broken rib and TMJ continued to cause issues, but it was not accepted that he had unrelenting headaches and sleeping issues because of the accident. The plaintiff had unrelated health issues that impaired his ability to take part in activities he previously did, and his chest injury played a modest role in reducing his enjoyment of life. The plaintiff was awarded $30,000 non-pecuniary damages. The assault caused the plaintiff some mental distress, but he had already been avoiding the coffee shop because of his belief the defendant urinated in his brandy, which was unrelated to this action. The plaintiff was awarded $2,500 aggravated damages. The plaintiff was awarded $5,000 punitive damages to promote specific and general deterrence and denunciation. The plaintiff was awarded $1,090 special damages. The total award was $38,590.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1" w:name="Legislation Cited_33"/>
      <w:bookmarkEnd w:id="3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6"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R.S.C. 1985, c. C-46, s. 717(3)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2" w:name="Counsel_47"/>
      <w:bookmarkEnd w:id="3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7"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Samra.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Kosa Barjaktarovic: J. O'Leary.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3" w:name="Judgment_47"/>
      <w:bookmarkEnd w:id="313"/>
      <w:r>
        <w:pict>
          <v:line id="_x0000_s1258" style="position:absolute;z-index:251860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4" w:name="C.E. HINKSON C.J.S.C."/>
            <w:bookmarkEnd w:id="314"/>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morning of September 27, 2012, an altercation occurred at the Starbucks coffee shop at the Highgate Mall at 7155 Kingsway Avenue in Burnaby, British Columbia ("the coffee shop"). The plaintiff alleges that an altercation was initiated by Dragolub Barjaktarovic, a man previously know to him, and brought these proceedings to recover damages for the injuries that he alleges he sustained as a result. I will refer to this altercation as "the incident" in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Although named as a defendant, no person identified in the pleadings as John Doe was ever located or served with the notice of civil claim in this case, and in the result, I dismissed the case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Dragolub Barjaktarovic was a roofer. He filed a counterclaim in these proceedings denying that he assaulted the plaintiff, alleging instead that the plaintiff assaulted him and that he suffered personal injuries as a result. He passed away between the time of the events in question, was never examined for discovery in the case, and I dismissed his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and Mr. Barjaktarovic both immigrated to Canada from their native Yugoslavia, but did not apparently know each other prior to their respective arrivals in this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moved to Canada in 1966, and came to British Columbia in 1968. He married his second wife Margaret in 1996. The couple have one son, and the plaintiff has two children from his first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or around May of 1990, the plaintiff and Mr. Barjaktarovic met at the coffee shop where they were both customers. The plaintiff denies, however, that they were ever real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trained and worked as a pipefitter/welder. He sustained a number of serious injuries while working, and retired in 2000, at the age of 65. After his retirement, the plaintiff engaged in the training of welding apprentices for the Plumbers and Pipefitters Union on an unpaid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some point, in or around October of 2010, the plaintiff said that Mr. Barjaktarovic asked him to fix a broken metal gate at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said that he visited the home and looked at the gate. On a second occasion, he returned and fixed the gate. He agreed that after fixing the gate, Mr. Barjaktarovic offered to pay him for his work, but he said that he declined the offer of payment but agreed to go into the Barjaktarovic's home where he had some Slivovic brandy with Mr. and Mrs. Barjaktarovic. To thank him for his help, Mr. Barjakarovic gave the plaintiff a bottle of homemade Slivovic brandy, which he accepted and took home with him, unopened.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Plaintiff's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clear that the plaintiff suffers from some sort of psychiatric condition, perhaps best described by his wife in her evidence as "paranoia". This condition has been diagnosed as a delusional disorder, persecutory type, and seems to be one of long standing. His paranoia involves the belief that since his arrival in this country, he has been targeted by the RCMP who have had him under surveillance, interfered with his banking, caused motor vehicle accidents that have injured him, and that someone has attempted to poison him on at least seven occasions, one of which he believes precipitated his gout.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paranoia has been described as progressive and has been present since at least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the past, the plaintiff has possessed firearms, but these were taken from him following an incident where he threatened his present wife. His subsequent application for a firearms licence was refused in 2013, and that refusal upheld by His Honour Judge Harris, and then by Madam Justice Brown in reasons indexed at </w:t>
      </w:r>
      <w:hyperlink r:id="rId947" w:history="1">
        <w:r>
          <w:rPr>
            <w:rFonts w:ascii="arial" w:eastAsia="arial" w:hAnsi="arial" w:cs="arial"/>
            <w:i/>
            <w:color w:val="0077CC"/>
            <w:sz w:val="20"/>
            <w:u w:val="single"/>
            <w:shd w:val="clear" w:color="auto" w:fill="FFFFFF"/>
            <w:lang w:val="en-US" w:eastAsia="en-US" w:bidi="ar-SA"/>
          </w:rPr>
          <w:t>2014 BCSC 1903</w:t>
        </w:r>
      </w:hyperlink>
      <w:r>
        <w:rPr>
          <w:rFonts w:ascii="arial" w:eastAsia="arial" w:hAnsi="arial" w:cs="arial"/>
          <w:color w:val="000000"/>
          <w:sz w:val="20"/>
          <w:lang w:val="en-US" w:eastAsia="en-US" w:bidi="ar-SA"/>
        </w:rPr>
        <w:t>. The bases for the refusal was described at para. 3 by Brown J. as:</w:t>
      </w:r>
      <w:r>
        <w:rPr>
          <w:rFonts w:ascii="arial" w:eastAsia="arial" w:hAnsi="arial" w:cs="arial"/>
          <w:sz w:val="20"/>
          <w:lang w:val="en-US" w:eastAsia="en-US" w:bidi="ar-SA"/>
        </w:rPr>
        <w:cr/>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a conviction in 2005 for assault for which Mr. Basic received a conditional sentence order of 30 days, 18 months' probation and a condition of the probation order that he was prohibited from possessing any weapons of any description;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dealings between Mr. Basic and various police departments that raised concerns with respect to Mr. Basic's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explained that in 1978, he was advised by an unnamed Italian lawyer to record significant events in his experience, and thus began to write "My Freedom in Fear" shortly after his arrival in Canada. He regularly updates this document. At para. 4 of her reasons for judgment, Brown J. referred to an earlier version of what is now a document of 141 pages or more: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Mr. Basic had provided to the Firearms Officer a 43-page typed document entitled "My Freedom in Fear". In the Notice of Refusal, the Firearms Officer summarized a number of concerns raised by Mr. Basic in his letter. Mr. Basic believes that the RCMP have become involved with his union and have affected how much pension he gets. He also believes the RCMP instructed his son's Grade 1 teacher to bully his son and have other children bully his son. Mr. Basic is confident that, during a surgery for hearing loss in his right ear, the specialist placed a surveillance and sound chip into his ear and the police have put a loud warning in his ear. He also says that the RCMP and Secret Service have control over his vehicles and have used bugs and hidden cameras to observe him. In addition, he alleges the RCMP have poisoned his food on a number of occasions and have been contacting each doctor he visits to tell them to change their diagnoses. Mr. Basic also believes that the RCMP have been interfering with and influencing the outcome of various court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version of this document introduced into evidence before me, the plaintiff confirmed the accuracy of the following parts of the document: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problems that happened to me and my family did not happen by accident but were done to us on purpose by RCMP and many professionals, which include the professional people that I trusted the most. ... I believe that I am in danger because the RCMP is using these professionals to hurt me and my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 long time RCMP was involved with my banking. In early 90's they were taking money from my bank account. They were also hiding checks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that I cashed. They were switching my banking for their own convenience.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believe that Strata are controlling our Intercom and they listen what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we are talking about in our apartment. How do we know about that? Sometimes when we lift up our receiver we can hear the noise outside. Sometimes when we lift our receiver we can hear strong buzzing noise which indicates that somebody listens our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conversations.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Strata Council never did anything for us but only make trouble for us. They made it up accusations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that I insulted someone in our building by grabbing her by the arm and throwing her on a floor. ... When I was walking downstairs I saw Police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took me to the court and charged me for assault. The judge gave a criminal record and I was also ordered to go for one year for anger management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know that since the time of my exposure to mold in year 2000 I became very sick. I have over 30 allergies that include food allergies, environmental allergies, seasonal allergies and some medication allergies. I also have very often pain in my chest. If I catch any little cold I end up getting very sick and I have to take very strong antibiotic to get rid of it. Last time I was very sick in April 2,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RCMP and Secret Service also did damages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to my property such as breaking my computer, TV, stereo, telephone, and many other valuables that I have at home. When I take these items to stores to fix them they tell the managers of the stores to make more damage to my properties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They also involved the lawyers, TD Canada Trust, ICBC, doctors, specialists, London Drugs, Blue Cross and IBM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gave evidence that at approximately 8:15 a.m. on Thursday September 27, 2012, he had just dropped his son off at school and went to the coffee shop, an establishment he had stayed away from for almost two years in order to avoid seeing Mr. Barjaktarovic. Mr. Barjaktarovic was allegedly angry at the plaintiff because he had spread a rumour that Mr. Barjaktarovic had urinated into the bottle of Slivovic brandy that he had given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gave evidence that after he parked his truck and walked out of the parking garage towards the entrance of the coffee shop, Mr. Barjaktarovic, who was sitting at a table outside the coffee shop, got up and walked toward him to confront him. He said that Mr. Barjaktarovic began to curse at him about the statements the plaintiff had made about him urinating in the brandy. The plaintiff described Mr. Barjaktarovic as roughly 5 feet 8 inches tall, weighing roughly 300 pounds. At that point, the plaintiff said that Mr. Barjaktarovic punched him in the chin with a closed fist, causing him to be confused and unsteady on his feet, and then delivered a number of punches to his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gave evidence that at some point Mr. Barjaktarovic ripped his shirt and leather vest. He then punched the plaintiff two or three times in the left side of his chest, and another unidentified male grabbed the plaintiff from behind, in a choke hold, and pulled him back. The plaintiff said that he struggled to breathe and was released and fell down. He said that he then got up and went inside the coffee shop where he talked to an employee, Gina Lorenzi (now Gina Miller), who called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Estate defendant denies that the incident occurred and alleges, in the alternative, that if physical contact is made out, that the plaintiff started the altercation and that Mr. Barjaktarovic was acting in self-defence or that Mr. Barjaktarovic was provoked by the plaintiff. In the further alternative, if the plaintiff proves battery, the Estate defendant contends that the plaintiff was contributorily negligent by provoking the assault. The Estate defendant did concede that in order to establish a defence of provocation, it had to prove that:</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plaintiff caused the defendant to have lost his self-control;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conduct took place in the immediate context of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Miller, the coffee shop employee, was briefly interviewed by a police officer on the day of the incident but, unfortunately, gave no taped or signed statement to the police until she gave a taped interview on April 9, 2013, some 6 months after the events in issue. Although she gave evidence at trial, it was limited and unassisted by listening to her taped interview, or reviewing the transcript prepared from the taped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Miller did not witness the altercation involving the plaintiff, but did recall that she was at work on September 27, 2012, and heard a bang against the window of the coffee shop. She noted two men outside, one standing, and the other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her recorded statement, Ms. Miller stated that after hearing a bang on the window, she looked out and saw two older men in their sixties, one of whom was on the ground; the other being held back by one of her regular customers. She called the police, and while waiting for them, one of the men came into the coffee shop. He had a ripped shirt and asked if the police had been called and was complaining of chest pain. She recalled at that time that the man on the ground was wearing a blue shirt, and the man who was upright and being restrained, and whose shirt was ripped, was wearing a red shirt.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Ms. Miller's statement was identified and sought to be entered as evidence by counsel for the Estate defendant. Evidence of past memory recorded is admissible if two conditions are met: (1) the witness must have no present memory of the statement, and (2) she must have verified the accuracy of the statement at the time of its making: </w:t>
      </w:r>
      <w:r>
        <w:rPr>
          <w:rFonts w:ascii="arial" w:eastAsia="arial" w:hAnsi="arial" w:cs="arial"/>
          <w:i/>
          <w:color w:val="000000"/>
          <w:sz w:val="20"/>
          <w:lang w:val="en-US" w:eastAsia="en-US" w:bidi="ar-SA"/>
        </w:rPr>
        <w:t>R. v. Fliss</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2002 SCC 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McBride</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(1999), 133 C.C.C. (3d) 527</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Although Ms. Miller has no present memory of her statement, I am not satisfied that without that memory, she could verify the accuracy at the time the statement was made. While I expect that she did her best to communicate what she recalled 6 months after the incident, I am unable to find that it was accurate after that hiatus. Moreover, her statement was untested and sufficiently vague that I cannot accept that it accurately described the positions of the two older men that she referred to when she first observed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principled exception to hearsay provides that where the hearsay statement exhibits the dual requirements of necessity and reliability, it may be admitted into evidence: </w:t>
      </w:r>
      <w:r>
        <w:rPr>
          <w:rFonts w:ascii="arial" w:eastAsia="arial" w:hAnsi="arial" w:cs="arial"/>
          <w:i/>
          <w:color w:val="000000"/>
          <w:sz w:val="20"/>
          <w:lang w:val="en-US" w:eastAsia="en-US" w:bidi="ar-SA"/>
        </w:rPr>
        <w:t>R. v. Khan</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[1990] 2 S.C.R. 531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Smith</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[1992] 2 S.C.R. 915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B. (K.G.)</w:t>
      </w:r>
      <w:r>
        <w:rPr>
          <w:rFonts w:ascii="arial" w:eastAsia="arial" w:hAnsi="arial" w:cs="arial"/>
          <w:color w:val="000000"/>
          <w:sz w:val="20"/>
          <w:lang w:val="en-US" w:eastAsia="en-US" w:bidi="ar-SA"/>
        </w:rPr>
        <w:t xml:space="preserve">, [1993] 1 S.C.R. 640; </w:t>
      </w:r>
      <w:r>
        <w:rPr>
          <w:rFonts w:ascii="arial" w:eastAsia="arial" w:hAnsi="arial" w:cs="arial"/>
          <w:i/>
          <w:color w:val="000000"/>
          <w:sz w:val="20"/>
          <w:lang w:val="en-US" w:eastAsia="en-US" w:bidi="ar-SA"/>
        </w:rPr>
        <w:t>R. v. Hawkins</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[1996] 3 S.C.R. 1043</w:t>
        </w:r>
      </w:hyperlink>
      <w:r>
        <w:rPr>
          <w:rFonts w:ascii="arial" w:eastAsia="arial" w:hAnsi="arial" w:cs="arial"/>
          <w:color w:val="000000"/>
          <w:sz w:val="20"/>
          <w:lang w:val="en-US" w:eastAsia="en-US" w:bidi="ar-SA"/>
        </w:rPr>
        <w:t xml:space="preserve">. "Necessity" refers to the necessity of the hearsay evidence to prove a fact in issue: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at 933. If a statement is found to be "reliable", the circumstances in which it was made are such that concerns about the declarant's truthfulness or the possibility that the declarant is mistaken are negated: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at 933.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I cannot conclude that Ms. Miller's statements should be admitted pursuant to the principled approach to hearsay. First, her statement is not necessary. While Mr. Barjaktarovic could not provide evidence in his defence, Ms. Miller's statement does not undermine the plaintiff's allegations. She did not see the incident. She only observed the aftermath and spoke to the plaintiff once he came into the coffee shop. This evidence does not necessarily contradict that of the plaintiff. I cannot conclude that her evidence is necessary to prove a fact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Even if it were necessary, I do not find that the circumstances in which her statement was made give rise to adequate markers of reliability. Although her statement was given to police and Ms. Miller would have recognized the importance of being honest, the six months between the incident and when the statement was made make me question the statement's reliability. While it appears she tried her best to recall the events that took place six months prior, her statement is vague and suggests she was not certain about what she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Therefore, I conclude that the statement is inadmissible on the basis that it is hearsay.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Nadig v. Scoffield</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2003 BCSC 1218</w:t>
        </w:r>
      </w:hyperlink>
      <w:r>
        <w:rPr>
          <w:rFonts w:ascii="arial" w:eastAsia="arial" w:hAnsi="arial" w:cs="arial"/>
          <w:color w:val="000000"/>
          <w:sz w:val="20"/>
          <w:lang w:val="en-US" w:eastAsia="en-US" w:bidi="ar-SA"/>
        </w:rPr>
        <w:t>, Mr. Justice Taylor dealt with an assault that was alleged to have been committed on the plaintiff by his lawyer when the two had a dispute over the former's file at the lawyer's office. The client's civil claim was dismissed on the basis that the medical evidence did not support the client's allegations as to how his injuries occurred, and was refuted by the evidence of the lawyer's secretary and his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At para. 87 of his reasons, Taylor J. commented that because the client's claim was essentially one of criminal conduct on the part of the defendant, close scrutiny had to be brought to bear with respect to the plaintiff's assertions. Taylor J. relied upon the principles he derived from the decision of the Supreme Court of Canada in </w:t>
      </w:r>
      <w:r>
        <w:rPr>
          <w:rFonts w:ascii="arial" w:eastAsia="arial" w:hAnsi="arial" w:cs="arial"/>
          <w:i/>
          <w:color w:val="000000"/>
          <w:sz w:val="20"/>
          <w:lang w:val="en-US" w:eastAsia="en-US" w:bidi="ar-SA"/>
        </w:rPr>
        <w:t>Continental Insurance Co. v. Dalton Cartage Co.</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 where, at page 170-171, Chief Justice Laskin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necessarily a matter of judgment involved in weighing evidence that goes to the burden of proof, and a trial judge is justified in scrutinizing evidence with a greater care if there are serious allegations to be established by the proof that is offered. I put the matter in the words used by Lord Denning in </w:t>
      </w:r>
      <w:r>
        <w:rPr>
          <w:rFonts w:ascii="arial" w:eastAsia="arial" w:hAnsi="arial" w:cs="arial"/>
          <w:i/>
          <w:color w:val="000000"/>
          <w:sz w:val="20"/>
          <w:lang w:val="en-US" w:eastAsia="en-US" w:bidi="ar-SA"/>
        </w:rPr>
        <w:t>Bater v. Bater</w:t>
      </w:r>
      <w:r>
        <w:rPr>
          <w:rFonts w:ascii="arial" w:eastAsia="arial" w:hAnsi="arial" w:cs="arial"/>
          <w:color w:val="000000"/>
          <w:sz w:val="20"/>
          <w:lang w:val="en-US" w:eastAsia="en-US" w:bidi="ar-SA"/>
        </w:rPr>
        <w:t>, supra, at p. 459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true that by our law there is a higher standard of proof in criminal cases than in civil cases, but this is subject to the qualification that there is no absolute standard in either case. In criminal cases the charge must be proved beyond a reasonable doubt, but there may be degrees of proof within that standard. Many great judges have said that, in proportion as the crime is enormous, so ought the proof to be clear. So also in civil cases. The case may be proved by a preponderance of probability, but there may be degrees of probability within that standard. The degree depends upon the subject-matter. A civil court, when considering a charge of fraud, will naturally require a higher degree of probability than that which it would require if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commensurate with the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regard such an approach as a departure from a standard of proof based on the balance of probabilities nor is supporting a shifting standard. The question in all civil cases is what evidence with what weight that is accorded to it will move the court to conclude that proof on a balance of probabilities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Subsequent authorities followed these comments, but in the decision of the Court in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Mr. Justice Rothstein, for the Court, pointed out at para. 30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a "shifting standard" of probability has not been universally accepted. In </w:t>
      </w:r>
      <w:r>
        <w:rPr>
          <w:rFonts w:ascii="arial" w:eastAsia="arial" w:hAnsi="arial" w:cs="arial"/>
          <w:i/>
          <w:color w:val="000000"/>
          <w:sz w:val="20"/>
          <w:lang w:val="en-US" w:eastAsia="en-US" w:bidi="ar-SA"/>
        </w:rPr>
        <w:t>Continental Insurance Co. v. Dalton Cartage Co.</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 Laskin C.J. rejected a "shifting standard". Rather, to take account of the seriousness of the allegation, he was of the view that a trial judge should scrutinize the evidence with "greater care". At pp. 169-71 he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there is an allegation of conduct that is morally blameworthy or that could have a criminal or penal aspect and the allegation is made in civil litigation, the relevant burden of proof remains proof on a balance of probabilities...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necessarily a matter of judgment involved in weighing evidence that goes to the burden of proof, and a trial judge is justified in scrutinizing evidence with greater care if there are serious allegations to be established by the proof that is offered.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regard such an approach (the </w:t>
      </w:r>
      <w:r>
        <w:rPr>
          <w:rFonts w:ascii="arial" w:eastAsia="arial" w:hAnsi="arial" w:cs="arial"/>
          <w:i/>
          <w:color w:val="000000"/>
          <w:sz w:val="20"/>
          <w:lang w:val="en-US" w:eastAsia="en-US" w:bidi="ar-SA"/>
        </w:rPr>
        <w:t>Bater</w:t>
      </w:r>
      <w:r>
        <w:rPr>
          <w:rFonts w:ascii="arial" w:eastAsia="arial" w:hAnsi="arial" w:cs="arial"/>
          <w:color w:val="000000"/>
          <w:sz w:val="20"/>
          <w:lang w:val="en-US" w:eastAsia="en-US" w:bidi="ar-SA"/>
        </w:rPr>
        <w:t xml:space="preserve"> approach) as a departure from a standard of proof based on a balance of probabilities nor as supporting a shifting standard. The question in all civil cases is what evidence with what weight that is accorded to it will move the court to conclude that proof on a balance of probabilities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para. 49, Rothstein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result, I would reaffirm that in civil cases there is only one standard of proof and that is proof on a balance of probabilities. In all civil cases, the trial judge must scrutinize the relevant evidence with care to determine whether it is more likely than not that an alleged event occurred.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Estate defendant accepted that, due to the death of Mr. Barjaktarovic, the only evidence of what precipitated the incident in question was the plaintiff's self-interested account, and the observations of Ms. Miller, who did not see the incident itself, and recalled almost nothing of the aftermath of the incident at trial. Counsel for the Estate defendant contends that the plaintiff simply failed to meet his burden to show that there was an intentional battery committed by Mr. Barjaktarovic upon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Although the Estate defendant argues that John Doe was the sole aggressor against the plaintiff during the incident, there is no evidence upon which I could reach such a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Similarly, although the Estate defendant pleads in the alternative that Mr. Barjaktarovic's contact, if any, with the plaintiff was made in self-defence, as to this argument, again, there is no evidence upon which I could reach such a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Both the plaintiff and the Estate defendant urge me to find in their favour on the issue of liability, based upon the credibility or lack thereof, of the plaintiff. The Estate defendant contends that due to the plaintiff's inconsistencies and paranoid beliefs, his evidence could only be accepted if corroborated.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was referred to the decision of Madam Justice Donegan in </w:t>
      </w:r>
      <w:r>
        <w:rPr>
          <w:rFonts w:ascii="arial" w:eastAsia="arial" w:hAnsi="arial" w:cs="arial"/>
          <w:i/>
          <w:color w:val="000000"/>
          <w:sz w:val="20"/>
          <w:lang w:val="en-US" w:eastAsia="en-US" w:bidi="ar-SA"/>
        </w:rPr>
        <w:t>C.L.M. v. M.J.S.</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2017 BCSC 799</w:t>
        </w:r>
      </w:hyperlink>
      <w:r>
        <w:rPr>
          <w:rFonts w:ascii="arial" w:eastAsia="arial" w:hAnsi="arial" w:cs="arial"/>
          <w:color w:val="000000"/>
          <w:sz w:val="20"/>
          <w:lang w:val="en-US" w:eastAsia="en-US" w:bidi="ar-SA"/>
        </w:rPr>
        <w:t>, where, at para. 8, she discussed many of the factors traditionally considered when credibility is assessed: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court's fact finding role requires an assessment of the credibility (truthfulness/honesty) of witnesses and the reliability (accuracy) of their evidence. This requires consideration of many factors. Madam Justice Ker summarized these factors in </w:t>
      </w:r>
      <w:r>
        <w:rPr>
          <w:rFonts w:ascii="arial" w:eastAsia="arial" w:hAnsi="arial" w:cs="arial"/>
          <w:i/>
          <w:color w:val="000000"/>
          <w:sz w:val="20"/>
          <w:lang w:val="en-US" w:eastAsia="en-US" w:bidi="ar-SA"/>
        </w:rPr>
        <w:t>Gill Tech Framing Ltd. v. Gill</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2012 BCSC 1913</w:t>
        </w:r>
      </w:hyperlink>
      <w:r>
        <w:rPr>
          <w:rFonts w:ascii="arial" w:eastAsia="arial" w:hAnsi="arial" w:cs="arial"/>
          <w:color w:val="000000"/>
          <w:sz w:val="20"/>
          <w:lang w:val="en-US" w:eastAsia="en-US" w:bidi="ar-SA"/>
        </w:rPr>
        <w:t xml:space="preserve"> at paras. 27-28: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factors to be considered when assessing credibility were summarized by Madam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R. v. S. (R.D.)</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assessing credibility in the face of conflicting evidence, the Nova Scotia Supreme Court in </w:t>
      </w:r>
      <w:r>
        <w:rPr>
          <w:rFonts w:ascii="arial" w:eastAsia="arial" w:hAnsi="arial" w:cs="arial"/>
          <w:i/>
          <w:color w:val="000000"/>
          <w:sz w:val="20"/>
          <w:lang w:val="en-US" w:eastAsia="en-US" w:bidi="ar-SA"/>
        </w:rPr>
        <w:t>Re: Novac Estate</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2008 NSSC 283</w:t>
        </w:r>
      </w:hyperlink>
      <w:r>
        <w:rPr>
          <w:rFonts w:ascii="arial" w:eastAsia="arial" w:hAnsi="arial" w:cs="arial"/>
          <w:color w:val="000000"/>
          <w:sz w:val="20"/>
          <w:lang w:val="en-US" w:eastAsia="en-US" w:bidi="ar-SA"/>
        </w:rPr>
        <w:t xml:space="preserve"> noted the following at paras. 36 and 37: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[36] There are many tools for assessing credibility:</w:t>
      </w:r>
    </w:p>
    <w:p>
      <w:pPr>
        <w:numPr>
          <w:numId w:val="5"/>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to consider inconsistencies and weaknesses in the witness's evidence, which includes internal inconsistencies, prior inconsistent statements, inconsistencies between the witness' testimony and the testimony of other witnesses.</w:t>
      </w:r>
    </w:p>
    <w:p>
      <w:pPr>
        <w:numPr>
          <w:numId w:val="6"/>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to review independent evidence that confirms or contradicts the witness' testimony.</w:t>
      </w:r>
    </w:p>
    <w:p>
      <w:pPr>
        <w:numPr>
          <w:numId w:val="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ability to assess whether the witness' testimony is plausible or, as stated by the British Columbia Court of Appeal in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Chorny</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[1951] B.C.J. No. 152</w:t>
        </w:r>
      </w:hyperlink>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1951 CarswellBC 133</w:t>
        </w:r>
      </w:hyperlink>
      <w:r>
        <w:rPr>
          <w:rFonts w:ascii="arial" w:eastAsia="arial" w:hAnsi="arial" w:cs="arial"/>
          <w:color w:val="000000"/>
          <w:sz w:val="20"/>
          <w:lang w:val="en-US" w:eastAsia="en-US" w:bidi="ar-SA"/>
        </w:rPr>
        <w:t>, it is "in harmony with the preponderance of probabilities which a practical [and] informed person would readily recognize as reasonable in that place and in those conditions", but in doing so I am required not to rely on false or frail assumptions about human behaviour.</w:t>
      </w:r>
    </w:p>
    <w:p>
      <w:pPr>
        <w:numPr>
          <w:numId w:val="8"/>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possible to rely upon the demeanour of the witness, including their sincerity and use of language, but it should be done with caution (</w:t>
      </w:r>
      <w:r>
        <w:rPr>
          <w:rFonts w:ascii="arial" w:eastAsia="arial" w:hAnsi="arial" w:cs="arial"/>
          <w:i/>
          <w:color w:val="000000"/>
          <w:sz w:val="20"/>
          <w:lang w:val="en-US" w:eastAsia="en-US" w:bidi="ar-SA"/>
        </w:rPr>
        <w:t>R. v. Mah</w:t>
      </w:r>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[2002] N.S.J. No. 349</w:t>
        </w:r>
      </w:hyperlink>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2002 NSCA 99</w:t>
        </w:r>
      </w:hyperlink>
      <w:r>
        <w:rPr>
          <w:rFonts w:ascii="arial" w:eastAsia="arial" w:hAnsi="arial" w:cs="arial"/>
          <w:color w:val="000000"/>
          <w:sz w:val="20"/>
          <w:lang w:val="en-US" w:eastAsia="en-US" w:bidi="ar-SA"/>
        </w:rPr>
        <w:t>, paras. 70-75).</w:t>
      </w:r>
    </w:p>
    <w:p>
      <w:pPr>
        <w:numPr>
          <w:numId w:val="9"/>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Special consideration must be given to the testimony of witnesses who are parties to proceedings; it is important to consider the motive that witnesses may have to fabricate evidence. </w:t>
      </w:r>
      <w:r>
        <w:rPr>
          <w:rFonts w:ascii="arial" w:eastAsia="arial" w:hAnsi="arial" w:cs="arial"/>
          <w:i/>
          <w:color w:val="000000"/>
          <w:sz w:val="20"/>
          <w:lang w:val="en-US" w:eastAsia="en-US" w:bidi="ar-SA"/>
        </w:rPr>
        <w:t>R. v. J.H.</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[2005] O.J. No. 39</w:t>
        </w:r>
      </w:hyperlink>
      <w:r>
        <w:rPr>
          <w:rFonts w:ascii="arial" w:eastAsia="arial" w:hAnsi="arial" w:cs="arial"/>
          <w:color w:val="000000"/>
          <w:sz w:val="20"/>
          <w:lang w:val="en-US" w:eastAsia="en-US" w:bidi="ar-SA"/>
        </w:rPr>
        <w:t xml:space="preserve"> (Ont. C.A.), paras. 51-56).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There is no principle of law that requires a trier of fact to believe or disbelieve a witness's testimony in its entirety. On the contrary, a trier may believe none, part or all of a witness's evidence, and may attach different weight to different parts of a witness's evidence. (See </w:t>
      </w:r>
      <w:r>
        <w:rPr>
          <w:rFonts w:ascii="arial" w:eastAsia="arial" w:hAnsi="arial" w:cs="arial"/>
          <w:i/>
          <w:color w:val="000000"/>
          <w:sz w:val="20"/>
          <w:lang w:val="en-US" w:eastAsia="en-US" w:bidi="ar-SA"/>
        </w:rPr>
        <w:t>R. v. D.R</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[1996] 2 S.C.R. 291</w:t>
        </w:r>
      </w:hyperlink>
      <w:r>
        <w:rPr>
          <w:rFonts w:ascii="arial" w:eastAsia="arial" w:hAnsi="arial" w:cs="arial"/>
          <w:color w:val="000000"/>
          <w:sz w:val="20"/>
          <w:lang w:val="en-US" w:eastAsia="en-US" w:bidi="ar-SA"/>
        </w:rPr>
        <w:t xml:space="preserve"> at para. 93 and </w:t>
      </w:r>
      <w:r>
        <w:rPr>
          <w:rFonts w:ascii="arial" w:eastAsia="arial" w:hAnsi="arial" w:cs="arial"/>
          <w:i/>
          <w:color w:val="000000"/>
          <w:sz w:val="20"/>
          <w:lang w:val="en-US" w:eastAsia="en-US" w:bidi="ar-SA"/>
        </w:rPr>
        <w:t>R. v. J.H.,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Estate defendant denies that Mr. Barjaktarovic or anyone else urinated into the brandy given to the plaintiff, but concedes that nothing turns upon whether he did or not, as it was the plaintiff's earnest belief that informed the attitude of the two men at the Starbucks coffee shop that mattered.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Certainly, the plaintiff had the opportunity to observe the events in question. While his memory is less accurate than it was before the incident, I accept that the event is one that he would be unlikely to forget. While he has a self-interest in recalling the event as he professes to do, I am not persuaded that would cause him to fabricate the incident. His description of the incident is consistent with the injuries documented by the hospital records in the 24 hours following the incident, and by the police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Estate defendant did assert that the plaintiff was inconsistent in his evidence about when he first observed Mr. Barjaktarovic on September 27, 2012, where they each were at that time, the positions of others at the coffee shop, the number of times he was punched, the information he denied communicating to the ambulance attendants who took him to the Burnaby General Hospital, and the reason for the assault. I find nothing substantive with respect to these minor inconsistencies of an event that occurred over six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was inconsistent with respect to whether or not he lost consciousness, which I find he did not, but I attribute that inconsistency to his excitement while giving evidence and find that nothing particular depends upon whether or not he lost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the plaintiff did insist that a third man assisted Mr. Barjaktarovic in assaulting him, I find that the efforts of that person were to separate him from Mr. Barjaktarovic, and not to assist Mr. Barjaktarovic.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no question that the plaintiff was injured on September 27, 2012. His injuries are consistent with the sort of incident he recounted.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Barjaktarovic was the subject of a charge of assault causing bodily harm following the incident, but was diverted to alternate measures on March 3, 2014. I was asked to take judicial notice that in order to be diverted, Mr. Barjaktarovic would have had to accept responsibility for the alleged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basis asserted for judicial notice was a posting on the British Columbia government website that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Alternative measures provides you with the opportunity to have charges against you dealt with outside the court process. You must accept personal responsibility for your behaviour and agree to make amends.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am not prepared to rely upon this posting to take the judicial notice I was asked to take. First, I have no way of knowing whether Mr. Barjaktarovic accepted any personal responsibility, or if he did, what responsibility he accepted. Second, there is no evidence that the other purported precondition, agreeing to make amends, was ever accepted by Mr. Barjaktarovic. If it were, I would have expected that, at a minimum, some gesture would have been made by him to the plaintiff, but no such gesture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addition, such notice would be contrary to the provisions of s. 717(3)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R.S.C., 1985, c. C-46,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admission, confession or statement accepting responsibility for a given act or omission made by a person alleged to have committed an offence as a condition of the person being dealt with by alternative measures is admissible in evidence against that person in any civil or criminal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decline to take the judicial notice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counsel concede that some of the plaintiff's evidence may have been exaggerated and some simply far-fetched or implausible. It was also conceded that the plaintiff had a tendency to blame others for events that were adverse to him, a tendency that was also observed by Dr. Carlin Carr Yic Man, the plaintiff's family physician. The plaintiff's counsel conceded that the plaintiff was sometimes evasive when answering questions. I accept that he had a tendency to go off on tangents, and do not attribute his failure to provide direct answers to questions to deliberate evasiveness.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reject, as exaggeration on his part, the plaintiff's assertion that he suffered more than one fractured rib, but I also find that one broken rib would cause the type of chest pain subsequently complained of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Even before the incident, the plaintiff was paranoid, and verbally aggressive, but more in a threatening fashion than a physical one. By 2012, his physical condition was considerably compromised to the point that I consider it unlikely that he would have initiated a physical confrontation with a man of similar age, with no apparent limitations, but considerably greater physical stature.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Photographs taken by the Burnaby RCMP the following day show that the plaintiff had a large round bruise on the left side of his chin, bruising on his neck, and two bruises on the upper-left side of his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with the allegations of the assault having been committed by John Doe or that of self-defence, there is no evidence upon which I could reach the conclusion that the plaintiff's actions caused Mr. Barjaktarovic to lose his self-control or that Mr. Barjaktarovic was acting in self-defence. I am not prepared to infer a loss of self-control on the part of Mr. Barjaktarovic nor make a finding that he acted in self-defence as I was invited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I have stated, I do not find the relatively minor inconsistencies in the plaintiff's recounting of the incident at various times to be of particular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Despite his paranoia, I accept that the incident involved the plaintiff being attacked by Mr. Barjaktarovic, without justifiable provocation. His paranoia has resulted in unwarranted beliefs that he is the subject of a plot by the RCMP and others to harm him. While he clearly harbours the unreasonable belief that he does about the RCMP, those beliefs have to do with the basis for his misfortunes, and not the misfortunes themselves, other than the manipulation of his bank accounts and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I reject his view that the RCMP orchestrated or set up the incident, the fact remains that an incident occurred at the coffee shop and that the plaintiff sustained injuries as a result of that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Plaintiff's Pre-Incident Physical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was born on June 16, 1940. He has had a number of medical challenges over the course of his lifetime. Prior to the incident, these challenges included diagnoses for borderline diabetes, hypothyroidism, gout, arthritis, chronic back pain, right knee and ankle injuries at work, arthroscopic knee surgery, and three motor vehicle accidents between 1998 and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some time prior to 2007, the plaintiff underwent surgery on his right middle ear and mastoid. The plaintiff believes that it was during the course of this surgery that, at the insistence of the RCMP, an implant was placed in his skull which allowed the RCMP to track and monitor his activities. I reject this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2009, the plaintiff suffered a separation of his right shoulder, causing ongoing pain. He said that after this injury he was unable to ride his non-stationary bike and had difficulty lifting heavy items.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Plaintiff's Post-Incident Physical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Following the incident in issue, the plaintiff said that he was taken to the Burnaby General Hospital where he was X-rayed and later released. That evening, when his wife returned from work, he was complaining of chest pain and that he was having trouble breathing. She took him to the Royal Columbian Hospital the following morning. The plaintiff gave evidence that he was diagnosed with three fractured ribs, but his medical records disclose a minimally displaced fracture of only the lateral aspect of his seventh rib, and no other rib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2015, Dr. Aminbakhsh, a cardiologist, opined that the plaintiff had suffered pericardial effusion that in retrospect "may be the consequence of his blunt trauma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Since the incident, in both 2015 and 2016, the plaintiff has been involved in motor vehicle accidents, one of which took place in Chicago that he says was orchestrated by the RCMP. As a result of one or both of these motor vehicle accidents, the plaintiff sustained nerve damage causing him back pain and affecting the use of his hips and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 medical imaging report of the plaintiff's lumbar spine from the Royal Columbian Hospital dated May 15, 2015, described mild compression fractures of the L3 and L4 vertebral bodies "likely old in nature", and I conclude that these are unrelated to the plaintiff's injuries from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contends that he continues to suffer from pain in his left rib cage, has difficulty moving his left arm, and that he continues to experience pain in his chest if he takes a deep breath; all of which he attributes to his injuries from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says that as a result of the injuries he sustained in the incident, he is unable to participate in activities he previously enjoyed such as hiking, biking swimming, travelling, sports, going to the gym, and sexual relations with his wife. He asserts that his injuries from the incident have left him unable to eat foods that require him to chew, and that his memory, concentration, and mood have worsened, and that he experiences dizziness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Margaret Basic, the plaintiff's wife, confirmed that when she came home after work on September 27, 2012, her husband complained of a headache, and was dizzy and bruised, including a bruised jaw and multiple bruises on the left side of his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Since the incident, Ms. Basic gave evidence that her husband's paranoia has worsened and his memory is less reliable. She says that he has interrupted sleep and is unable to engage in the sexual activity they had previously shared.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Basic also said that her husband is unable to do many of the things that he did before the incident, such as dirt biking, hiking, swimming, going to the gym, and playing with their son. She confirmed that he is unable to eat the types of food he enjoyed prior to the incident and is less sociable than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approached Ms. Basic's evidence with some care, although I accept that she attempted to assist the Court. She has, however, some history of fearing her husband, including an incident where a restraining order was issued against him. As her evidence was sufficiently similar to that of the plaintiff, I have concluded that he may well have influenced her recollections.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Man is the plaintiff's family physician, having assumed that role on September 30, 2014, some two years after the incident. In cross-examination he was confronted with two different letters that he wrote attributing the plaintiff's inability to hook up his RV trailer to his vehicle. It was clear that the causes to which this difficulty was attributed in the two letters was mutually inconsistent. When asked about the inconsistency, Dr. Man conceded that he had been asked to write the letters by the plaintiff. Given his willingness to accommodate the plaintiff's financial interests with correspondence, I approach his evidence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Dr. Man's medical-legal report dated August 29, 2016, he described the complaints that the plaintiff attributes to the altercation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Jaw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stated that he did not have previous jaw problems before the assault in 2012. He was complaining of pain in the left TMJ with decreased range of motion. I did not document an exam. I advised him to do physiotherapy exercises, which I gave him a printout for. He had previously seen a dentist regarding the TMJ pain, but was unable to afford the treatments recommended. I saw Mr. Basic again on June 1, 2016 and July 27 2016 regarding his TMJ pain, which was still ongoing despite doing physiotherapy exercises.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Chest wall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his left chest wall pain, my first documented visit regarding this was on November 29, 2014. At that time he was complaining of exertional chest pain. Another clinic physician had referred him to a cardiologist for further evaluation. During the course of his investigations with the cardiologist, an echocardiogram (ultrasound of the heart) revealed a pericardial effusion (fluid around the heart).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June 1, 2016 Mr. Basic brought attention to a bump over his left chest wall. It corresponded to ribs #3 and #4, where the ribs joins the sternum (costrochondral joint). On examination, this are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was tender. I suspected the pain was due to the trauma from the assault. My diagnosis at that time was osteoarthritis associated with trauma. I advised him to apply ice to decrease the inflammation but that probably there was not much else that could be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June 13th 2016, Mr. Basic complained of protrusions on the left side of his chest wall. This was in the area of rib #7 to #9. This area was also painful. On examination, there was a prominence on the left lateral chest wall, which was tender. My diagnosis at that time was post traumatic osteoarthritis, likely chronic osteoarthritis due to his assault in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Chest wall pain due to chronic post traumatic osteoarthritis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chronic pain over the lateral left ribs #7 - #9, Mr. Basic sustained a rib fracture from the assault in 2012. It is common to see chronic pain post rib fractures.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chronic pain over medial left ribs #2 - #3, where the ribs join the sternum, I strongly suspect this to be also due to the post traumatic osteoarthritis. The forces required to break a rib would be tremendous. I suspect that with the assault in 2012, there was also occult damage to the costrochrondal cartilage in the joint that attaches ribs #2 - #3 to the sternum.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Tempomandibular [sic] Joint (TMJ)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TMJ pain would not affect his vocation in terms of physical restrictions. On a day to day basis though, he suffers with chronic jaw discomfort which would affect his ability to consume food.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Chest wall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Chronic post traumatic chest wall pain would limit Mr. Basic's physical abilities. He will have restrictions in overhead movements due to his pain, which are essential to his vocation. He will have pain with lifting and likely would be unable to climb up and down ladders due to his pain. Without specific occupational therapy testing however, it would be difficult to determine his exact restrictions in physical activity due to his chronic post traumatic chest wall pain. However, based on his limitations in physical activity due to pain, I highly doubt he would be able to return to his previous vocation now or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his recreational activities, due to his chest wall pain, he is now unable to attach the trailer to his truck. Activities where Mr. Basic's arm has to be outstretched (such as in ATV riding and biking) would have to be limited, as it causes worsening of his pain. In fact, Mr. Basic is considering selling his trailer as he can no longer attach it to his truck due to his chest wall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Tempomandibular [sic] Joint (TMJ)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strongly suspect that the TMJ dysfunction will be chronic and lifelong. Although Mr. Basic has yet to see a physiotherapist specializing in TMJ dysfunction, due to the duration of pain, I do not believe physiotherapy will completely resolve his pain. With lifelong TMJ dysfunction, he will have continued pain with eating and restricted range of motion in his jaw.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Chest wall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chest wall pain due to chronic post traumatic osteoarthritis is lifelong and permanent. With osteoarthritis, we often see a gradual increase in pain, and as a result, decrease in functional capabilities. This process can be slowed by encouraging Mr. Basic to remain as active as possible, despite the pain. Due to his pain, he has severely reduced his recreational activities, including bicycling, using his ATV and travelling with a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Estate defendant points out that Dr. Man did not diagnose the plaintiff's TMJ injury, but rather assumed that the difficulty arose from the incident based upon a note from Dr. Der, the plaintiff's one-time dentist. Dr. Man's comments about the causal relationship between the incident and the TMJ pain were made when he was unaware of a 2007 X-ray which showed degenerative changes in the plaintiff's right jaw, which he conceded could have caused right jaw pain. He did not concede that the plaintiff's left jaw pain could have resulted from these degenerative changes.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An award of non-pecuniary damages for assault and battery should bear a proper relation to awards made in more conventional personal injury cases: </w:t>
      </w:r>
      <w:r>
        <w:rPr>
          <w:rFonts w:ascii="arial" w:eastAsia="arial" w:hAnsi="arial" w:cs="arial"/>
          <w:i/>
          <w:color w:val="000000"/>
          <w:sz w:val="20"/>
          <w:lang w:val="en-US" w:eastAsia="en-US" w:bidi="ar-SA"/>
        </w:rPr>
        <w:t>Tardif v. Wiebe</w:t>
      </w:r>
      <w:r>
        <w:rPr>
          <w:rFonts w:ascii="arial" w:eastAsia="arial" w:hAnsi="arial" w:cs="arial"/>
          <w:color w:val="000000"/>
          <w:sz w:val="20"/>
          <w:lang w:val="en-US" w:eastAsia="en-US" w:bidi="ar-SA"/>
        </w:rPr>
        <w:t xml:space="preserve"> (1996) </w:t>
      </w:r>
      <w:hyperlink r:id="rId960" w:history="1">
        <w:r>
          <w:rPr>
            <w:rFonts w:ascii="arial" w:eastAsia="arial" w:hAnsi="arial" w:cs="arial"/>
            <w:i/>
            <w:color w:val="0077CC"/>
            <w:sz w:val="20"/>
            <w:u w:val="single"/>
            <w:shd w:val="clear" w:color="auto" w:fill="FFFFFF"/>
            <w:lang w:val="en-US" w:eastAsia="en-US" w:bidi="ar-SA"/>
          </w:rPr>
          <w:t>2007 BCSC 18</w:t>
        </w:r>
      </w:hyperlink>
      <w:r>
        <w:rPr>
          <w:rFonts w:ascii="arial" w:eastAsia="arial" w:hAnsi="arial" w:cs="arial"/>
          <w:color w:val="000000"/>
          <w:sz w:val="20"/>
          <w:lang w:val="en-US" w:eastAsia="en-US" w:bidi="ar-SA"/>
        </w:rPr>
        <w:t xml:space="preserve">. Such awards are guided by factors that include those enumerated by Madam Justice Kirkpatrick in </w:t>
      </w:r>
      <w:r>
        <w:rPr>
          <w:rFonts w:ascii="arial" w:eastAsia="arial" w:hAnsi="arial" w:cs="arial"/>
          <w:i/>
          <w:color w:val="000000"/>
          <w:sz w:val="20"/>
          <w:lang w:val="en-US" w:eastAsia="en-US" w:bidi="ar-SA"/>
        </w:rPr>
        <w:t>Stapley v. Heljslet</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seeks an award of non-pecuniary damages in the range of $200,000 to $250,000. The Estate defendant contends that the plaintiff's injuries from the incident warrant an award in the range of $9,000 to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injuries the plaintiff alleges are:</w:t>
      </w:r>
      <w:r>
        <w:rPr>
          <w:rFonts w:ascii="arial" w:eastAsia="arial" w:hAnsi="arial" w:cs="arial"/>
          <w:sz w:val="20"/>
          <w:lang w:val="en-US" w:eastAsia="en-US" w:bidi="ar-SA"/>
        </w:rPr>
        <w:cr/>
      </w:r>
    </w:p>
    <w:p>
      <w:pPr>
        <w:numPr>
          <w:numId w:val="2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shock, bruising and contusions;</w:t>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concussion;</w:t>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his neck, shoulders, back, jaw and ribs;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dizziness and nausea;</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concentrating; and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contends that as a result of these injuries his osteoarthritis will worsen in future, and prevent him from the enjoyment of his previous recreational activities, and from his enjoyment of food, and from his prior sexual activities, and social contact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alleged that the plaintiff's injuries have increased his paranoia, and impaired his memory, attention, and concentration.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that the plaintiff's bruising and contusions resolved in a matter of a few weeks, and his shock resolved even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the evidence before me, I am unable to find that the plaintiff suffered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that the plaintiff suffered one broken rib, which continues to cause him discomfort, and some injury to his temporo-mandibular joint (TMJ), exacerbating a pre-existing condition that remains problematic, in part, due to the injuries he sustained in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reject the evidence of the plaintiff and his wife that he has suffered unrelenting headaches due to the incident, and conclude that if he does suffer from these headaches, they were not caused by the incident for more than a few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find that the plaintiff did suffer from dizziness and nausea following the incident, but that this did not last more than a few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not persuaded that the plaintiff's difficulty concentrating or sleeping could be attributed to the incident for more than a few weeks at most.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supports such an award based upon the seriousness of his injuries, which he asserts include a rib fracture, TMJ dysfunction in his left jaw, pericardial effusion, continuing pain in his left chest, and chronic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plaintiff contends his award should take into account his advanced age, as discussed by Madam Justice Griffin in </w:t>
      </w:r>
      <w:r>
        <w:rPr>
          <w:rFonts w:ascii="arial" w:eastAsia="arial" w:hAnsi="arial" w:cs="arial"/>
          <w:i/>
          <w:color w:val="000000"/>
          <w:sz w:val="20"/>
          <w:lang w:val="en-US" w:eastAsia="en-US" w:bidi="ar-SA"/>
        </w:rPr>
        <w:t>Fata v. Heinonen</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2010 BCSC 385</w:t>
        </w:r>
      </w:hyperlink>
      <w:r>
        <w:rPr>
          <w:rFonts w:ascii="arial" w:eastAsia="arial" w:hAnsi="arial" w:cs="arial"/>
          <w:color w:val="000000"/>
          <w:sz w:val="20"/>
          <w:lang w:val="en-US" w:eastAsia="en-US" w:bidi="ar-SA"/>
        </w:rPr>
        <w:t xml:space="preserve"> at para. 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The retirement years are special years for they are at a time in a person's life when he realizes his own mortality. When someone who has always been physically active loses his physical function in these years, the enjoyment of retirement can be severely diminished, with less opportunity to replace these activities with other interests in life. Further, what may be a small loss of function to a younger person who is active in many other ways may be a larger loss to an older person whose activities are already constrained by age. The impact an injury can have on someone who is elderly was recognized in </w:t>
      </w:r>
      <w:r>
        <w:rPr>
          <w:rFonts w:ascii="arial" w:eastAsia="arial" w:hAnsi="arial" w:cs="arial"/>
          <w:i/>
          <w:color w:val="000000"/>
          <w:sz w:val="20"/>
          <w:lang w:val="en-US" w:eastAsia="en-US" w:bidi="ar-SA"/>
        </w:rPr>
        <w:t>Giles v. Canada (Attorney General)</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[1994] B.C.J. No. 3212</w:t>
        </w:r>
      </w:hyperlink>
      <w:r>
        <w:rPr>
          <w:rFonts w:ascii="arial" w:eastAsia="arial" w:hAnsi="arial" w:cs="arial"/>
          <w:color w:val="000000"/>
          <w:sz w:val="20"/>
          <w:lang w:val="en-US" w:eastAsia="en-US" w:bidi="ar-SA"/>
        </w:rPr>
        <w:t xml:space="preserve"> (S.C.), rev'd on other grounds </w:t>
      </w:r>
      <w:hyperlink r:id="rId963" w:history="1">
        <w:r>
          <w:rPr>
            <w:rFonts w:ascii="arial" w:eastAsia="arial" w:hAnsi="arial" w:cs="arial"/>
            <w:i/>
            <w:color w:val="0077CC"/>
            <w:sz w:val="20"/>
            <w:u w:val="single"/>
            <w:shd w:val="clear" w:color="auto" w:fill="FFFFFF"/>
            <w:lang w:val="en-US" w:eastAsia="en-US" w:bidi="ar-SA"/>
          </w:rPr>
          <w:t>(1996), 21 B.C.L.R. (3d) 190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so-called "golden years" doctrine was discussed by Mr. Justice Voith at paras. 51-52 in </w:t>
      </w:r>
      <w:r>
        <w:rPr>
          <w:rFonts w:ascii="arial" w:eastAsia="arial" w:hAnsi="arial" w:cs="arial"/>
          <w:i/>
          <w:color w:val="000000"/>
          <w:sz w:val="20"/>
          <w:lang w:val="en-US" w:eastAsia="en-US" w:bidi="ar-SA"/>
        </w:rPr>
        <w:t>Johal v. Radek</w:t>
      </w:r>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2016 BCSC 454</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In this case, the issue of Ms. Johal's age is potentially relevant. An award for non-pecuniary loss addresses both losses to the date of trial, and also those losses that are likely to be suffered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Some cases rely on the "Golden Years" doctrine, which suggests that an injury may have a greater impact on an older person, whose activities are already constrained by age, than on a younger person who may be active in other respects; see for example; </w:t>
      </w:r>
      <w:r>
        <w:rPr>
          <w:rFonts w:ascii="arial" w:eastAsia="arial" w:hAnsi="arial" w:cs="arial"/>
          <w:i/>
          <w:color w:val="000000"/>
          <w:sz w:val="20"/>
          <w:lang w:val="en-US" w:eastAsia="en-US" w:bidi="ar-SA"/>
        </w:rPr>
        <w:t>Taylor v. Grundholm</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2010 BCSC 860</w:t>
        </w:r>
      </w:hyperlink>
      <w:r>
        <w:rPr>
          <w:rFonts w:ascii="arial" w:eastAsia="arial" w:hAnsi="arial" w:cs="arial"/>
          <w:color w:val="000000"/>
          <w:sz w:val="20"/>
          <w:lang w:val="en-US" w:eastAsia="en-US" w:bidi="ar-SA"/>
        </w:rPr>
        <w:t xml:space="preserve"> at para. 60; and </w:t>
      </w:r>
      <w:r>
        <w:rPr>
          <w:rFonts w:ascii="arial" w:eastAsia="arial" w:hAnsi="arial" w:cs="arial"/>
          <w:i/>
          <w:color w:val="000000"/>
          <w:sz w:val="20"/>
          <w:lang w:val="en-US" w:eastAsia="en-US" w:bidi="ar-SA"/>
        </w:rPr>
        <w:t>Fata v. Heinonen</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2010 BCSC 385</w:t>
        </w:r>
      </w:hyperlink>
      <w:r>
        <w:rPr>
          <w:rFonts w:ascii="arial" w:eastAsia="arial" w:hAnsi="arial" w:cs="arial"/>
          <w:color w:val="000000"/>
          <w:sz w:val="20"/>
          <w:lang w:val="en-US" w:eastAsia="en-US" w:bidi="ar-SA"/>
        </w:rPr>
        <w:t xml:space="preserve"> at para. 88. Other cases suggest that the competing considerations of the plaintiff's age and the application of the "Golden Years" doctrine may balance each other out; see </w:t>
      </w:r>
      <w:r>
        <w:rPr>
          <w:rFonts w:ascii="arial" w:eastAsia="arial" w:hAnsi="arial" w:cs="arial"/>
          <w:i/>
          <w:color w:val="000000"/>
          <w:sz w:val="20"/>
          <w:lang w:val="en-US" w:eastAsia="en-US" w:bidi="ar-SA"/>
        </w:rPr>
        <w:t>Mathroo v. Edge-Partington</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2015 BCSC 122</w:t>
        </w:r>
      </w:hyperlink>
      <w:r>
        <w:rPr>
          <w:rFonts w:ascii="arial" w:eastAsia="arial" w:hAnsi="arial" w:cs="arial"/>
          <w:color w:val="000000"/>
          <w:sz w:val="20"/>
          <w:lang w:val="en-US" w:eastAsia="en-US" w:bidi="ar-SA"/>
        </w:rPr>
        <w:t xml:space="preserve"> at para. 96; and </w:t>
      </w:r>
      <w:r>
        <w:rPr>
          <w:rFonts w:ascii="arial" w:eastAsia="arial" w:hAnsi="arial" w:cs="arial"/>
          <w:i/>
          <w:color w:val="000000"/>
          <w:sz w:val="20"/>
          <w:lang w:val="en-US" w:eastAsia="en-US" w:bidi="ar-SA"/>
        </w:rPr>
        <w:t>Duifhuis v. Bloom</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2013 BCSC 1180</w:t>
        </w:r>
      </w:hyperlink>
      <w:r>
        <w:rPr>
          <w:rFonts w:ascii="arial" w:eastAsia="arial" w:hAnsi="arial" w:cs="arial"/>
          <w:color w:val="000000"/>
          <w:sz w:val="20"/>
          <w:lang w:val="en-US" w:eastAsia="en-US" w:bidi="ar-SA"/>
        </w:rPr>
        <w:t xml:space="preserve"> at paras. 58-59. It is this last group of cases that I consider most useful and that I rely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plaintiff provided case authorities that support the range on non-pecuniary damages he seeks. They include the somewhat dated decisions in </w:t>
      </w:r>
      <w:r>
        <w:rPr>
          <w:rFonts w:ascii="arial" w:eastAsia="arial" w:hAnsi="arial" w:cs="arial"/>
          <w:i/>
          <w:color w:val="000000"/>
          <w:sz w:val="20"/>
          <w:lang w:val="en-US" w:eastAsia="en-US" w:bidi="ar-SA"/>
        </w:rPr>
        <w:t>Culver v. 624671 B.C. Ltd.</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2006 BCSC 1241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Culver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Tardif v. Wiebe</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[1996] B.C.J. No. 2254</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Tardif</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Burdett v. Eidse</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2010 BCSC 219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Burdett</w:t>
      </w:r>
      <w:r>
        <w:rPr>
          <w:rFonts w:ascii="arial" w:eastAsia="arial" w:hAnsi="arial" w:cs="arial"/>
          <w:color w:val="000000"/>
          <w:sz w:val="20"/>
          <w:lang w:val="en-US" w:eastAsia="en-US" w:bidi="ar-SA"/>
        </w:rPr>
        <w:t>] var'd on appeal with respect to the discount rate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Estate defendant relies upon the decisions in </w:t>
      </w:r>
      <w:r>
        <w:rPr>
          <w:rFonts w:ascii="arial" w:eastAsia="arial" w:hAnsi="arial" w:cs="arial"/>
          <w:i/>
          <w:color w:val="000000"/>
          <w:sz w:val="20"/>
          <w:lang w:val="en-US" w:eastAsia="en-US" w:bidi="ar-SA"/>
        </w:rPr>
        <w:t>Saed v. Chirek</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2000 BCPC 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Noel v. Mayer</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2007 BCSC 1892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Pike v. Royal Canadian Mounted Police</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2008 BCPC 426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Pike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Van Hartevelt v. Grewal</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2012 BCSC 658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 Hartevelt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Culver</w:t>
      </w:r>
      <w:r>
        <w:rPr>
          <w:rFonts w:ascii="arial" w:eastAsia="arial" w:hAnsi="arial" w:cs="arial"/>
          <w:color w:val="000000"/>
          <w:sz w:val="20"/>
          <w:lang w:val="en-US" w:eastAsia="en-US" w:bidi="ar-SA"/>
        </w:rPr>
        <w:t>, Madam Justice Dorgan assessed damages arising from an assault upon the 20-year old plaintiff, by an employee of the defendant nightclub, described by Dorgan J. as unprovoked, brutal and out of proportion in the circumstances in which it occurred. The plaintiff suffered a complex orbital fracture that required reconstructive and plastic surgeries and was awarded damages of $72,092, comprised of non-pecuniary damages of $40,000, past wage loss of $810, impairment of future earning capacity of $25,000, special damages of $782, cost of future care of $500, aggravated damages of $2,000, and punitive damages of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Tardif</w:t>
      </w:r>
      <w:r>
        <w:rPr>
          <w:rFonts w:ascii="arial" w:eastAsia="arial" w:hAnsi="arial" w:cs="arial"/>
          <w:color w:val="000000"/>
          <w:sz w:val="20"/>
          <w:lang w:val="en-US" w:eastAsia="en-US" w:bidi="ar-SA"/>
        </w:rPr>
        <w:t>, Mr. Justice Hamilton assessed the damages to which the 33-year old plaintiff was entitled for injuries he sustained when ejected from a hotel by its bouncers. The plaintiff was described by a police witness as a notorious troublemaker. On the night in question the bouncers intervened to stop an altercation between the plaintiff and a woman who had been refused service at the hotel bar. At paras. 19-20, Hamilton J. described the plaintiff's injuries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At the time of the incident the plaintiff was rendered unconscious. He has retrograde amnesia and post traumatic amnesia for some days following the incident. He was taken to the Cranbrook Hospital and then transferred to Trail and later transferred to Calgary in critical condition for some days.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About a year after the accident he had a one day attempt at returning to work. He was unable to operate any of the machines he tried. He later took a course in landscaping and had a trial working period. He could not carry on with that work due to his headaches and the pain in his legs. Because of his limited cognitive ability and his limited skills he is able to do very little. He spends his days going to college in the morning trying to learn to read and write. He assists his common-law wife by transporting her daughter to school and other activities while the mother works and he does some limited chores in the home. He spends the rest of his day having coffee with his friends or watching soap operas and other such television programs. Apart from driving his motorcycle, he has no hobbies. Another result of the incident was a change in his personality. He suffers from depression and bouts of anger. At times he had been concerned that his anger would drive him to seriously injure or even kill Wiebe. Two years after this incident, because he was unable to control his anger, he struck his common-law wife and was charged with assault. Up until that time he had continued to drink quite heavily. As a result of the incident of striking his common-law wife he decided that he would no longer drink. After he quit drinking he attempted to control his anger by participating in the meetings of Alcoholics Anonymous, attending on a daily basis. He continues to go to these meetings sometimes everyday and at least once a week. His continued treatment by his psychologist has also helped with his depression and anger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was awarded the sum of $150,000 for his non-pecuniary claim, and other damages totalling some $944,000.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Burdett</w:t>
      </w:r>
      <w:r>
        <w:rPr>
          <w:rFonts w:ascii="arial" w:eastAsia="arial" w:hAnsi="arial" w:cs="arial"/>
          <w:color w:val="000000"/>
          <w:sz w:val="20"/>
          <w:lang w:val="en-US" w:eastAsia="en-US" w:bidi="ar-SA"/>
        </w:rPr>
        <w:t>, Madam Justice Loo considered claims for damages arising from two motor vehicle accidents. At paras. 201-204 Loo J. described the plaintiff's condition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 Mr. Burdett suffered soft tissue injuries to his neck and back, as well as headaches, from the first accident. By November 2005 he was still having problems. He saw a substantial improvement by January 6, 2006, though he still had tenderness and muscle spasms in his back and neck area. The accident on January 7, 2006 brought his soft tissue injuries back to square one, but he substantially improved again by April 2006. However, Mr. Burdett continues to have chronic episodic neck pain and daily headaches. According to Dr. Quirke, as it is now more than three years since the last accident, Mr. Burdett is left with a permanent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202 At the request of the defendants' counsel, Mr. Burdett was examined by Dr. J.F. Schweigel, an orthopedic surgeon, on August 21, 2008. Dr. Schweigel confirms that Mr. Burdett suffered soft tissue injuries to his neck and upper back and opines that as a result he could have been prevented from doing heavy work for up to three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203 What is more significant is Mr. Burdett's MTBI - which has not resolved. He continues to suffer from severe cognitive impairments including an inability to focus, concentrate, sleep, or multitask; he experiences frustration, emotional lability, and a lack of interest in those activities that used to give him pleasure. He has lost his high level executive functioning and is competitively unemployable. He no longer skis (on the advice of Dr. Cameron that he cannot afford to hit his head again). He attended one sail past, but no longer sails for fear of the boom hitting his head. He no longer reads for pleasure. His relationships with his wife, his family, and friends have been negatively affected.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204 Mr. Burdett is now socially withdrawn. He faces an uncertain future. He worries about how he can continue to live in the same house he has lived in all of his life, and how he is going to survive economically.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Burdett was awarded non-pecuniary damages of $200,000, together with other damages, of a little over $900,000.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Saed</w:t>
      </w:r>
      <w:r>
        <w:rPr>
          <w:rFonts w:ascii="arial" w:eastAsia="arial" w:hAnsi="arial" w:cs="arial"/>
          <w:color w:val="000000"/>
          <w:sz w:val="20"/>
          <w:lang w:val="en-US" w:eastAsia="en-US" w:bidi="ar-SA"/>
        </w:rPr>
        <w:t>, Her Honour Judge Rae assessed damages for a plaintiff who injured his thumb and broke one rib in a motor vehicle accident. The plaintiff claimed to have missed four weeks of work and to have experienced pain for four to six weeks. He was awarded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Noel</w:t>
      </w:r>
      <w:r>
        <w:rPr>
          <w:rFonts w:ascii="arial" w:eastAsia="arial" w:hAnsi="arial" w:cs="arial"/>
          <w:color w:val="000000"/>
          <w:sz w:val="20"/>
          <w:lang w:val="en-US" w:eastAsia="en-US" w:bidi="ar-SA"/>
        </w:rPr>
        <w:t>, Mr. Justice Sigurdson assessed damages in a case where a 76-year old plaintiff was assaulted by her son's former common law spouse. At para. 37, Sigurdson J. described the plaintiff's injuries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Considering all the evidence, I find that the plaintiff suffered a strained or a sprained knee, together with soft tissue injuries to her arm, breast area and head. The soft tissue injuries largely resolved in short order. Mr. Greig acknowledges that the injury to her left arm, breast area and bump on her head quickly resolved. According to Mrs. Noel, the left knee problem persisted for some eighteen months. I think the symptoms have persisted because the injuries occurred to a person of her age. It was described by Dr. Paton as a strain or sprain of the ligament caused by hyper-extension of the knee. To a certain degree, Mrs. Noel had knee problems prior to the incident. She had osteoarthritis in her knees; there was a dispute over whether Mrs. Noel used a cane prior to the incident other than in connection with a broken ankle that occurred some years earlier. I recognize that she has had knee problems in the past and osteoarthritis, but I am satisfied that the plaintiff injured herself in the incident and is worse off than she would have been had the assault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Sigurdson J. awarded the plaintiff non-pecuniary damages of $9,000, but declined to make any award for punitive damages, concluding at para. 53 that "the defendant's conduct in pushing and striking the plaintiff in an excited state, although actionable as a tort", was not deserving of an award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Pike</w:t>
      </w:r>
      <w:r>
        <w:rPr>
          <w:rFonts w:ascii="arial" w:eastAsia="arial" w:hAnsi="arial" w:cs="arial"/>
          <w:color w:val="000000"/>
          <w:sz w:val="20"/>
          <w:lang w:val="en-US" w:eastAsia="en-US" w:bidi="ar-SA"/>
        </w:rPr>
        <w:t>, His Honour Judge Dley, as he then was, dealt with the claim of a 37-year old man who was detained by the RCMP for causing a disturbance whilst intoxicated. He suffered a spiral mid-shaft humeral fracture to his right arm, a black eye and a laceration in the eye region that required five to six stitches. The spiral fracture healed within six months with nominal lingering effects and he was awarded the sum of $15,000 in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 Hartevelt</w:t>
      </w:r>
      <w:r>
        <w:rPr>
          <w:rFonts w:ascii="arial" w:eastAsia="arial" w:hAnsi="arial" w:cs="arial"/>
          <w:color w:val="000000"/>
          <w:sz w:val="20"/>
          <w:lang w:val="en-US" w:eastAsia="en-US" w:bidi="ar-SA"/>
        </w:rPr>
        <w:t>, Mr. Justice Savage dealt with the claim of a 61-year old man who was assaulted by individuals who entered his apartment uninvited. Savage J., as he then was, described the plaintiff's injuries at para. 76-79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Dr. Blaney first examined Mr. Van Hartevelt on December 29, 2006 at which time he observed "... healing facial contusions and abrasions, ... a large bruise over his right upper arm mostly on the back and a bruise under his left breast area". Mr. Van Hartevelt was "exquisitely tender" over the right humeral bone and the anterial and lateral aspect of his left rib cage. "Auscultation over the left lateral rib area revealed crepitus indicating likely rib fracture(s)". There was a concavity deformation of the left lateral thorax and posterior subluxation of the left 7th to 11th ribs at the point of attachment.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Dr. Blaney diagnosed Mr. Van Hartevelt as having suffered possible fractured ribs on the left side, multiple abrasions and contusions, closed head injury with trauma to the nose and sinus, severely strained right hip flexor muscles and post-traumatic anxiety. Dr. Blaney recommended passive therapies included manual therapy, trigger point injections, massage, application of ice and heat and "judicious use" of analgesic and anti-inflammatory medications.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One year post-assault Mr. Van Hartevelt's main symptoms where stiffness, pain and weakness in his right shoulder, and intrascapular tension which when irritated spread to include the right low back and hip. He was limited in what he could do and refrained from any strenuous household or recreational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Mr. Van Hartevelt continued to improve up to trial but still had some residual symptoms and Dr. Blaney's view, although he acknowledged that he was not a functional therapist, was that his ability to work full-time as an electrician was questionable. The sequella of the injuries, which aggravated some pre-existing problems, continued to impact Mr. Van Hartevelt's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Savage J. assessed his non-pecuniary damages at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gave evidence that before the incident he used to go to Edmonton to visit his son from his first marriage, and that son's family, roughly three times a month, but that he is now unable to drive that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reject this complaint. Despite his evidence that his injuries from the incident have prevented him from travelling as he did prior thereto, he has taken a two month driving trip through Canada and the U.S., two camping trips to Osoyoos, and Alaskan cruise, driven and flown to Las Vegas and travelled in Europe since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find that given that most of the plaintiff's injuries resolved within a matter of weeks from the incident, with the notable exception of his chest pain, which I accept is causally related to the incident. Certainly his injuries do not even begin to approach the seriousness or magnitude of the injuries of the plaintiff's in the authorities he has referenced.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difficulties that the plaintiff suffers from his unrelated health conditions seriously impair his ability to do the things he did earlier in his life. The addition of his chest and some of his breathing difficulties have played a modest role, but a role nonetheless, in his enjoyment of life. I find that he is entitled to $30,000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seeks an award of $5,000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Thomson v. Friedmann</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2008 BCSC 703</w:t>
        </w:r>
      </w:hyperlink>
      <w:r>
        <w:rPr>
          <w:rFonts w:ascii="arial" w:eastAsia="arial" w:hAnsi="arial" w:cs="arial"/>
          <w:color w:val="000000"/>
          <w:sz w:val="20"/>
          <w:lang w:val="en-US" w:eastAsia="en-US" w:bidi="ar-SA"/>
        </w:rPr>
        <w:t xml:space="preserve">, aff'd </w:t>
      </w:r>
      <w:hyperlink r:id="rId976" w:history="1">
        <w:r>
          <w:rPr>
            <w:rFonts w:ascii="arial" w:eastAsia="arial" w:hAnsi="arial" w:cs="arial"/>
            <w:i/>
            <w:color w:val="0077CC"/>
            <w:sz w:val="20"/>
            <w:u w:val="single"/>
            <w:shd w:val="clear" w:color="auto" w:fill="FFFFFF"/>
            <w:lang w:val="en-US" w:eastAsia="en-US" w:bidi="ar-SA"/>
          </w:rPr>
          <w:t>2010 BCCA 277</w:t>
        </w:r>
      </w:hyperlink>
      <w:r>
        <w:rPr>
          <w:rFonts w:ascii="arial" w:eastAsia="arial" w:hAnsi="arial" w:cs="arial"/>
          <w:color w:val="000000"/>
          <w:sz w:val="20"/>
          <w:lang w:val="en-US" w:eastAsia="en-US" w:bidi="ar-SA"/>
        </w:rPr>
        <w:t>, Madam Justice Gerow discussed both aggravated and punitive damages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Aggravated damages are a compensatory award that takes account of the intangible injuries such as distress and humiliation caused by a defendant's insulting behaviour. Aggravated damages are often claimed as compensation for mental distress caused by a defendant's behaviour. Aggravated damages will frequently cover conduct which would also be subject to punitive damages, but their role is compensatory. They are designed to compensate a plaintiff and are measured by the plaintiff's suffering such as pain, anguish, grief, humiliation, wounded pride, damaged self-confidence or self-esteem, and similar matters caused by the conduct of a defendant: </w:t>
      </w:r>
      <w:r>
        <w:rPr>
          <w:rFonts w:ascii="arial" w:eastAsia="arial" w:hAnsi="arial" w:cs="arial"/>
          <w:i/>
          <w:color w:val="000000"/>
          <w:sz w:val="20"/>
          <w:lang w:val="en-US" w:eastAsia="en-US" w:bidi="ar-SA"/>
        </w:rPr>
        <w:t>Vorvis v. Insurance Corp. of British Columbia</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that case, the plaintiff was assaulted with an aluminum baseball bat by the landlord of a friend she was visiting. She sustained bruising to her back and a broken arm. The plaintiff testified that the assault would always be with her, and that she suffered from anxiety and sleeplessness after the incident with occasional flashbacks to the incident when someone makes a movement around her head. Gerow J. awarded her $2,500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same award was made for aggravated damages in </w:t>
      </w:r>
      <w:r>
        <w:rPr>
          <w:rFonts w:ascii="arial" w:eastAsia="arial" w:hAnsi="arial" w:cs="arial"/>
          <w:i/>
          <w:color w:val="000000"/>
          <w:sz w:val="20"/>
          <w:lang w:val="en-US" w:eastAsia="en-US" w:bidi="ar-SA"/>
        </w:rPr>
        <w:t>Azak v. Chisholm</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2018 BCSC 1051</w:t>
        </w:r>
      </w:hyperlink>
      <w:r>
        <w:rPr>
          <w:rFonts w:ascii="arial" w:eastAsia="arial" w:hAnsi="arial" w:cs="arial"/>
          <w:color w:val="000000"/>
          <w:sz w:val="20"/>
          <w:lang w:val="en-US" w:eastAsia="en-US" w:bidi="ar-SA"/>
        </w:rPr>
        <w:t>. There, the plaintiff sustained a sore arm, a fractured cheek bone, and a fractured nose that required treatment and surgery and had ongoing headaches following an attack by the defendant at the plaintiff's home. Mr. Justice G.C. Weatherill found that the plaintiff's case was an appropriate case for a modest award of aggravated damages by virtue of the humiliation suffered by the plaintiff and awarded him $2,500 in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find that Mr. Barjaktarovic's attack upon the plaintiff did cause him some element of mental distress, although I recognize that the plaintiff's belief of what was done to the Slivovic brandy given to him by Ms. Barjaktarovic, which forms no part of his claim before me, had already caused him to avoid the coffee shop, except on the day of this unfortunate incident. In my view an award of $2,500 is appropriate for aggravated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plaintiff seeks an award of $5,000 under this head of damages. In </w:t>
      </w:r>
      <w:r>
        <w:rPr>
          <w:rFonts w:ascii="arial" w:eastAsia="arial" w:hAnsi="arial" w:cs="arial"/>
          <w:i/>
          <w:color w:val="000000"/>
          <w:sz w:val="20"/>
          <w:lang w:val="en-US" w:eastAsia="en-US" w:bidi="ar-SA"/>
        </w:rPr>
        <w:t>Thomson</w:t>
      </w:r>
      <w:r>
        <w:rPr>
          <w:rFonts w:ascii="arial" w:eastAsia="arial" w:hAnsi="arial" w:cs="arial"/>
          <w:color w:val="000000"/>
          <w:sz w:val="20"/>
          <w:lang w:val="en-US" w:eastAsia="en-US" w:bidi="ar-SA"/>
        </w:rPr>
        <w:t xml:space="preserve">, Gerow J. discussed the principles to be applied pursuant to the decision of the Supreme Court of Canada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and found at paras. 34-35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 [W]hat is essential in determining whether an award of punitive damages should be made, and the amount of the award are the particular circumstances of the case, the fact that the remedy is exceptional, and fairness to both sides. In determining if punitive damages should be awarded, the court is to consider whether the conduct of a defendant should be punished over and above the requirement that he pay non-pecuniary, pecuniary, and aggravated damages: </w:t>
      </w:r>
      <w:r>
        <w:rPr>
          <w:rFonts w:ascii="arial" w:eastAsia="arial" w:hAnsi="arial" w:cs="arial"/>
          <w:i/>
          <w:color w:val="000000"/>
          <w:sz w:val="20"/>
          <w:lang w:val="en-US" w:eastAsia="en-US" w:bidi="ar-SA"/>
        </w:rPr>
        <w:t>Huff</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It is apparent from his evidence that Mr. Friedmann was of the view that Ms. Thomson deserved to be hit. He hit her on the back as she was attempting to leave and on her arm when she put it up to protect her head. I am of the opinion that Mr. Friedmann's conduct in taking the law into his own hands and meeting out what he saw as an appropriate punishment for Ms. Thomson's trespassing onto his property is the type of conduct that needs to be deterred and denounced. Accordingly, I am of the view that an award of $2,500 is appropriate for punitive damages. The award for punitive damages is not a duplication of the non-pecuniary, pecuniary, and aggravated damage awards which I have made to compensate Ms. Thomson for the injuries and losses she suffered as a result of Mr. Friedmann's conduct. Those awards do not address the reprehensible aspect or the need for specific and general deterrence and denunciation of the conduct of Mr. Friedmann.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find that in this case, similar reasoning warrants an award of $5,000 for punitive damages, not as a duplication of the non-pecuniary, pecuniary, and aggravated damage awards which I have made to compensate the plaintiff for the injuries and losses he suffered, but to address the reprehensible aspect or the need for specific and general deterrence and denunciation of the conduct of Mr. Barjaktarovic.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As a result of the injuries the plaintiff sustained in the incident, he received Health Care Services from the British Columbia Ministry of Health valued in the Minister's Certificate at $1,090.47. This claim is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plaintiff's claim against the Estate of Dragolub Barjaktarovic is allowed. The plaintiff is entitled to:</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of $30,000,</w:t>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of $2,500,</w:t>
      </w:r>
    </w:p>
    <w:p>
      <w:pPr>
        <w:numPr>
          <w:numId w:val="2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of $5,000,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in trust for the Minister of Health in the amount of $1,090.47,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total of $38,590.47, together with interest thereon,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9" style="position:absolute;z-index:251898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9"/>
          <w:headerReference w:type="default" r:id="rId980"/>
          <w:footerReference w:type="even" r:id="rId981"/>
          <w:footerReference w:type="default" r:id="rId982"/>
          <w:headerReference w:type="first" r:id="rId983"/>
          <w:footerReference w:type="first" r:id="rId9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5" w:history="1">
        <w:r>
          <w:rPr>
            <w:rFonts w:ascii="arial" w:eastAsia="arial" w:hAnsi="arial" w:cs="arial"/>
            <w:b/>
            <w:bCs/>
            <w:i/>
            <w:color w:val="0077CC"/>
            <w:kern w:val="32"/>
            <w:sz w:val="28"/>
            <w:szCs w:val="32"/>
            <w:u w:val="single"/>
            <w:shd w:val="clear" w:color="auto" w:fill="FFFFFF"/>
            <w:lang w:val="en-US" w:eastAsia="en-US" w:bidi="ar-SA"/>
          </w:rPr>
          <w:t>Brunning v. Cummings, [2020] B.C.J. No. 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G.P.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8-11, 15-18, November 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13,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S115473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Cheri Colleen Brunning and Joel Donald Brunning, Plaintiffs, and Robert Stewart Cummings and Benigna Valdez Cummings,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0"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5" w:name="Keywords_48"/>
      <w:bookmarkEnd w:id="315"/>
      <w:r>
        <w:rPr>
          <w:rFonts w:ascii="arial" w:eastAsia="arial" w:hAnsi="arial" w:cs="arial"/>
          <w:b/>
          <w:color w:val="000000"/>
          <w:sz w:val="20"/>
          <w:lang w:val="en-US" w:eastAsia="en-US" w:bidi="ar-SA"/>
        </w:rPr>
        <w:t>Damages — For torts — Affecting property — Real property — Inconvenience — Loss of enjoyment — Flood — Fraud and misrepresentation — Action by plaintiff purchasers for damages against defendant sellers for misrepresentation and breach of contract allowed — Defendants experienced basement flooding in February and March 2016 — In April 2016 Property Disclosure Statement they indicated they were unaware of any water problems and stated seepage had been rectified — They did not disclose further flooding in July 2016 before plaintiffs took possession — Plaintiffs were entitled to rely on accuracy of representations in PDS — Defendants were guilty of fraudulent misrepresentation — Plaintiffs were awarded $140,000 for remediation costs, $8,221 in special damages, and $20,000 in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Sale of land — Misrepresentation — Fraudulent misrepresentation — Quality defects — Latent — Remedies — Damages — Action by plaintiff purchasers for damages against defendant sellers for misrepresentation and breach of contract allowed — Defendants experienced basement flooding in February and March 2016 — In April 2016 Property Disclosure Statement they indicated they were unaware of any water problems and stated seepage had been rectified — They did not disclose further flooding in July 2016 before plaintiffs took possession — Plaintiffs were entitled to rely on accuracy of representations in PDS — Defendants were guilty of fraudulent misrepresentation — Plaintiffs were awarded $140,000 for remediation costs, $8,221 in special damages, and $20,000 in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misrepresentation — Form — Statement of existing fact — Distinguishing fact from opinion — Silence and non-disclosure — Particular relationships — Sale of land — Known falsity — Silence and non-disclosure — Latent defects — Action by plaintiff purchasers for damages against defendant sellers for misrepresentation and breach of contract allowed — Defendants experienced basement flooding in February and March 2016 — In April 2016 Property Disclosure Statement they indicated they were unaware of any water problems and stated seepage had been rectified — They did not disclose further flooding in July 2016 before plaintiffs took possession — Plaintiffs were entitled to rely on accuracy of representations in PDS — Defendants were guilty of fraudulent misrepresentation — Plaintiffs were awarded $140,000 for remediation costs, $8,221 in special damages, and $20,000 in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6" w:name="Case Summary_43"/>
            <w:bookmarkEnd w:id="3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purchasers for damages against the defendant sellers for misrepresentation and breach of contract. The defendants purchased the subject house in 2014, renovated it and rented it out in 2015. In February 2016, the basement flooded. The defendants completed the remediation work themselves by installing a sump well, sump pump, drainage pipe, and drain rock. In March 2016, the flooding returned. Eventually the water receded and dried up. The defendants reinstalled underlay and carpets in April 2016 and listed the house for sale. The defendants indicated they were not aware of any moisture or water problems in their property disclosure statement ("PDS"). They indicated on the PDS that seepage on the basement floor had been rectified. The plaintiffs' home inspection in May 2016 discovered no issues with water infiltration. In July 2016, the basement flooded again. The defendants did not disclose the flooding to the plaintiffs, who took possession in August 2016. The plaintiffs experienced water infiltrating the basement in February and March of 2017. Ultimately, the plaintiffs had to gut the basement to the stud walls. Water seepage into the basement had reoccurred each spring and in September 2019.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7" w:name="Holdings of Court_36"/>
            <w:bookmarkEnd w:id="31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attempted to minimize the water ingress problem when they sign the PDS. The ground water ingress issue was a latent defect of which the defendants were aware and had a duty to disclose. The indication on the PDS that some seepage had been rectified was a deliberate misrepresentation. The PDS was incorporated into the contract of purchase and sale. The plaintiffs were entitled to rely on the accuracy of the representations in the PDS. The defendants were guilty of fraudulent misrepresentation. Installing a perimeter draining system would solve the issue. The plaintiffs were awarded $140,000 for remediation costs, $8,221 in special damages, and $20,000 in non-pecuniary damages for the inconvenience, stress and loss of use of their basement since 2017.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8" w:name="Counsel_48"/>
      <w:bookmarkEnd w:id="3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1"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C. Williams, D. Horvath.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J.C. Chandler.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9" w:name="Judgment_48"/>
      <w:bookmarkEnd w:id="319"/>
      <w:r>
        <w:pict>
          <v:line id="_x0000_s1262" style="position:absolute;z-index:2518108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0" w:name="G.P. WEATHERILL J."/>
            <w:bookmarkEnd w:id="320"/>
            <w:r>
              <w:rPr>
                <w:rFonts w:ascii="arial" w:eastAsia="arial" w:hAnsi="arial" w:cs="arial"/>
                <w:b/>
                <w:color w:val="000000"/>
                <w:sz w:val="30"/>
                <w:lang w:val="en-US" w:eastAsia="en-US" w:bidi="ar-SA"/>
              </w:rPr>
              <w:t>G.P.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purchasers of a house located at 3929 Woodell Road, West Kelowna, British Columbia ("House") allege that the defendant sellers misrepresented its condition when they sold it to them. The House was built in 1974, in the "Glenrosa" subdivision area of West Kelowna. The plaintiffs say that the defendants deliberately failed to disclose significant pre-existing flooding issues in the basement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They sue the defendants, claiming fraudulent misrepresentation, negligent misrepresentation,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and Overview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have been married for 26 years. Mr. Cummings is a 50-year-old truck driver. He works three straight 14-hour days and then has four days off. Mrs. Cummings is 52 years old and moved to Canada from the Philippines in 1990. English is her second language. She has been employed as a health care aide for the past 22 years. At all relevant times, the defendants lived on a small farm in the Winfield area north of Kelowna with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a hobby and additional source of income, the defendants enjoy buying "fixer-upper" houses, renovating them, adding suites, renting and/or "flipping" them. Prior to purchasing the House, they had previously renovated and sold five to six homes and were involved in one new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September 14, 2014, the defendants purchased the House, a definite "fixer-upper", for $210,000 on a foreclosure sale with the intention of renovating it and selling it. The House required a complete makeover from top to bottom. They started the renovations soon after the sale closed, doing most of the work themselves during the four days Mr. Cummings had off from his truck driving job each week. They lived at the House on those days. As part of the renovation, they built a separate two bedroom suite in the basement, complete with a full kitchen, dining room, bathroom and living room/rec room, new drywall, paint, baseboards, underlay, linoleum and carpets. During the renovations, they noticed no water or moisture-related issues in the basement. The renovations were completed in July 2015, and the defendants promptly listed the House for sale. The real estate market was slow at the time and there were no offers. The defendants then decided to rent it on a short term basis until the market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December 2015, Ms. Trish Matheson, her then partner and children agreed to rent the House for $1900 per month. Ms. Matheson's niece Tia Hebert, Ms. Hebert's boyfriend Billy, and her infant daughter, sub-let the basement suite (collectively the "Tenants").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February/March 2016 basement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All went well until February 21, 2016, when Ms. Hebert noted that the carpet in her bedroom (called "BR2" at trial) was quite wet. Initially, she thought someone had spilt water on the carpet but it did not dry on its own and in fact was getting bigger. She soon noted that the carpet in the recreation room was also wet. Ms. Hebert informed Ms. Matheson of the water problem who immediately informed the defendants. They promptly came out to investigate. The defendants testified that the carpet wet spots in BR2 and the recreation room were quite small, roughly 8" x 10" and 10" x 10", respectively. Ms. Matheson and Ms. Hebert, however, both testified that the water was much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brought over fans and a shop vac to suck up the water. Billy was doing his best to keep up with the water by using the defendants' shop vac. The carpets and underlay were pulled back revealing water seeping through various cracks in the concrete basement floor. The extent of the water coming through those cracks differed between the Tenants' evidence and the defendants' evidence. The Tenants testified that it was substantial, the defendants testified it was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arranged to remove the carpets and take them to the garage to dry. The underlay could not be salvaged and was discarded. Ms. Hebert's furniture was initially stacked in the non-affected areas of the basement but when those areas began flooding, her furniture was removed either to the garage or upstairs to Ms. Matheson's 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February 23, 2016, Mr. Cummings installed a temporary sump-pump at the outside-rear of the House. It ran continuously and, at first, appeared to reduce the water entering the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Instead of retaining a restoration company, and despite Ms. Matheson's concerns about mould in the basement, the defendants attempted to deal with the flooding themselves during Mr. Cummings' days off work. These attempts included calling a plumbing company known as "Mr. Rooter", whose representative came by the House. The storm drain on the driveway was overflowing. Mr. Cummings wanted the Mr. Rooter representative to "scope" the driveway drain to determine if it was plugged, but was told it would be a waste of money because it was likely draining into a dry rock pit of some kind and that there was simply too much water for the rock pit to handle. While there, the Mr. Rooter representative inspected the yard and noticed water seepage near where the water line entered the basement foundation wall. He suggested that the basement flooding might be related to a broken water line. If not, he recommended placing drain tile and a sump pump at the rear elevation of the House as a method of removing the ground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Cummings decided to follow that advice. With the use of a small rented excavator, he determined the water line was intact and, with Billy's help, he dug a four-foot deep sump well ("Sump Well") at the rear foundation wall of the House. The ground water was very high, and Mr. Cummings concluded it was the source of the basement flooding. Mr. Cummings installed a rented temporary submersible pump in the Sump Well and, using a fire hose, pumped the water from the well into a white PVC stand-pipe that he found in the House's backyard that he assumed was a sewer access pipe ("White Pipe"). The White Pipe was able to handle the significant amount of ground water that was being continuously pumped into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Cummings also hand dug down to the bottom of the House's concrete footings, a depth of approximately 1 to 1-1/2 feet, installed Big-O drainage pipe and drain rock along the entire length of the footings at the back of the House. He attached the Big-O pipe to the Sump Well that in turn pumped the water through a one-foot deep PVC pipe that he buried and connected to the White Pipe below ground. He then replaced the temporary rented sump pump with a sump pump that he purchased and built it into the Sump Well. This remediation work took about one week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remediation system initially seemed to work. The sump pump ran continuously, pumping water into the White Pipe. The defendants took no steps to determine what the White Pipe was or where it 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February 28, 2016, Ms. Matheson sent this text to Mrs. Cummings: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want to set the baby's room back up as you suggested that it was mostly dry. We peeled back the carpet back a bit more to make sure and there was a puddle of water and the underlay is completely saturated. As it stands now the bottom half of the House is completely unusable until everything is dealt with. Unfortunately you guys are going to have to take out all the underlay in all the rooms as every time we peel back further we find more standing water. Nothing will properly dry until the wet underlay is removed. Can you guys arrange to have a restoration company come and deal with this asap?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flooding returned in early March 2016, worse than in late February. This time, water started seeping in through a crack in the floor of Ms. Hebert's daughter's bedroom (called "BR1" during the trial) and progressed into the kitchen/dining room area. Water affected Ms. Hebert's furniture and other belongings that had been moved there in February. Attempts to mop it up with a towel did not work and the water began to accumulate. The Tenants continued using the shop vac to suck up the water. Ms. Hebert described the water being "ankle deep" at one point before Billy was able to vacuum it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March 3, 2016, Ms. Matheson sent this 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water through the night made it into the kitchen/ dining room and is now ruining our belongings we had to move in there from the other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Mrs. Cummings suggested that they move their belongings into to the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March 6, 2016, Ms. Matheson sent the following text to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an update that overnight so much water came in the baby room that it pooled and went under between the wall and the floor into the hall. We are shop vaccing it up right now but wanted you to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entire basement suite was unusable for nearly two months with Ms. Hebert, her partner and daughter moving upstairs with Ms. Matheson and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Eventually the water receded and dried up. New underlay and the carpets that had been removed were re-installed on April 3, 2016, and the basement suite was once again 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say that, as far as they were concerned, the flooding problem was fixed.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listing and Property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same day as the new underlay and carpets were installed, April 3, 2016, the defendants listed the House for sale and so advised Ms. Matheson. As part of the real estate listing, the defendants signed a Property Disclosure Statement ("PDS") in the usual form. They answered "No" to the following question:</w:t>
      </w:r>
      <w:r>
        <w:rPr>
          <w:rFonts w:ascii="arial" w:eastAsia="arial" w:hAnsi="arial" w:cs="arial"/>
          <w:sz w:val="20"/>
          <w:lang w:val="en-US" w:eastAsia="en-US" w:bidi="ar-SA"/>
        </w:rPr>
        <w:cr/>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moisture and/or water problems in the walls, basement or crawl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They added these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some seepage recently on basement floor. This was rectified by installing a sump pump and drain tile at back of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PDS also included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states that the information provided is true, based on the seller's current actual knowledge as of the date on page 1. Any important changes to this information may be made known to the seller will be disclosed by the seller to the buyer prior to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also represented that they were not aware of any material latent defects respecting the House, meaning, any material defect that could not be discerned through a reasonable inspection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PDS cautioned the defendants to ensure that the information they provided was not only accurate and complete but that all relevant information known to them was disclosed. In deciding what to disclose, they were urged to consider whether the information would be important to them if they were buying the House. The PDS went on to say that notwithstanding the seller's representations, the buyer must still make the buyer's own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signing the PDS, the defendants confirmed the information it contained was true based on their actual knowledge as of April 3, 2016, and they agreed to advise the plaintiffs if there were any important changes to the information in the PDS that was made known to them prior to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Mrs. Cummings asked Ms. Matheson not to disclose or discuss the basement flooding issues to prospective purchasers because, she said, it had been disclosed in the PDS.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plaintiffs and the contract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are a blended family with four children. They have been married for approximately 4.5 years. Shortly after their marriage they began looking for a home that was large enough to house their blended family. After looking at a few homes, their realtor introduced them to the House and they went to have a look. They felt it was exactly what they were looking for. Their realtor provided them with the PDS which they read and were comforted by. They saw nothing in it that caused them any concern. In particular, they had no concerns that there might be water seepage issues in the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few days later they viewed the House for a second time and on May 25, 2016, made an offer to purchase for $359,000. After a short series of negotiations, the parties agreed to a purchase price of $371,000 and a binding contract of purchase and sale ("Contract") was entered into. The closing date was set for August 3, 2016. The Contract contained the following term:</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Buyer(s) on or before May 31, 2016 approving the PDS dated April 3, 2016 with respect to the information that reasonably may adversely affect the use or value of the property. If approved the statement will be incorporated into and for part of this contract. This condition is for the sole benefit of the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One of the conditions of the Contract was that the plaintiffs could have the House inspected. The home inspection took place on May 27, 2016, and a detailed report was issued. The home inspector, Mr. Brown of "A Buyers Choice Home Inspections" and a personal acquaintance of Ms. Brunning's, inspected the House and discovered no issues with water infiltration. The plaintiffs did not provide Mr. Brown with a copy of the PDS. Mr. Brown's home inspection report disclosed that the roof needed replacement, and a downspout needed to be extended and a broken window in the garage needed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Brown's report also pointed out concerns he had with the slope of the ground surrounding the House. As a general observation, he noted that it was important that watering next to the home be kept to a minimum and that runoff water should be drained away from the foundation walls to minimize the chance of water leakage into the basement. Cracks in foundation walls, he noted, are common. Specifically dealing with the House, he noted that the ground swale did not have adequate depth or slope for proper drainage and recommended improvements be made to the grade, swale slope and depth to improve water control. He recommended that the ground slope away from the House be at least 1 inch per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Other than relying on the PDS and Mr. Brown, the plaintiffs took no steps to investigate further. They did not communicate with the Tenants, consult with the City of West Kelowna or consult any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approved the PDS, waived and removed the subjects to conditions on May 31,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testified that they relied on the PDS that the "moisture" issue had been rectified and fixed, particularly because the defendants had stated "no" to there being moisture or water issues in the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August 2, 2016, one day prior to closing, the plaintiffs did a pre-move walk-through inspection to ensure the House was the same as when they had seen it in May. There were no unexpected issues. Specifically, they noted no water ingress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completed the purchase and took possession of the House on August 3, 2016, as agreed.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The July 9, 2016 water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July 9, 2016, just less than one month before the plaintiffs took possession of the House, the Tenants noted water coming up again in the carpets of BR1. The carpet was wet with what appeared to be a "milk jug" amount of water. The underlay was also wet. Ms. Matheson sent a text message to Ms. Cummings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Bad news - basement just flooded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("July 9, 2016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carpets were lifted and fans used to dry the carpets. Ms. Matheson noted that water was oozing up through the crack in the concrete floor, similar to what had occurred in the February/March timeframe. Towels and a mop were used to clean it up. The defendants arrived five days later. By that time, the Tenants had mopped the water up and the water ingress had substantially subsided, however towels and a blanket were still needed to dry the concrete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Cummings testified that there was only a small spot of water on the carpet and on the linoleum leading from the basement kitchen area. He says he lifted a part of the carpet in BR1 and the underlay was dry. He checked the driveway drain and the Sump Pump Well and both were dusty and dry. He noted that the sump pump was unplugged, he suspects by the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did not disclose the July 9, 2016 Event to the plaintiffs. They dismissed it as a non-event. They concluded that the Tenants were "messing" with them for reasons they could not explain but suspected had to do with the House being sold and the Tenants having to vacate. The defendants suggest that the Tenants were difficult, and were constantly complaining.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Post-closing water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spring of 2017 was a significant year for precipitation, run-off and high ground water. The evidence suggests there were flooding issues throughout the Central Okanagan, including in the Glenrosa area. There was water flowing under neighbouring properties and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February 16, 2017, the plaintiffs noted water infiltrating the House's basement suite, including into the dining room, kitchen area, hallway and one of the bedrooms. The carpets and underlay were soaking wet and were lifted. Ground water was entering the basement through cracks in the concrete slab. Water was also seeping through the basement door and wall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it happens, Ms. Brunning has a background in flood restoration, having worked for restoration companies for approximately 11 years. She is qualified in restoration, mould, fire and smoke and water damage. She obtained some water damage equipment from her employer and the plaintiffs set about to do what they could to remediate the flooding issue. Nothing happened again until March 14, 2017, when the basement suffered significant flooding that continued for approximately six weeks. By early June 2017, the water had dissipated.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the same time as the basement flooding, the entire backyard of the House was waterlogged and in some areas up to ankle-deep in water. Inside the House, the water seepage was constant through the walls and through cracks in the concrete floor. The driveway storm drain was also not draining.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Brunning installed five sump pumps ("Additional Sump Pumps") in the backyard and other areas to address the standing water and high ground water. He also dug a trench along the rear of the house to the Sump Pump Well to allow the water to run into it and be pumped out into the White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Ultimately, the plaintiffs had to gut the basement to the stud walls and it has not been used since. The plaintiffs attempted remediation by doing what they could to repair the cracked floors, including using a concrete sealer called Xypex. Their efforts did not solve the issue and water has continued to rise through the cracks.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basement furniture, including their children's bedroom furniture, has been placed into a rented storage container. When they removed the drywall, insulation and vapour barrier, they noted a lot of black growth appearing to be mould on the foundation walls, requiring cleaning and containment. The baseboards and drywall were wet, appeared mouldy on the back, and could not be re-used.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September 2017, the plaintiffs replaced the main water line feeding the House because it was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Water seepage into the basement has reoccurred each spring and also in September 2019. The extra sump pumps were not needed or used in 2019. There was no water oozing up through the basement slab cracks; it entered through the back door and back wall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Engineering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Ms. Jennifer Anderson, P. Eng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April 2017, the plaintiffs retained the services of Ms. Jennifer Anderson, a geotechnical engineer with Interior Testing Services Ltd., to help determine where the water was coming from and what could be done to solve the problem. Ms. Anderson authored a report dated April 21, 2017 ("Anderson Report") and also testified. Her opinion is that the House is located in a low area surrounded by high storm water volumes and groundwater levels. In her opinion, the basement flooding was due to the ground around and underneath the basement slab being saturated because of high water levels. She made a series of recommendations which included the installation of a proper perimeter drainage system to remove ground water from the footings. The system would include the installation of drain tile and drain rock. Ground water from the footings would then be piped away into a catch basin, ditch or other water collection area away from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testified that that connection between the House's footings and its foundation walls is not water tight. The concrete floor slab is poured on top of fill. If there is ground water and the drainage system at the footings is inadequate, the water will infiltrate cracks in the slab, foundation walls or through the unsealed connection between the footings and the foundation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her opinion, the reason the House's basement flooded is that the drainage system at the footings, to the extent there is one, is deficient and does not function properly. She stated that the remediation measures employed by the defendants were inadequate. The drainage tile and sump pump were installed at the rear of the House instead of at the front where the greatest amount of ground water would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Anderson recommended upgrading the perimeter drainage, installing a sump pump in the basement, regrading the ground to direct water away from the House, and finding a suitable place for the water to be pumped. If that failed, she recommended raising the entire House one meter and adding more soil volume to assist with water dispersion.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Mr. Remi Allard, P. Eng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retained Mr. Remi Allard, a hydrogeologist and geotechnical engineer to provide an opinion on the causation of the water ingress issues into the House. His report is dated August 6, 2019, and was entered into evidence. He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Allard reviewed and critiqued the Anderson Report. The primary difference between their opinions is in respect of the cause of the 2016 water ingress. Ms. Anderson believes it was high ground water. Mr. Allard believes the water must have been from some other source, such as a broken water pipe somewhere in the neighbourhood. His review of the historical precipitation tables recorded by Environment Canada shows that the spring of 2016 had very low precipitation levels compared to other years, in particular 2017. Therefore, his opinion is that the flooding of the House's basement in 2016 was likely not caused by high ground water tables, but the 2017 flooding likely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testified that the only way of dealing with the issue is to pump the water out of the area. Perimeter draining will not help unless the water has somewhere to go, such as a storm sewer or drain.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explained that the spring time water table in the wetlands surrounding the House is higher than the House and water will have to be hard piped off the property. He did not investigate where the White Pipe goes because it was not part of his scope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PDS incorporated into the contract of purchase and sale?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effect of the PDS?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guilty of fraudulent misrepresentation?</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guilty of negligent misrepresentation?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contract of purchase and sale?</w:t>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have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determination of these issues revolves around what the defendants knew about the water seepage and ingress issues on April 3, 2016, when they listed the House for sale and signed the PDS, and whether they should have notified the plaintiffs of the July 9, 2016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claim that the defendants knew the water ingress problem was not properly remediated and fraudulently and/or negligently misrepresented the flooding problem by minimizing the issue and by stating that it had been fixed. They also improperly failed to report the July 9, 2016 Event by brushing it off as a non-event.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say that because the lack of disclosure was deliberate, the defendants are guilty of fraudulent misrepresentation and the plaintiffs have suffered damages as a consequence. They claim the diminution of value of the House as a result of the flooding issues, or alternatively, the cost of raising the House by one metre and making the other repairs recommended in the Anderson Report. Their claimed damages are based on the various quotes the plaintiffs have obtained for the cost of implementing Ms. Anderson's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defendants respond that they did not misrepresent any fact, fraudulently, negligently or otherwise. They say that the House is over forty years old and that unless they deliberately or negligently failed to disclose something they should have,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applies to the Contract: </w:t>
      </w:r>
      <w:r>
        <w:rPr>
          <w:rFonts w:ascii="arial" w:eastAsia="arial" w:hAnsi="arial" w:cs="arial"/>
          <w:i/>
          <w:color w:val="000000"/>
          <w:sz w:val="20"/>
          <w:lang w:val="en-US" w:eastAsia="en-US" w:bidi="ar-SA"/>
        </w:rPr>
        <w:t>Nixon v. MacIver</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2016 BCCA 8</w:t>
        </w:r>
      </w:hyperlink>
      <w:r>
        <w:rPr>
          <w:rFonts w:ascii="arial" w:eastAsia="arial" w:hAnsi="arial" w:cs="arial"/>
          <w:color w:val="000000"/>
          <w:sz w:val="20"/>
          <w:lang w:val="en-US" w:eastAsia="en-US" w:bidi="ar-SA"/>
        </w:rPr>
        <w:t xml:space="preserve"> at para. 47. They say that the plaintiffs' claims ought to be dismissed in their entirety. They say that they effectively addressed and resolved the flooding issue by installing a sump pump and drainage system. They say that the statement in the PDS that there was some seepage recently on basement floor and that it had been rectified by the installation of a sump pump and drain tile at back of house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Respecting the July 9, 2016 Event, they say that the wet carpet must have been caused by a water spill of some kind and not the because of a re-occurrence of water seeping through cracks in the basement floor. They say that the Tenants likely staged the event because they were upset with the defendants and it was not something that they were contractually required to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its simplest form, this case is about what the defendants knew or should have known about the water ingress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Unless a vendor i) fraudulently misrepresents or conceals; ii) knows of a latent defect rendering the home unfit to inhabit; iii) is reckless as to the truth or falsity of statements about the fitness of the house; or iv) breaches the duty to disclose a dangerous latent defect, the onus remains on the purchaser to satisfy him or herself of the quality of the property being sold: </w:t>
      </w:r>
      <w:r>
        <w:rPr>
          <w:rFonts w:ascii="arial" w:eastAsia="arial" w:hAnsi="arial" w:cs="arial"/>
          <w:i/>
          <w:color w:val="000000"/>
          <w:sz w:val="20"/>
          <w:lang w:val="en-US" w:eastAsia="en-US" w:bidi="ar-SA"/>
        </w:rPr>
        <w:t>Cardwell v. Perthen</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2007 BCCA 313</w:t>
        </w:r>
      </w:hyperlink>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When a latent defect as opposed to a patent defect is in issue, the disclosure obligations of a vendor may be enhanced. See: </w:t>
      </w:r>
      <w:r>
        <w:rPr>
          <w:rFonts w:ascii="arial" w:eastAsia="arial" w:hAnsi="arial" w:cs="arial"/>
          <w:i/>
          <w:color w:val="000000"/>
          <w:sz w:val="20"/>
          <w:lang w:val="en-US" w:eastAsia="en-US" w:bidi="ar-SA"/>
        </w:rPr>
        <w:t>Cardwell v. Perthen</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2006 BCSC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McCluskie v. Reynolds</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(1998), 65 B.C.L.R. (3d) 191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considering the distinction between patent and latent defects and the issue of disclosure, Justice Ballance wrote in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The distinction between patent and latent defects is central to a vendor's obligation of disclosure under the doctrine. Patent defects are those that can be discovered by conducting a reasonable inspection and making reasonable inquiries about the property. The authorities provide some guidance about the extent of the purchaser's obligation to inspect and make inquiries. The extent of that obligation is, in some respects, the demarcation of the distinction between latent and patent defects. In general, there is a fairly high onus on the purchaser to inspect and discover patent defects. This means that a defect which might not be observable on a casual inspection may nonetheless be patent if it would have been discoverable upon a reasonable inspection by a qualified person: </w:t>
      </w:r>
      <w:r>
        <w:rPr>
          <w:rFonts w:ascii="arial" w:eastAsia="arial" w:hAnsi="arial" w:cs="arial"/>
          <w:i/>
          <w:color w:val="000000"/>
          <w:sz w:val="20"/>
          <w:lang w:val="en-US" w:eastAsia="en-US" w:bidi="ar-SA"/>
        </w:rPr>
        <w:t>44601 B.C. Ltd. v. Ashcroft (Village)</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[1998] B.C.J. No. 1964</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Bernstein v. James Dobney &amp; Associates</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2003 BCSC 986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Bernstein</w:t>
      </w:r>
      <w:r>
        <w:rPr>
          <w:rFonts w:ascii="arial" w:eastAsia="arial" w:hAnsi="arial" w:cs="arial"/>
          <w:color w:val="000000"/>
          <w:sz w:val="20"/>
          <w:lang w:val="en-US" w:eastAsia="en-US" w:bidi="ar-SA"/>
        </w:rPr>
        <w:t xml:space="preserve">]. In some cases, it necessitates a purchaser retaining the appropriate experts to inspect the property (see for example </w:t>
      </w:r>
      <w:r>
        <w:rPr>
          <w:rFonts w:ascii="arial" w:eastAsia="arial" w:hAnsi="arial" w:cs="arial"/>
          <w:i/>
          <w:color w:val="000000"/>
          <w:sz w:val="20"/>
          <w:lang w:val="en-US" w:eastAsia="en-US" w:bidi="ar-SA"/>
        </w:rPr>
        <w:t>Eberts v. Aitchison</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(2000), 4 C.L.R. (3d) 248</w:t>
        </w:r>
      </w:hyperlink>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2000 BCSC 1103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Also, in </w:t>
      </w:r>
      <w:r>
        <w:rPr>
          <w:rFonts w:ascii="arial" w:eastAsia="arial" w:hAnsi="arial" w:cs="arial"/>
          <w:i/>
          <w:color w:val="000000"/>
          <w:sz w:val="20"/>
          <w:lang w:val="en-US" w:eastAsia="en-US" w:bidi="ar-SA"/>
        </w:rPr>
        <w:t>McCluskie</w:t>
      </w:r>
      <w:r>
        <w:rPr>
          <w:rFonts w:ascii="arial" w:eastAsia="arial" w:hAnsi="arial" w:cs="arial"/>
          <w:color w:val="000000"/>
          <w:sz w:val="20"/>
          <w:lang w:val="en-US" w:eastAsia="en-US" w:bidi="ar-SA"/>
        </w:rPr>
        <w:t xml:space="preserve"> at para. 54, Justice Bennett (as she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In conclusion, I find that although the law of vendor and purchaser has long relied on the principle of caveat emptor to distribute losses in real estate cases, the rule is not without exception. Two major exceptions are in the case of fraud, and in cases where the vendor is aware of latent defects which he does not disclose. The law also supports the imposition of a duty to disclose latent defects on the vendor where he is not subjectively aware of those defects, </w:t>
      </w:r>
      <w:r>
        <w:rPr>
          <w:rFonts w:ascii="arial" w:eastAsia="arial" w:hAnsi="arial" w:cs="arial"/>
          <w:color w:val="000000"/>
          <w:sz w:val="20"/>
          <w:u w:val="single"/>
          <w:lang w:val="en-US" w:eastAsia="en-US" w:bidi="ar-SA"/>
        </w:rPr>
        <w:t>but where he is reckless as to whether or not they exist</w:t>
      </w:r>
      <w:r>
        <w:rPr>
          <w:rFonts w:ascii="arial" w:eastAsia="arial" w:hAnsi="arial" w:cs="arial"/>
          <w:color w:val="000000"/>
          <w:sz w:val="20"/>
          <w:lang w:val="en-US" w:eastAsia="en-US" w:bidi="ar-SA"/>
        </w:rPr>
        <w:t>. It is up to the plaintiff to prove this degree of knowledge or recklessness.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mentioned earlier, the inquiry into whether the representations contained in the PDS were untrue, inaccurate, or misleading, requires an analysis of the circumstances that existed on April 3, 2016, when the PDS was signed. The focus is on the defendants' knowledge of the state of affairs at the time and whether, in all the circumstances, that knowledge reasonably permitted them to make the representations they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Alan Fillion is the Director of Public Works for the City of West Kelowna. He testified, and I accept, that there have been numerous challenges with ground water in the area of the House for many years, including ground water concerns from residents in the area. There is a series of ditches and road drains that are not "state-of-the-art" that are used for storm 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House is located in an older subdivision of West Kelowna with no modern curb and gutter system. The City has no plans to upgrade or install a proper storm drainage system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Tenants also testified. I will state at the outset that I accept the Tenants' evidence without hesitation. Ms. Matheson and Ms. Hebert both were calm, forthright and I find honest in giving their evidence. While they were both aligned more with the plaintiffs than the defendants, that alignment is attributable to their unhappiness with what they considered to be improper and untrue statements made by the defendants respecting the extent of the flooding in February and March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Tenants were both independent and had no stake in this action. Their testimony was not shaken on cross-examination. This finding applies to their evidence about the extent of the flooding that occurred in the February and March 2016 timeframe, and the July 9, 2016 Event. Contrary to the defendants' position, I conclude that they were not "taking sides". Nor were they "Chicken Little - the sky is falling" types of people as Mr. Cummings suggests. The defendants' descriptions of the Tenants do not fit with my assessment of them as witnesses, or with the text messages Ms. Matheson sent to Mrs. Cummings. They were mostly polite and accommodating. The Tenants displayed patience and sympathy for the defendants' situation throughout the February and March flooding, despite the obvious disruption to their own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Where the Tenants' evidence differs from that of the defendants, I accept the Tenants'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Tenants took photos of the initial water ingress. The defendants did not. The photos are telling and prove there was significant water entering the basement through cracks in the basement floor. The Tenants described the water at one point as "ankle deep" which, although I find to be somewhat of an exaggeration, makes the point, which I accept, that the flooding problem was significant. The problem was much larger than the defendants are prepared to admit. Either they understated the problem or turned a blind eye to the seriousness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evidence about what was going on from February to April 2016, is also inconsistent with the contemporaneous text messages between Ms. Matheson and Mrs. Cummings.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If the problem was as small as the defendants suggest, there would have been no need for the response and remediation that took place. The problem was obviously much larger that they were prepared to admit to a potential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are handy people. They have purchased, renovated and built numerous houses. Mr. Cummings in particular would have known that a drainage system was required around the perimeter of the House at the footings. His attempt at remediation by hand digging a trench around the foundation walls at the back of the House to below the footings disclosed that there was no drainage system present. With his background and knowledge, that should, and, I conclude, would have alerted him to the fact that installation of a proper drainage system was necessary. His attempt to solve the water ingress issue by putting in a drainage system that went into a drain that drained to an unknown place was not sufficient. At best it was a band aid solution to what he knew or ought to have known, was a much larger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conclude that the defendants knew the water ingress issue was far worse than they let on. They attempted to minimize the problem when they signed the PDS and when they testified. The fact that they had to rent two large carpet blower fans for five days, then remove all the carpet and underlay does not reconcile with their evidence of the minimal amount of water that came into the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ground water ingress issue was a latent defect of which the defendants were aware and had a duty to disclose. Their suggestion that "some seepage recently on basement floor" was "rectified" by installing the sump pump was a deliberate misrepresentation of the true state of affairs, calculated to mislead a potential buyer into thinking it was a minor issue when they knew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conclude that they did not disclose the water ingress issue for fear of it compromising the House's potential sale.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Was the PDS incorporated into the contract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Purchase Contract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Buyer(s) on or before May 31, 2016 approving the Property Disclosure Statement dated April 3, 2016 with respect to the information that reasonably may adversely affect the use or value of the property. If approved, such statement will be incorporated into and form part of this contract. This condition is for the sole benefit of the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plaintiffs approved the PDS before the deadline and it was therefore incorporated by reference into the terms of the Purchase Contract: </w:t>
      </w:r>
      <w:r>
        <w:rPr>
          <w:rFonts w:ascii="arial" w:eastAsia="arial" w:hAnsi="arial" w:cs="arial"/>
          <w:i/>
          <w:color w:val="000000"/>
          <w:sz w:val="20"/>
          <w:lang w:val="en-US" w:eastAsia="en-US" w:bidi="ar-SA"/>
        </w:rPr>
        <w:t>Hanslo v. Barry</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2011 BCSC 1624</w:t>
        </w:r>
      </w:hyperlink>
      <w:r>
        <w:rPr>
          <w:rFonts w:ascii="arial" w:eastAsia="arial" w:hAnsi="arial" w:cs="arial"/>
          <w:color w:val="000000"/>
          <w:sz w:val="20"/>
          <w:lang w:val="en-US" w:eastAsia="en-US" w:bidi="ar-SA"/>
        </w:rPr>
        <w:t xml:space="preserve"> at paras. 85-90.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effect of the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purpose of the PDS is to identify and put prospective purchasers on notice of any known problems, concerns or latent defects that would not easily be discoverable to a prospective purchaser: </w:t>
      </w:r>
      <w:r>
        <w:rPr>
          <w:rFonts w:ascii="arial" w:eastAsia="arial" w:hAnsi="arial" w:cs="arial"/>
          <w:i/>
          <w:color w:val="000000"/>
          <w:sz w:val="20"/>
          <w:lang w:val="en-US" w:eastAsia="en-US" w:bidi="ar-SA"/>
        </w:rPr>
        <w:t>Krawchuck v. Scherbak</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2011 ONCA 352</w:t>
        </w:r>
      </w:hyperlink>
      <w:r>
        <w:rPr>
          <w:rFonts w:ascii="arial" w:eastAsia="arial" w:hAnsi="arial" w:cs="arial"/>
          <w:color w:val="000000"/>
          <w:sz w:val="20"/>
          <w:lang w:val="en-US" w:eastAsia="en-US" w:bidi="ar-SA"/>
        </w:rPr>
        <w:t xml:space="preserve"> at para. 89. Vendors are not required to warrant a certain state of affairs but to identify issues with the property that they know about. In other words, the PDS is a representation as to their knowledge: </w:t>
      </w:r>
      <w:r>
        <w:rPr>
          <w:rFonts w:ascii="arial" w:eastAsia="arial" w:hAnsi="arial" w:cs="arial"/>
          <w:i/>
          <w:color w:val="000000"/>
          <w:sz w:val="20"/>
          <w:lang w:val="en-US" w:eastAsia="en-US" w:bidi="ar-SA"/>
        </w:rPr>
        <w:t>Nixon</w:t>
      </w:r>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Anderson v. Kibzey</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[1996] B.C.J. No. 3008</w:t>
        </w:r>
      </w:hyperlink>
      <w:r>
        <w:rPr>
          <w:rFonts w:ascii="arial" w:eastAsia="arial" w:hAnsi="arial" w:cs="arial"/>
          <w:color w:val="000000"/>
          <w:sz w:val="20"/>
          <w:lang w:val="en-US" w:eastAsia="en-US" w:bidi="ar-SA"/>
        </w:rPr>
        <w:t xml:space="preserve"> at paras. 13-14; </w:t>
      </w:r>
      <w:r>
        <w:rPr>
          <w:rFonts w:ascii="arial" w:eastAsia="arial" w:hAnsi="arial" w:cs="arial"/>
          <w:i/>
          <w:color w:val="000000"/>
          <w:sz w:val="20"/>
          <w:lang w:val="en-US" w:eastAsia="en-US" w:bidi="ar-SA"/>
        </w:rPr>
        <w:t>Zaenker v. Kirk</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(1999), 30 R.P.R. (3d) 9</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Kiraly v. Fuchs</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2009 BCSC 654</w:t>
        </w:r>
      </w:hyperlink>
      <w:r>
        <w:rPr>
          <w:rFonts w:ascii="arial" w:eastAsia="arial" w:hAnsi="arial" w:cs="arial"/>
          <w:color w:val="000000"/>
          <w:sz w:val="20"/>
          <w:lang w:val="en-US" w:eastAsia="en-US" w:bidi="ar-SA"/>
        </w:rPr>
        <w:t xml:space="preserve"> at paras. 47, 49; </w:t>
      </w:r>
      <w:r>
        <w:rPr>
          <w:rFonts w:ascii="arial" w:eastAsia="arial" w:hAnsi="arial" w:cs="arial"/>
          <w:i/>
          <w:color w:val="000000"/>
          <w:sz w:val="20"/>
          <w:lang w:val="en-US" w:eastAsia="en-US" w:bidi="ar-SA"/>
        </w:rPr>
        <w:t>Roberts v. Hutton</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2013 BCSC 640</w:t>
        </w:r>
      </w:hyperlink>
      <w:r>
        <w:rPr>
          <w:rFonts w:ascii="arial" w:eastAsia="arial" w:hAnsi="arial" w:cs="arial"/>
          <w:color w:val="000000"/>
          <w:sz w:val="20"/>
          <w:lang w:val="en-US" w:eastAsia="en-US" w:bidi="ar-SA"/>
        </w:rPr>
        <w:t xml:space="preserve"> at para.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defendants had an obligation to correctly and honestly disclose the ground water and water ingress issues respecting the House's basement. Instead, they represented that they were not "aware of any moisture and/or water problems in the walls, basement or crawl space" and that the water seepage in the basement floor was rectified by installing a sump pump and drain tile at the back of the house. These were representations upon which the plaintiffs not only could, but did 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Duncan has been the defendants' realtor for about 12 years. He and his wife have been involved in previous property purchases/sales on the defendants' behalf. The defendants attempted to deflect their representations in the PDS to their realtors stating that they wrote on the PDS what the realtors said to write.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conclude that the defendants minimized and misrepresented the issue to Mr. Duncan and his wife. Mr. Duncan advised the defendants to seek legal advice respecting the PDS to ensure the water issue was adequately disclosed. The fact that Mr. Duncan recommended the defendants seek legal advice on what disclosure should be made in the PDS is telling. I infer that the water ingress issue was more serious than they were letting on to Mr. Duncan and to the lawyer they spoke to about it. I have already concluded that the defendants wanted to sell the House and did not want to scare away potential purchasers. They knew that if they disclosed the true nature of what happened, the House would probably not be saleable. The fact that they told the Tenants not to mention the flooding issue to any prospective purchasers is also telling.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is true that the PDS stated that, notwithstanding the information contained in it, the plaintiffs were to make their own inquiries. It suggests that the sellers' knowledge may be incomplete and alerts prospective purchasers that the information in the PDS may in some way be lacking. They argue that both the PDS and the Home Inspection Report contained "clues" that the plaintiffs should have followed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disagree. This warning does not absolve the defendants from liability for misrepresentations or misstatements in the PDS. Nor does the PDS create a duty on the purchasers to challenge the vendor's honesty and forthrightness: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at paras. 85 and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Neither the plaintiffs nor the home inspector identified any water ingress or water seepage issues prior to the subject removal on May 31, 2016. A home inspection is not intended to find latent defects. Where a PDS has been prepared, the purchasers are entitled to rely accuracy of the representations contained in it: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at para. 89. They were not required to go behind its representations. Given Ms. Brunning's familiarity with water ingress and water damage issues, had there been anything to see I am satisfied she would have seen it. Likewise, Mr. Brown, who I am satisfied is a qualified home inspector, would also have seen any patent water ingress issues had they been present.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Are the defendants guilty of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context of a real estate sales transaction, in order for the plaintiffs to prove fraud, they must establish five things:</w:t>
      </w:r>
      <w:r>
        <w:rPr>
          <w:rFonts w:ascii="arial" w:eastAsia="arial" w:hAnsi="arial" w:cs="arial"/>
          <w:sz w:val="20"/>
          <w:lang w:val="en-US" w:eastAsia="en-US" w:bidi="ar-SA"/>
        </w:rPr>
        <w:cr/>
      </w:r>
    </w:p>
    <w:p>
      <w:pPr>
        <w:numPr>
          <w:numId w:val="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made a representation of fact to them;</w:t>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was false;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that the representation was false when they made it, or that they made it recklessly, not knowing if it was true or false;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intended the plaintiffs to act on the representation;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were induced to enter into the Purchase Contract in reliance on the false representation and suffered a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Wang v. Shao</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2018 BCSC 377</w:t>
        </w:r>
      </w:hyperlink>
      <w:r>
        <w:rPr>
          <w:rFonts w:ascii="arial" w:eastAsia="arial" w:hAnsi="arial" w:cs="arial"/>
          <w:color w:val="000000"/>
          <w:sz w:val="20"/>
          <w:lang w:val="en-US" w:eastAsia="en-US" w:bidi="ar-SA"/>
        </w:rPr>
        <w:t xml:space="preserve"> at para. 196, citing </w:t>
      </w:r>
      <w:r>
        <w:rPr>
          <w:rFonts w:ascii="arial" w:eastAsia="arial" w:hAnsi="arial" w:cs="arial"/>
          <w:i/>
          <w:color w:val="000000"/>
          <w:sz w:val="20"/>
          <w:lang w:val="en-US" w:eastAsia="en-US" w:bidi="ar-SA"/>
        </w:rPr>
        <w:t>Hamilton v. Callaway</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2016 BCCA 189</w:t>
        </w:r>
      </w:hyperlink>
      <w:r>
        <w:rPr>
          <w:rFonts w:ascii="arial" w:eastAsia="arial" w:hAnsi="arial" w:cs="arial"/>
          <w:color w:val="000000"/>
          <w:sz w:val="20"/>
          <w:lang w:val="en-US" w:eastAsia="en-US" w:bidi="ar-SA"/>
        </w:rPr>
        <w:t xml:space="preserve"> at para. 25 and </w:t>
      </w:r>
      <w:r>
        <w:rPr>
          <w:rFonts w:ascii="arial" w:eastAsia="arial" w:hAnsi="arial" w:cs="arial"/>
          <w:i/>
          <w:color w:val="000000"/>
          <w:sz w:val="20"/>
          <w:lang w:val="en-US" w:eastAsia="en-US" w:bidi="ar-SA"/>
        </w:rPr>
        <w:t>Van Beek v. Dodd</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2010 BCSC 1639</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An incomplete representation of a material fact may be sufficient to establish the falsehood. In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the Court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[205] An incomplete representation of material facts may amount to an actionable falsehood: </w:t>
      </w:r>
      <w:r>
        <w:rPr>
          <w:rFonts w:ascii="arial" w:eastAsia="arial" w:hAnsi="arial" w:cs="arial"/>
          <w:i/>
          <w:color w:val="000000"/>
          <w:sz w:val="20"/>
          <w:lang w:val="en-US" w:eastAsia="en-US" w:bidi="ar-SA"/>
        </w:rPr>
        <w:t>Van Beek</w:t>
      </w:r>
      <w:r>
        <w:rPr>
          <w:rFonts w:ascii="arial" w:eastAsia="arial" w:hAnsi="arial" w:cs="arial"/>
          <w:color w:val="000000"/>
          <w:sz w:val="20"/>
          <w:lang w:val="en-US" w:eastAsia="en-US" w:bidi="ar-SA"/>
        </w:rPr>
        <w:t xml:space="preserve"> at para.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[206] As Fenlon J., as she then was, stated in </w:t>
      </w:r>
      <w:r>
        <w:rPr>
          <w:rFonts w:ascii="arial" w:eastAsia="arial" w:hAnsi="arial" w:cs="arial"/>
          <w:i/>
          <w:color w:val="000000"/>
          <w:sz w:val="20"/>
          <w:lang w:val="en-US" w:eastAsia="en-US" w:bidi="ar-SA"/>
        </w:rPr>
        <w:t>Battrum v. MacKenzie Estate</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2010 BCSC 1285</w:t>
        </w:r>
      </w:hyperlink>
      <w:r>
        <w:rPr>
          <w:rFonts w:ascii="arial" w:eastAsia="arial" w:hAnsi="arial" w:cs="arial"/>
          <w:color w:val="000000"/>
          <w:sz w:val="20"/>
          <w:lang w:val="en-US" w:eastAsia="en-US" w:bidi="ar-SA"/>
        </w:rPr>
        <w:t xml:space="preserve"> at para.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 . . In S.M. Waddams, </w:t>
      </w:r>
      <w:r>
        <w:rPr>
          <w:rFonts w:ascii="arial" w:eastAsia="arial" w:hAnsi="arial" w:cs="arial"/>
          <w:i/>
          <w:color w:val="000000"/>
          <w:sz w:val="20"/>
          <w:lang w:val="en-US" w:eastAsia="en-US" w:bidi="ar-SA"/>
        </w:rPr>
        <w:t>The Law of Contracts</w:t>
      </w:r>
      <w:r>
        <w:rPr>
          <w:rFonts w:ascii="arial" w:eastAsia="arial" w:hAnsi="arial" w:cs="arial"/>
          <w:color w:val="000000"/>
          <w:sz w:val="20"/>
          <w:lang w:val="en-US" w:eastAsia="en-US" w:bidi="ar-SA"/>
        </w:rPr>
        <w:t>, 5th ed. (Toronto: Canadian Law Book Inc., 1999), Professor Waddams suggests at para. 436 that an incomplete representation may amount to an actionable falsehood: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 . An incomplete statement may be as misleading as a false one, and such half-truths have frequently been treated as legally significant misrepresentations. Almost always something is said to induce the transaction and it is open to the court to hold that the concealment of the material facts can, when taken with general statements, true in themselves but incomplete, turn those statements into misrepresentations.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It is sufficient that the false representation was "a" material inducement upon which the plaintiffs relied. It does not need to be "the" inducement. If full and accurate disclosure of the water ingress issue would have given the plaintiffs pause to investigate further and perhaps not purchase the House, the fifth element of inducement to enter into the purchase contract is established: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xml:space="preserve"> at para.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defendants knew the water was a potential issue and that water ingress would be a significant concern to prospective purchasers. They completed and signed the PDS, without honestly believing that the basement flooding issue was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accept that the plaintiffs relied on the accuracy of the representations contained in the PDS in deciding to purchase the House. Although Mr. Brown's home inspection report identified potential problems with the slope of the yard, it did not note any specific issues respecting water ingress into the basement. The recent flooding in the basement was not readily apparent to someone conducting a walk-through inspection of the House.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Are the defendants guilty of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have already concluded that the defendants fraudulently misrepresented the water ingress issue on the PDS. It is therefore not necessary to deal with the plaintiff's negligent misrepresentation arguments to dispose of this matter. However, in the event that I am wrong, I would also find that the defendants negligently misrepresented the water ingress issue on the PDS, based on the following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To establish that the defendants negligently misrepresented the condition of the House, the plaintiffs must prove on a balance of probabilities that the representations in the PDS were (1) untrue, inaccurate or misleading; and also (2) that they were negligently made. See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xml:space="preserve"> at paras. 108-109.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standard against which the defendants' representations must be assessed is that of a reasonably objective person having that knowledge. See </w:t>
      </w:r>
      <w:r>
        <w:rPr>
          <w:rFonts w:ascii="arial" w:eastAsia="arial" w:hAnsi="arial" w:cs="arial"/>
          <w:i/>
          <w:color w:val="000000"/>
          <w:sz w:val="20"/>
          <w:lang w:val="en-US" w:eastAsia="en-US" w:bidi="ar-SA"/>
        </w:rPr>
        <w:t>Zaenker</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For the plaintiffs to ground a claim in negligent misrepresentation, they must prove five elements:</w:t>
      </w:r>
      <w:r>
        <w:rPr>
          <w:rFonts w:ascii="arial" w:eastAsia="arial" w:hAnsi="arial" w:cs="arial"/>
          <w:sz w:val="20"/>
          <w:lang w:val="en-US" w:eastAsia="en-US" w:bidi="ar-SA"/>
        </w:rPr>
        <w:cr/>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based on a "special relationship" between them and the defendants;</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untrue, inaccurate or misleading;</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must have acted negligently in making the representation;</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relied on the negligent misrepresentation and that reliance was reasonable in the circumstances; and</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relied on the negligent misrepresentation to their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Queen v. Cognos</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Elements one, four and five can be easily disposed of. The PDS itself satisfies the requirement of "special relationship". The fact that the plaintiffs obtained a home inspection does not negate reliance on the PDS. They can rely on the accuracy of the PDS regardless of having a home inspection performed: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xml:space="preserve"> at paras 124-125. They were entitled to rely on it as accurate to the best of the defendants' knowledge: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xml:space="preserve"> at paras. 109 and 127. The plaintiffs had no duty to challenge or question the defendants' honesty and forthrightness for latent defects: </w:t>
      </w:r>
      <w:r>
        <w:rPr>
          <w:rFonts w:ascii="arial" w:eastAsia="arial" w:hAnsi="arial" w:cs="arial"/>
          <w:i/>
          <w:color w:val="000000"/>
          <w:sz w:val="20"/>
          <w:lang w:val="en-US" w:eastAsia="en-US" w:bidi="ar-SA"/>
        </w:rPr>
        <w:t>Krawchuck</w:t>
      </w:r>
      <w:r>
        <w:rPr>
          <w:rFonts w:ascii="arial" w:eastAsia="arial" w:hAnsi="arial" w:cs="arial"/>
          <w:color w:val="000000"/>
          <w:sz w:val="20"/>
          <w:lang w:val="en-US" w:eastAsia="en-US" w:bidi="ar-SA"/>
        </w:rPr>
        <w:t xml:space="preserve"> at para.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Respecting the second element, I have already found that the representation that the water "seepage" issues were fixed,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Respecting the third element, whether or not the defendants acted negligently in making the representation, the standard against which the defendants' conduct is to be assessed it that of reasonable persons having the knowledge the defendants did. The PDS contained a provision stating that the defendants were responsible for the accuracy of the answers to the questions set out in it. Knowingly making an inaccurate or misleading statement under such condition is, in my view,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at para. 122. Reasonable people in the defendants' shoes, knowing the nature of the ground water and water ingress issues would have sought and obtained advice from a ground water professional, such as a geotechnical engineer, to properly remediate the problem. The solution they chose was, at best, a temporary band-aid that did not "fix"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Respecting the fourth element, I have concluded that the plaintiffs relied on the statements in the PDS that the defendants were not aware of any moisture or water issues and that the "seepage" issue had been resolved. This was not a "seepage" issue, it was a ground water drainage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Contract of Purchase and Sale provided for representations and warranties as follows:</w:t>
      </w:r>
      <w:r>
        <w:rPr>
          <w:rFonts w:ascii="arial" w:eastAsia="arial" w:hAnsi="arial" w:cs="arial"/>
          <w:sz w:val="20"/>
          <w:lang w:val="en-US" w:eastAsia="en-US" w:bidi="ar-SA"/>
        </w:rPr>
        <w:cr/>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REPRESENTATIONS AND WARRANTIES:</w:t>
      </w:r>
      <w:r>
        <w:rPr>
          <w:rFonts w:ascii="arial" w:eastAsia="arial" w:hAnsi="arial" w:cs="arial"/>
          <w:color w:val="000000"/>
          <w:sz w:val="20"/>
          <w:lang w:val="en-US" w:eastAsia="en-US" w:bidi="ar-SA"/>
        </w:rPr>
        <w:t xml:space="preserve"> There are no representations, warranties, guarantees, promises or agreements other than those set out in this Contract and the representations contained in the Property Disclosure Statement if incorporated into and forming part of this Contract, all of which will survive the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defendants argue that this clause is what is known as "an entire agreement" clause which excludes any ability for the plaintiffs to make a tort claim for negligent misrepresentation: </w:t>
      </w:r>
      <w:r>
        <w:rPr>
          <w:rFonts w:ascii="arial" w:eastAsia="arial" w:hAnsi="arial" w:cs="arial"/>
          <w:i/>
          <w:color w:val="000000"/>
          <w:sz w:val="20"/>
          <w:lang w:val="en-US" w:eastAsia="en-US" w:bidi="ar-SA"/>
        </w:rPr>
        <w:t>No. 2002 Taurus Ventures Ltd. v. Intrawest Corp.</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2007 BCCA 228</w:t>
        </w:r>
      </w:hyperlink>
      <w:r>
        <w:rPr>
          <w:rFonts w:ascii="arial" w:eastAsia="arial" w:hAnsi="arial" w:cs="arial"/>
          <w:color w:val="000000"/>
          <w:sz w:val="20"/>
          <w:lang w:val="en-US" w:eastAsia="en-US" w:bidi="ar-SA"/>
        </w:rPr>
        <w:t xml:space="preserve"> at paras. 36-60; </w:t>
      </w:r>
      <w:r>
        <w:rPr>
          <w:rFonts w:ascii="arial" w:eastAsia="arial" w:hAnsi="arial" w:cs="arial"/>
          <w:i/>
          <w:color w:val="000000"/>
          <w:sz w:val="20"/>
          <w:lang w:val="en-US" w:eastAsia="en-US" w:bidi="ar-SA"/>
        </w:rPr>
        <w:t>Meslin v. Lee</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2011 BCSC 1208</w:t>
        </w:r>
      </w:hyperlink>
      <w:r>
        <w:rPr>
          <w:rFonts w:ascii="arial" w:eastAsia="arial" w:hAnsi="arial" w:cs="arial"/>
          <w:color w:val="000000"/>
          <w:sz w:val="20"/>
          <w:lang w:val="en-US" w:eastAsia="en-US" w:bidi="ar-SA"/>
        </w:rPr>
        <w:t xml:space="preserve"> at paras. 102-104.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my view, those cases are distinguishable to the facts in this case because the PDS was part of the Purchase Contract by incorporation.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Accordingly, I find that the defendants were negligent in making the representations.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Did the defendants breach the purchase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have already found that the PDS was incorporated into the Purchase Contract. The defendants misrepresented the state of affairs when they filled out and signed the PDS which was later incorporated into the Purchase Contract. The defendants failed to inform the plaintiffs of the July 9, 2016 Event and by so doing, were in breach of their ongoing disclosure obligations as set out in the PDS and incorporated into the Purchase Contract. Effectively, the defendants turned a blind eye to the water ingress issue in the hope that their makeshift remediation efforts were sufficient.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What damages have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fundamental principle when fixing damages for loss of property is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The aim is to place the injured party in the same position as before the conduct that caused the loss: </w:t>
      </w:r>
      <w:r>
        <w:rPr>
          <w:rFonts w:ascii="arial" w:eastAsia="arial" w:hAnsi="arial" w:cs="arial"/>
          <w:i/>
          <w:color w:val="000000"/>
          <w:sz w:val="20"/>
          <w:lang w:val="en-US" w:eastAsia="en-US" w:bidi="ar-SA"/>
        </w:rPr>
        <w:t>Taylor v. King</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82 B.C.L.R. (2d) 108</w:t>
        </w:r>
      </w:hyperlink>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plaintiffs say that, to be placed into the same position they would have been in had the representation in the PDS been true, they should recover the diminution in value of the House due to the water issues: </w:t>
      </w:r>
      <w:r>
        <w:rPr>
          <w:rFonts w:ascii="arial" w:eastAsia="arial" w:hAnsi="arial" w:cs="arial"/>
          <w:i/>
          <w:color w:val="000000"/>
          <w:sz w:val="20"/>
          <w:lang w:val="en-US" w:eastAsia="en-US" w:bidi="ar-SA"/>
        </w:rPr>
        <w:t>Gordon v. Krieg</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2013 BCSC 842</w:t>
        </w:r>
      </w:hyperlink>
      <w:r>
        <w:rPr>
          <w:rFonts w:ascii="arial" w:eastAsia="arial" w:hAnsi="arial" w:cs="arial"/>
          <w:color w:val="000000"/>
          <w:sz w:val="20"/>
          <w:lang w:val="en-US" w:eastAsia="en-US" w:bidi="ar-SA"/>
        </w:rPr>
        <w:t xml:space="preserve"> at para. 196. They argue that the diminution in value of the House is the correct measure of damages: </w:t>
      </w:r>
      <w:r>
        <w:rPr>
          <w:rFonts w:ascii="arial" w:eastAsia="arial" w:hAnsi="arial" w:cs="arial"/>
          <w:i/>
          <w:color w:val="000000"/>
          <w:sz w:val="20"/>
          <w:lang w:val="en-US" w:eastAsia="en-US" w:bidi="ar-SA"/>
        </w:rPr>
        <w:t>Ban v. Keleher</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2017 BCSC 1132</w:t>
        </w:r>
      </w:hyperlink>
      <w:r>
        <w:rPr>
          <w:rFonts w:ascii="arial" w:eastAsia="arial" w:hAnsi="arial" w:cs="arial"/>
          <w:color w:val="000000"/>
          <w:sz w:val="20"/>
          <w:lang w:val="en-US" w:eastAsia="en-US" w:bidi="ar-SA"/>
        </w:rPr>
        <w:t xml:space="preserve"> at paras. 69-71.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They rely on Mr. Chambers' appraisals valuing the House, if it had no issues, at $390,000 as at May 31, 2016. Next, relying on Mr. Johnson's quote of $299,250 to repair the House as recommended by Ms. Anderson, Mr. Chambers values the House "as is" at $90,000. Mr. Chambers next deducts 10% of the value of the House ($30,000) for profit leaving an "as is" value of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plaintiffs say that they purchased the House for $371,000, but that the actual value was $60,000. They seek damages for the difference, $311,000. They assert that this formula is similar to the assessment of damages accepted in </w:t>
      </w:r>
      <w:r>
        <w:rPr>
          <w:rFonts w:ascii="arial" w:eastAsia="arial" w:hAnsi="arial" w:cs="arial"/>
          <w:i/>
          <w:color w:val="000000"/>
          <w:sz w:val="20"/>
          <w:lang w:val="en-US" w:eastAsia="en-US" w:bidi="ar-SA"/>
        </w:rPr>
        <w:t>Gordon</w:t>
      </w:r>
      <w:r>
        <w:rPr>
          <w:rFonts w:ascii="arial" w:eastAsia="arial" w:hAnsi="arial" w:cs="arial"/>
          <w:color w:val="000000"/>
          <w:sz w:val="20"/>
          <w:lang w:val="en-US" w:eastAsia="en-US" w:bidi="ar-SA"/>
        </w:rPr>
        <w:t xml:space="preserve"> at para. 197, "to take into account the stigma and uncertainties inherent in the purchase of a damaged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Alternatively, the plaintiffs seek damages for the cost of raising the House by one metre, installation of a perimeter drainage system and the remediation/replacement of the driveway, landscaping and fencing that would be needed afterwards. These measures, they say, were recommended in the Anderson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amount claimed by the plaintiffs is based on various quotations they obtained, mostly in 2017, which are now somewhat dated. Quotations for repair costs can be accepted as the cost of repair: </w:t>
      </w:r>
      <w:r>
        <w:rPr>
          <w:rFonts w:ascii="arial" w:eastAsia="arial" w:hAnsi="arial" w:cs="arial"/>
          <w:i/>
          <w:color w:val="000000"/>
          <w:sz w:val="20"/>
          <w:lang w:val="en-US" w:eastAsia="en-US" w:bidi="ar-SA"/>
        </w:rPr>
        <w:t>Davies v. City of Calgary</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2010 ABQB 813</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contractors who were asked to give quotations testified. They based their quotations on their site visits and on Ms. Anderson's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Albert Blackwell of Blackwell Building Movers provided a quote to raise the house by 3-4 feet, which would allow another contractor to increase the foundation walls as recommended by Ms. Anderson, and then place the house on the new foundation walls. His quote, dated May 10, 2017, is for $13,272 including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Evan Sigalas has been a plumbing and heating contractor since 2005. He has owned King Rooter Plumbing Inc. since 2011. He is also Ms. Brunning's previous partner and father of their son. He continues to pay child support to Ms. Brunning. They are on reasonably good terms and have a relationship that allows for civil communications. Ms. Brunning asked him to quote the cost of remediating the property as recommended by Ms. Anderson. His quote, dated January 14, 2019, is for $95,000 and includes construction of a retaining wall, excavation and installation of a perimeter foundation drainage system, a sump well, basement sump pump and directing any water collected to either a City of West Kelowna storm drain system or elsewhere. He was not prepared to give the plaintiffs a "family discount". He expected that his profit on the job would be in the neighbourhood of 15%. Because his quote was only valid for 30 days, it would have to be updated.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Lance Johnson owns BC Concrete and Basement Repairs. He has 45 years experience in the concrete and basement repair business. On July 12, 2017, he provided a "budget" for lifting the House, raising the foundation walls and restoring the house on the new foundation, including all related work, based on Ms. Anderson's recommendations. The ball park cost for doing the work was $285,000 plus GST. It was a budget because it was impossible for him to be precise because there were so many unknowns involved in the project. He did the best he could to let the plaintiffs know what the "ball park" cost would be. He stated that it could go up as high as $400,000 (if pilings were required), but all things considered, knowing what he knows, he feels comfortable that the $285,000 estimate was close to what the remediation costs would be. The budget included provisions for the plaintiffs to move out of the House, lifting the house, adding one metre to the foundation walls, pouring a new basement slab, setting the house back on the new foundation, installing a new drainage system including drain tile and drain rock, a new block retaining wall at the front of the House, backfilling and restoring the basement to the condition it was before the spring 2017 flooding. It also included landscaping to rough grade sufficient to ensure ground water and rain runs away from the House. It did not include the cost of new sod or replacing the concrete driveway that would be damaged because of the trucks and other heavy equipment that would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 reasonable solution is required. In cases of this sort, the cost of repairs can be an appropriate measure to adopt provided there is well-defined evidence on which to found an award of damages: </w:t>
      </w:r>
      <w:r>
        <w:rPr>
          <w:rFonts w:ascii="arial" w:eastAsia="arial" w:hAnsi="arial" w:cs="arial"/>
          <w:i/>
          <w:color w:val="000000"/>
          <w:sz w:val="20"/>
          <w:lang w:val="en-US" w:eastAsia="en-US" w:bidi="ar-SA"/>
        </w:rPr>
        <w:t>514953 B.C. Ltd, dba Gold Key Construction and Chiu v. Leung</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2007 BCCA 114</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have concluded that installing a perimeter drainage system around the footings that drains into the White Pipe will solve the issue. There is no conclusive evidence that the White Pipe drains into a sewer system, into a rock pit on the property or elsewhere. Where it goes is unclear and unproven. The best evidence before me is that it is capable of handling substantial volumes of water from the Sump Pump that runs during the spring high ground water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evidence suggests that the cost of installing a perimeter drainage system is in the range of $130,000. In addition, the plaintiffs will incur costs of restoring the basement to the condition it was in before the March 2017 flooding occurred, including the cost of drywall, paint, baseboards and flooring. I have arrived at this amount based on the quotes provided by the plaintiffs for the necessary remediation work. I find the following quotes to be reasonable expenses for remediating the water ingress issue: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63" type="#_x0000_t75" style="width:408.75pt;height:107.25pt">
            <v:imagedata r:id="rId1010"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Given that quotations are not an exact science, I assess damages at $140,000.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plaintiffs also claim out-of-pocket expenses of $46,170.13, broken down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64" type="#_x0000_t75" style="width:409.5pt;height:237pt">
            <v:imagedata r:id="rId1011" o:title=""/>
          </v:shape>
        </w:pict>
      </w:r>
      <w:r>
        <w:rPr>
          <w:rFonts w:ascii="arial" w:eastAsia="arial" w:hAnsi="arial" w:cs="arial"/>
          <w:sz w:val="20"/>
          <w:lang w:val="en-US" w:eastAsia="en-US" w:bidi="ar-SA"/>
        </w:rPr>
        <w:t xml:space="preserve">  </w:t>
      </w:r>
      <w:r>
        <w:pict>
          <v:shape id="_x0000_i1265" type="#_x0000_t75" style="width:411pt;height:302.25pt">
            <v:imagedata r:id="rId1012"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Save for the Hydraclean claim, I am satisfied that the plaintiffs have proven these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Hydraclean claim is what the plaintiffs say they would have been charged had they hired the plaintiffs' restoration services company. They did not in fact incur that expense. The time and effort they spent dealing with the water ingress in 2017 through 2019 will be compensated by way of their non-pecuniary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Accordingly, the plaintiffs are awarded special damages of $8,220.83 ($46,170.13 - $37,949.30).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plaintiffs further claim damages of $20,000 for the inconvenience, stress and loss of use of their basement since 2017, when they moved their family into the upstairs and their basement belongings to the storage container, and loss of use of their backyard.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plaintiffs are entitled to an award under this head of damages for the time, inconvenience, mental distress, and loss of enjoyment of the House including their inability to use the basement since the spring of 2017: </w:t>
      </w:r>
      <w:r>
        <w:rPr>
          <w:rFonts w:ascii="arial" w:eastAsia="arial" w:hAnsi="arial" w:cs="arial"/>
          <w:i/>
          <w:color w:val="000000"/>
          <w:sz w:val="20"/>
          <w:lang w:val="en-US" w:eastAsia="en-US" w:bidi="ar-SA"/>
        </w:rPr>
        <w:t>Khaira v. Nelson &amp; Lidder</w:t>
      </w:r>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2002 BCSC 1045</w:t>
        </w:r>
      </w:hyperlink>
      <w:r>
        <w:rPr>
          <w:rFonts w:ascii="arial" w:eastAsia="arial" w:hAnsi="arial" w:cs="arial"/>
          <w:color w:val="000000"/>
          <w:sz w:val="20"/>
          <w:lang w:val="en-US" w:eastAsia="en-US" w:bidi="ar-SA"/>
        </w:rPr>
        <w:t xml:space="preserve"> at paras. 63-67; </w:t>
      </w:r>
      <w:r>
        <w:rPr>
          <w:rFonts w:ascii="arial" w:eastAsia="arial" w:hAnsi="arial" w:cs="arial"/>
          <w:i/>
          <w:color w:val="000000"/>
          <w:sz w:val="20"/>
          <w:lang w:val="en-US" w:eastAsia="en-US" w:bidi="ar-SA"/>
        </w:rPr>
        <w:t>Mundell v. Wesbild Holdings Ltd.</w:t>
      </w:r>
      <w:r>
        <w:rPr>
          <w:rFonts w:ascii="arial" w:eastAsia="arial" w:hAnsi="arial" w:cs="arial"/>
          <w:color w:val="000000"/>
          <w:sz w:val="20"/>
          <w:lang w:val="en-US" w:eastAsia="en-US" w:bidi="ar-SA"/>
        </w:rPr>
        <w:t xml:space="preserve">, </w:t>
      </w:r>
      <w:hyperlink r:id="rId1014" w:history="1">
        <w:r>
          <w:rPr>
            <w:rFonts w:ascii="arial" w:eastAsia="arial" w:hAnsi="arial" w:cs="arial"/>
            <w:i/>
            <w:color w:val="0077CC"/>
            <w:sz w:val="20"/>
            <w:u w:val="single"/>
            <w:shd w:val="clear" w:color="auto" w:fill="FFFFFF"/>
            <w:lang w:val="en-US" w:eastAsia="en-US" w:bidi="ar-SA"/>
          </w:rPr>
          <w:t>2007 BCSC 1326</w:t>
        </w:r>
      </w:hyperlink>
      <w:r>
        <w:rPr>
          <w:rFonts w:ascii="arial" w:eastAsia="arial" w:hAnsi="arial" w:cs="arial"/>
          <w:color w:val="000000"/>
          <w:sz w:val="20"/>
          <w:lang w:val="en-US" w:eastAsia="en-US" w:bidi="ar-SA"/>
        </w:rPr>
        <w:t xml:space="preserve"> at paras. 59-63.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accept the plaintiffs' submissions and award the plaintiffs $20,000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plaintiffs rely on the principles set out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to claim punitive damages against the defendants. Despite my finding that the defendants improperly tried to minimize and hide the House's ground water issues, I decline to make an award under this head. The highhanded, callous, deceitful, and egregious conduct that would be required to ground a punitive damages claim is absent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plaintiffs succeed in their claim against the defendants for fraudulent misrepresentation, negligent misrepresentation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Respecting damages, the plaintiffs have proven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3764"/>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Remediation Costs: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$8,220.83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Damages:</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$20,000.00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3033"/>
        <w:gridCol w:w="271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DAMAGES: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$168,220.83</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Unless there are matters to which I am unaware, the plaintiffs are entitled to Scale B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6" style="position:absolute;z-index:2518620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Gearbulk Pool Ltd. v. Seaboard Shipping Co. (c.o.b. Seaboard International Shipping Co.), [2005] B.C.J. No. 2518</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Goodwin v. Goodwin, [2006] B.C.J. No. 395</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Graham v. Lee, [2004] B.C.J. No. 2052</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Intrawest Corp. v. Hart, [2002] B.C.J. No. 2816</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Martin v. Royal &amp; Sun Alliance Co. of Canada, [2014] I.L.R. para. I-5515</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Masik v. Reis, [2000] B.C.J. No. 1799</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Meade v. Armstrong (City), [2017] B.C.J. No. 2566</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Michener v. Doris, [2003] B.C.J. No. 2301</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Mocharski v. Young Men's Christian Assn. of Greater Vancouver, [2004] B.C.J. No. 1898</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Monych v. Beacon Community Services Society, [2009] B.C.J. No. 844</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Norman (Guardian ad litem of) v. McMillan, [2003] B.C.J. No. 2687</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Parsons v. Finch, [2001] B.C.J. No. 2732</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Bank of Canada v. Bruyneel &amp; Co., [2000] B.C.J. No. 381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Truax v. Hryb, [2017] B.C.J. No. 1218</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Avender v. Western Canadian Timber Products Ltd., [2018] B.C.J. No. 3340</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 News Enterprises Corp. v. Tai Li Enterprises Ltd. (c.o.b. Popular Video), [2003] B.C.J. No. 686</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Biggar v. Felker, [2002] B.C.J. No. 1528</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Century Services Corp. v. LeRoy, [2017] B.C.J. No. 2128</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Chamberlain v. Jodoin (c.o.b. D Marie Hair Co.), [2011] B.C.J. No. 1029</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Christensen (litigation guardian of) v. Gerber, [2007] B.C.J. No. 749</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Crossman (Litigation guardian of) v. Boiley, [2016] B.C.J. No. 1647</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Deacon v. Barron, [2008] B.C.J. No. 2577</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Dentech Products Inc. v. Demed Manufacturing Ltd., [2001] B.C.J. No. 207</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Elder v. Stewart, [2007] B.C.J. No. 85</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Engel v. Engel, [2000] B.C.J. No. 1794</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Gengenbacher v. Smith, [2016] B.C.J. No. 1337</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Knight v. Imperial Tobacco Canada Ltd., [2005] B.C.J. No. 216</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Lee Men International Enterprises Co. v. Siegle Properties BC Ltd., [2007] B.C.J. No. 1685</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Lorette v. Thorson Health Centre, [2008] B.C.J. No. 782</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Martinoff v. Martinoff, [2017] B.C.J. No. 228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Morris (Guardian ad litem of) v. Gentry, [2005] B.C.J. No. 1059</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Nash v. MacDougall, [2007] B.C.J. No. 838</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Northcott v. McEachern, [2007] B.C.J. No. 622</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Pacific Shower Doors (1995) Ltd. (c.o.b. Pacific Shower Doors) v. Osler, Hoskin &amp; Harcourt, LLP, [2011] B.C.J. No. 1910</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Payne v. Eagle Ridge Pontiac GMC Ltd., [2009] B.C.J. No. 819</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Reddy v. Element Fleet Management Inc., [2015] B.C.J. No. 564</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S.H., [2016] B.C.J. No. 401</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Sandhu v. HSBC Finance Mortgages Inc., [2017] B.C.J. No. 1013</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Sharbern Holding Inc. v. Vancouver Airport Centre Ltd., [2007] B.C.J. No. 1845</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Spencer v. Popham, [2010] B.C.J. No. 893</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BCS 1348 v. Travelers Guarantee Co. of Canada, [2014] B.C.J. No. 2027</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3851 v. Homer Street Development Limited Partnership, [2008] B.C.J. No. 1618</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Svangtun (Litigation guardian of) v. Pacific National Exhibition, [2019] B.C.J. No. 133</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Telford v. Maple Ridge &amp; Pitt Meadows School District No. 42, [2018] B.C.J. No. 6832</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T.J.A. (Litigation guardian of) v. R.K.M., [2011] B.C.J. No. 1169</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Whyte v. Morin, [2007] B.C.J. No. 1954</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469238 B.C. Ltd. (c.o.b. Lawrence Heights) v. Okanagan Aggregates Ltd. (c.o.b. Motoplex Speedway and Event Park), [2016] B.C.J. No. 829</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Ali v. Fineblit, [2015] B.C.J. No. 1823</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Basic v. Barjaktarovic Estate, [2019] B.C.J. No. 155</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Brunning v. Cummings, [2020] B.C.J. No. 36</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upp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2"/>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3"/>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2"/>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2"/>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3"/>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2"/>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e)"/>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3"/>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1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298."/>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6"/>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7"/>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2"/>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3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3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3"/>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4.9(i)"/>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2"/>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3"/>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4"/>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5"/>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6"/>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2"/>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3"/>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4"/>
      <w:numFmt w:val="lowerLetter"/>
      <w:lvlText w:val="(%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2"/>
      <w:numFmt w:val="lowerLetter"/>
      <w:lvlText w:val="(%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7"/>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3"/>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24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lowerLetter"/>
      <w:lvlText w:val="(%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decimal"/>
      <w:lvlText w:val="(b)"/>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3"/>
      <w:numFmt w:val="lowerLetter"/>
      <w:lvlText w:val="(%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4"/>
      <w:numFmt w:val="lowerLetter"/>
      <w:lvlText w:val="(%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6"/>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5"/>
      <w:numFmt w:val="lowerLetter"/>
      <w:lvlText w:val="(%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6"/>
      <w:numFmt w:val="lowerLetter"/>
      <w:lvlText w:val="(%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2"/>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1"/>
      <w:numFmt w:val="decimal"/>
      <w:lvlText w:val="(v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3"/>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1"/>
      <w:numFmt w:val="decimal"/>
      <w:lvlText w:val="(v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1"/>
      <w:numFmt w:val="decimal"/>
      <w:lvlText w:val="(v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1"/>
      <w:numFmt w:val="decimal"/>
      <w:lvlText w:val="(v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1"/>
      <w:numFmt w:val="decimal"/>
      <w:lvlText w:val="(ix)"/>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1"/>
      <w:numFmt w:val="decimal"/>
      <w:lvlText w:val="(x)"/>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4"/>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00000BE"/>
    <w:multiLevelType w:val="multilevel"/>
    <w:tmpl w:val="000000BE"/>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00000BF"/>
    <w:multiLevelType w:val="multilevel"/>
    <w:tmpl w:val="000000BF"/>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00000C0"/>
    <w:multiLevelType w:val="multilevel"/>
    <w:tmpl w:val="000000C0"/>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00F6118"/>
    <w:multiLevelType w:val="multilevel"/>
    <w:tmpl w:val="00000001"/>
    <w:lvl w:ilvl="0">
      <w:start w:val="1"/>
      <w:numFmt w:val="decimal"/>
      <w:lvlText w:val="3(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3A7D097"/>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07B3D49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0EE3D5E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19C2D5C5"/>
    <w:multiLevelType w:val="multilevel"/>
    <w:tmpl w:val="0000000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1BED0413"/>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1C25994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2017F5A9"/>
    <w:multiLevelType w:val="multilevel"/>
    <w:tmpl w:val="00000001"/>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2CCC7551"/>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2E3E444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30FBD6A9"/>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31EA2AF3"/>
    <w:multiLevelType w:val="multilevel"/>
    <w:tmpl w:val="00000001"/>
    <w:lvl w:ilvl="0">
      <w:start w:val="1"/>
      <w:numFmt w:val="lowerLetter"/>
      <w:lvlText w:val="(%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36205B3F"/>
    <w:multiLevelType w:val="multilevel"/>
    <w:tmpl w:val="00000001"/>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3F02604D"/>
    <w:multiLevelType w:val="multilevel"/>
    <w:tmpl w:val="00000001"/>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4408E52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447D3C6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4C55F4E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4CB871D7"/>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4E7A4C70"/>
    <w:multiLevelType w:val="multilevel"/>
    <w:tmpl w:val="00000001"/>
    <w:lvl w:ilvl="0">
      <w:start w:val="1"/>
      <w:numFmt w:val="decimal"/>
      <w:lvlText w:val="215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4FB3A5D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50A2BB14"/>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50EB1E1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510D3798"/>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5292409C"/>
    <w:multiLevelType w:val="multilevel"/>
    <w:tmpl w:val="0000000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5296C744"/>
    <w:multiLevelType w:val="multilevel"/>
    <w:tmpl w:val="00000001"/>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53E92E2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5587A4F1"/>
    <w:multiLevelType w:val="multilevel"/>
    <w:tmpl w:val="00000001"/>
    <w:lvl w:ilvl="0">
      <w:start w:val="1"/>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59C1BF73"/>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5DDA135A"/>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64B620C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6695CFEF"/>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68D2513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6A0AD2FB"/>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6BAEFE2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6E09FDA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7B1EDEF8"/>
    <w:multiLevelType w:val="multilevel"/>
    <w:tmpl w:val="00000001"/>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7B978D2D"/>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7FAA39E1"/>
    <w:multiLevelType w:val="multilevel"/>
    <w:tmpl w:val="00000001"/>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29"/>
  </w:num>
  <w:num w:numId="31">
    <w:abstractNumId w:val="200"/>
  </w:num>
  <w:num w:numId="32">
    <w:abstractNumId w:val="192"/>
  </w:num>
  <w:num w:numId="33">
    <w:abstractNumId w:val="216"/>
  </w:num>
  <w:num w:numId="34">
    <w:abstractNumId w:val="209"/>
  </w:num>
  <w:num w:numId="35">
    <w:abstractNumId w:val="217"/>
  </w:num>
  <w:num w:numId="36">
    <w:abstractNumId w:val="227"/>
  </w:num>
  <w:num w:numId="37">
    <w:abstractNumId w:val="194"/>
  </w:num>
  <w:num w:numId="38">
    <w:abstractNumId w:val="202"/>
  </w:num>
  <w:num w:numId="39">
    <w:abstractNumId w:val="214"/>
  </w:num>
  <w:num w:numId="40">
    <w:abstractNumId w:val="29"/>
  </w:num>
  <w:num w:numId="41">
    <w:abstractNumId w:val="30"/>
  </w:num>
  <w:num w:numId="42">
    <w:abstractNumId w:val="31"/>
  </w:num>
  <w:num w:numId="43">
    <w:abstractNumId w:val="32"/>
  </w:num>
  <w:num w:numId="44">
    <w:abstractNumId w:val="33"/>
  </w:num>
  <w:num w:numId="45">
    <w:abstractNumId w:val="206"/>
  </w:num>
  <w:num w:numId="46">
    <w:abstractNumId w:val="228"/>
  </w:num>
  <w:num w:numId="47">
    <w:abstractNumId w:val="34"/>
  </w:num>
  <w:num w:numId="48">
    <w:abstractNumId w:val="35"/>
  </w:num>
  <w:num w:numId="49">
    <w:abstractNumId w:val="36"/>
  </w:num>
  <w:num w:numId="50">
    <w:abstractNumId w:val="37"/>
  </w:num>
  <w:num w:numId="51">
    <w:abstractNumId w:val="38"/>
  </w:num>
  <w:num w:numId="52">
    <w:abstractNumId w:val="39"/>
  </w:num>
  <w:num w:numId="53">
    <w:abstractNumId w:val="40"/>
  </w:num>
  <w:num w:numId="54">
    <w:abstractNumId w:val="41"/>
  </w:num>
  <w:num w:numId="55">
    <w:abstractNumId w:val="226"/>
  </w:num>
  <w:num w:numId="56">
    <w:abstractNumId w:val="212"/>
  </w:num>
  <w:num w:numId="57">
    <w:abstractNumId w:val="221"/>
  </w:num>
  <w:num w:numId="58">
    <w:abstractNumId w:val="213"/>
  </w:num>
  <w:num w:numId="59">
    <w:abstractNumId w:val="223"/>
  </w:num>
  <w:num w:numId="60">
    <w:abstractNumId w:val="220"/>
  </w:num>
  <w:num w:numId="61">
    <w:abstractNumId w:val="198"/>
  </w:num>
  <w:num w:numId="62">
    <w:abstractNumId w:val="42"/>
  </w:num>
  <w:num w:numId="63">
    <w:abstractNumId w:val="43"/>
  </w:num>
  <w:num w:numId="64">
    <w:abstractNumId w:val="44"/>
  </w:num>
  <w:num w:numId="65">
    <w:abstractNumId w:val="45"/>
  </w:num>
  <w:num w:numId="66">
    <w:abstractNumId w:val="46"/>
  </w:num>
  <w:num w:numId="67">
    <w:abstractNumId w:val="47"/>
  </w:num>
  <w:num w:numId="68">
    <w:abstractNumId w:val="48"/>
  </w:num>
  <w:num w:numId="69">
    <w:abstractNumId w:val="49"/>
  </w:num>
  <w:num w:numId="70">
    <w:abstractNumId w:val="50"/>
  </w:num>
  <w:num w:numId="71">
    <w:abstractNumId w:val="51"/>
  </w:num>
  <w:num w:numId="72">
    <w:abstractNumId w:val="52"/>
  </w:num>
  <w:num w:numId="73">
    <w:abstractNumId w:val="53"/>
  </w:num>
  <w:num w:numId="74">
    <w:abstractNumId w:val="54"/>
  </w:num>
  <w:num w:numId="75">
    <w:abstractNumId w:val="55"/>
  </w:num>
  <w:num w:numId="76">
    <w:abstractNumId w:val="56"/>
  </w:num>
  <w:num w:numId="77">
    <w:abstractNumId w:val="57"/>
  </w:num>
  <w:num w:numId="78">
    <w:abstractNumId w:val="58"/>
  </w:num>
  <w:num w:numId="79">
    <w:abstractNumId w:val="59"/>
  </w:num>
  <w:num w:numId="80">
    <w:abstractNumId w:val="60"/>
  </w:num>
  <w:num w:numId="81">
    <w:abstractNumId w:val="61"/>
  </w:num>
  <w:num w:numId="82">
    <w:abstractNumId w:val="62"/>
  </w:num>
  <w:num w:numId="83">
    <w:abstractNumId w:val="63"/>
  </w:num>
  <w:num w:numId="84">
    <w:abstractNumId w:val="64"/>
  </w:num>
  <w:num w:numId="85">
    <w:abstractNumId w:val="65"/>
  </w:num>
  <w:num w:numId="86">
    <w:abstractNumId w:val="66"/>
  </w:num>
  <w:num w:numId="87">
    <w:abstractNumId w:val="67"/>
  </w:num>
  <w:num w:numId="88">
    <w:abstractNumId w:val="68"/>
  </w:num>
  <w:num w:numId="89">
    <w:abstractNumId w:val="69"/>
  </w:num>
  <w:num w:numId="90">
    <w:abstractNumId w:val="70"/>
  </w:num>
  <w:num w:numId="91">
    <w:abstractNumId w:val="71"/>
  </w:num>
  <w:num w:numId="92">
    <w:abstractNumId w:val="72"/>
  </w:num>
  <w:num w:numId="93">
    <w:abstractNumId w:val="73"/>
  </w:num>
  <w:num w:numId="94">
    <w:abstractNumId w:val="74"/>
  </w:num>
  <w:num w:numId="95">
    <w:abstractNumId w:val="75"/>
  </w:num>
  <w:num w:numId="96">
    <w:abstractNumId w:val="197"/>
  </w:num>
  <w:num w:numId="97">
    <w:abstractNumId w:val="205"/>
  </w:num>
  <w:num w:numId="98">
    <w:abstractNumId w:val="208"/>
  </w:num>
  <w:num w:numId="99">
    <w:abstractNumId w:val="207"/>
  </w:num>
  <w:num w:numId="100">
    <w:abstractNumId w:val="224"/>
  </w:num>
  <w:num w:numId="101">
    <w:abstractNumId w:val="218"/>
  </w:num>
  <w:num w:numId="102">
    <w:abstractNumId w:val="195"/>
  </w:num>
  <w:num w:numId="103">
    <w:abstractNumId w:val="199"/>
  </w:num>
  <w:num w:numId="104">
    <w:abstractNumId w:val="210"/>
  </w:num>
  <w:num w:numId="105">
    <w:abstractNumId w:val="225"/>
  </w:num>
  <w:num w:numId="106">
    <w:abstractNumId w:val="203"/>
  </w:num>
  <w:num w:numId="107">
    <w:abstractNumId w:val="76"/>
  </w:num>
  <w:num w:numId="108">
    <w:abstractNumId w:val="77"/>
  </w:num>
  <w:num w:numId="109">
    <w:abstractNumId w:val="78"/>
  </w:num>
  <w:num w:numId="110">
    <w:abstractNumId w:val="79"/>
  </w:num>
  <w:num w:numId="111">
    <w:abstractNumId w:val="80"/>
  </w:num>
  <w:num w:numId="112">
    <w:abstractNumId w:val="81"/>
  </w:num>
  <w:num w:numId="113">
    <w:abstractNumId w:val="82"/>
  </w:num>
  <w:num w:numId="114">
    <w:abstractNumId w:val="83"/>
  </w:num>
  <w:num w:numId="115">
    <w:abstractNumId w:val="84"/>
  </w:num>
  <w:num w:numId="116">
    <w:abstractNumId w:val="85"/>
  </w:num>
  <w:num w:numId="117">
    <w:abstractNumId w:val="86"/>
  </w:num>
  <w:num w:numId="118">
    <w:abstractNumId w:val="87"/>
  </w:num>
  <w:num w:numId="119">
    <w:abstractNumId w:val="88"/>
  </w:num>
  <w:num w:numId="120">
    <w:abstractNumId w:val="89"/>
  </w:num>
  <w:num w:numId="121">
    <w:abstractNumId w:val="90"/>
  </w:num>
  <w:num w:numId="122">
    <w:abstractNumId w:val="91"/>
  </w:num>
  <w:num w:numId="123">
    <w:abstractNumId w:val="92"/>
  </w:num>
  <w:num w:numId="124">
    <w:abstractNumId w:val="93"/>
  </w:num>
  <w:num w:numId="125">
    <w:abstractNumId w:val="94"/>
  </w:num>
  <w:num w:numId="126">
    <w:abstractNumId w:val="95"/>
  </w:num>
  <w:num w:numId="127">
    <w:abstractNumId w:val="96"/>
  </w:num>
  <w:num w:numId="128">
    <w:abstractNumId w:val="97"/>
  </w:num>
  <w:num w:numId="129">
    <w:abstractNumId w:val="98"/>
  </w:num>
  <w:num w:numId="130">
    <w:abstractNumId w:val="99"/>
  </w:num>
  <w:num w:numId="131">
    <w:abstractNumId w:val="100"/>
  </w:num>
  <w:num w:numId="132">
    <w:abstractNumId w:val="101"/>
  </w:num>
  <w:num w:numId="133">
    <w:abstractNumId w:val="102"/>
  </w:num>
  <w:num w:numId="134">
    <w:abstractNumId w:val="103"/>
  </w:num>
  <w:num w:numId="135">
    <w:abstractNumId w:val="104"/>
  </w:num>
  <w:num w:numId="136">
    <w:abstractNumId w:val="105"/>
  </w:num>
  <w:num w:numId="137">
    <w:abstractNumId w:val="106"/>
  </w:num>
  <w:num w:numId="138">
    <w:abstractNumId w:val="107"/>
  </w:num>
  <w:num w:numId="139">
    <w:abstractNumId w:val="108"/>
  </w:num>
  <w:num w:numId="140">
    <w:abstractNumId w:val="109"/>
  </w:num>
  <w:num w:numId="141">
    <w:abstractNumId w:val="110"/>
  </w:num>
  <w:num w:numId="142">
    <w:abstractNumId w:val="111"/>
  </w:num>
  <w:num w:numId="143">
    <w:abstractNumId w:val="112"/>
  </w:num>
  <w:num w:numId="144">
    <w:abstractNumId w:val="113"/>
  </w:num>
  <w:num w:numId="145">
    <w:abstractNumId w:val="114"/>
  </w:num>
  <w:num w:numId="146">
    <w:abstractNumId w:val="115"/>
  </w:num>
  <w:num w:numId="147">
    <w:abstractNumId w:val="116"/>
  </w:num>
  <w:num w:numId="148">
    <w:abstractNumId w:val="117"/>
  </w:num>
  <w:num w:numId="149">
    <w:abstractNumId w:val="118"/>
  </w:num>
  <w:num w:numId="150">
    <w:abstractNumId w:val="119"/>
  </w:num>
  <w:num w:numId="151">
    <w:abstractNumId w:val="120"/>
  </w:num>
  <w:num w:numId="152">
    <w:abstractNumId w:val="121"/>
  </w:num>
  <w:num w:numId="153">
    <w:abstractNumId w:val="122"/>
  </w:num>
  <w:num w:numId="154">
    <w:abstractNumId w:val="123"/>
  </w:num>
  <w:num w:numId="155">
    <w:abstractNumId w:val="124"/>
  </w:num>
  <w:num w:numId="156">
    <w:abstractNumId w:val="125"/>
  </w:num>
  <w:num w:numId="157">
    <w:abstractNumId w:val="126"/>
  </w:num>
  <w:num w:numId="158">
    <w:abstractNumId w:val="127"/>
  </w:num>
  <w:num w:numId="159">
    <w:abstractNumId w:val="128"/>
  </w:num>
  <w:num w:numId="160">
    <w:abstractNumId w:val="129"/>
  </w:num>
  <w:num w:numId="161">
    <w:abstractNumId w:val="130"/>
  </w:num>
  <w:num w:numId="162">
    <w:abstractNumId w:val="131"/>
  </w:num>
  <w:num w:numId="163">
    <w:abstractNumId w:val="132"/>
  </w:num>
  <w:num w:numId="164">
    <w:abstractNumId w:val="133"/>
  </w:num>
  <w:num w:numId="165">
    <w:abstractNumId w:val="134"/>
  </w:num>
  <w:num w:numId="166">
    <w:abstractNumId w:val="135"/>
  </w:num>
  <w:num w:numId="167">
    <w:abstractNumId w:val="136"/>
  </w:num>
  <w:num w:numId="168">
    <w:abstractNumId w:val="137"/>
  </w:num>
  <w:num w:numId="169">
    <w:abstractNumId w:val="138"/>
  </w:num>
  <w:num w:numId="170">
    <w:abstractNumId w:val="139"/>
  </w:num>
  <w:num w:numId="171">
    <w:abstractNumId w:val="140"/>
  </w:num>
  <w:num w:numId="172">
    <w:abstractNumId w:val="141"/>
  </w:num>
  <w:num w:numId="173">
    <w:abstractNumId w:val="142"/>
  </w:num>
  <w:num w:numId="174">
    <w:abstractNumId w:val="143"/>
  </w:num>
  <w:num w:numId="175">
    <w:abstractNumId w:val="144"/>
  </w:num>
  <w:num w:numId="176">
    <w:abstractNumId w:val="145"/>
  </w:num>
  <w:num w:numId="177">
    <w:abstractNumId w:val="146"/>
  </w:num>
  <w:num w:numId="178">
    <w:abstractNumId w:val="147"/>
  </w:num>
  <w:num w:numId="179">
    <w:abstractNumId w:val="148"/>
  </w:num>
  <w:num w:numId="180">
    <w:abstractNumId w:val="149"/>
  </w:num>
  <w:num w:numId="181">
    <w:abstractNumId w:val="150"/>
  </w:num>
  <w:num w:numId="182">
    <w:abstractNumId w:val="151"/>
  </w:num>
  <w:num w:numId="183">
    <w:abstractNumId w:val="152"/>
  </w:num>
  <w:num w:numId="184">
    <w:abstractNumId w:val="153"/>
  </w:num>
  <w:num w:numId="185">
    <w:abstractNumId w:val="154"/>
  </w:num>
  <w:num w:numId="186">
    <w:abstractNumId w:val="155"/>
  </w:num>
  <w:num w:numId="187">
    <w:abstractNumId w:val="156"/>
  </w:num>
  <w:num w:numId="188">
    <w:abstractNumId w:val="157"/>
  </w:num>
  <w:num w:numId="189">
    <w:abstractNumId w:val="158"/>
  </w:num>
  <w:num w:numId="190">
    <w:abstractNumId w:val="159"/>
  </w:num>
  <w:num w:numId="191">
    <w:abstractNumId w:val="160"/>
  </w:num>
  <w:num w:numId="192">
    <w:abstractNumId w:val="161"/>
  </w:num>
  <w:num w:numId="193">
    <w:abstractNumId w:val="162"/>
  </w:num>
  <w:num w:numId="194">
    <w:abstractNumId w:val="163"/>
  </w:num>
  <w:num w:numId="195">
    <w:abstractNumId w:val="164"/>
  </w:num>
  <w:num w:numId="196">
    <w:abstractNumId w:val="165"/>
  </w:num>
  <w:num w:numId="197">
    <w:abstractNumId w:val="166"/>
  </w:num>
  <w:num w:numId="198">
    <w:abstractNumId w:val="167"/>
  </w:num>
  <w:num w:numId="199">
    <w:abstractNumId w:val="168"/>
  </w:num>
  <w:num w:numId="200">
    <w:abstractNumId w:val="169"/>
  </w:num>
  <w:num w:numId="201">
    <w:abstractNumId w:val="170"/>
  </w:num>
  <w:num w:numId="202">
    <w:abstractNumId w:val="171"/>
  </w:num>
  <w:num w:numId="203">
    <w:abstractNumId w:val="172"/>
  </w:num>
  <w:num w:numId="204">
    <w:abstractNumId w:val="173"/>
  </w:num>
  <w:num w:numId="205">
    <w:abstractNumId w:val="174"/>
  </w:num>
  <w:num w:numId="206">
    <w:abstractNumId w:val="175"/>
  </w:num>
  <w:num w:numId="207">
    <w:abstractNumId w:val="176"/>
  </w:num>
  <w:num w:numId="208">
    <w:abstractNumId w:val="177"/>
  </w:num>
  <w:num w:numId="209">
    <w:abstractNumId w:val="178"/>
  </w:num>
  <w:num w:numId="210">
    <w:abstractNumId w:val="179"/>
  </w:num>
  <w:num w:numId="211">
    <w:abstractNumId w:val="180"/>
  </w:num>
  <w:num w:numId="212">
    <w:abstractNumId w:val="181"/>
  </w:num>
  <w:num w:numId="213">
    <w:abstractNumId w:val="182"/>
  </w:num>
  <w:num w:numId="214">
    <w:abstractNumId w:val="183"/>
  </w:num>
  <w:num w:numId="215">
    <w:abstractNumId w:val="184"/>
  </w:num>
  <w:num w:numId="216">
    <w:abstractNumId w:val="185"/>
  </w:num>
  <w:num w:numId="217">
    <w:abstractNumId w:val="186"/>
  </w:num>
  <w:num w:numId="218">
    <w:abstractNumId w:val="187"/>
  </w:num>
  <w:num w:numId="219">
    <w:abstractNumId w:val="188"/>
  </w:num>
  <w:num w:numId="220">
    <w:abstractNumId w:val="189"/>
  </w:num>
  <w:num w:numId="221">
    <w:abstractNumId w:val="190"/>
  </w:num>
  <w:num w:numId="222">
    <w:abstractNumId w:val="191"/>
  </w:num>
  <w:num w:numId="223">
    <w:abstractNumId w:val="196"/>
  </w:num>
  <w:num w:numId="224">
    <w:abstractNumId w:val="222"/>
  </w:num>
  <w:num w:numId="225">
    <w:abstractNumId w:val="219"/>
  </w:num>
  <w:num w:numId="226">
    <w:abstractNumId w:val="204"/>
  </w:num>
  <w:num w:numId="227">
    <w:abstractNumId w:val="193"/>
  </w:num>
  <w:num w:numId="228">
    <w:abstractNumId w:val="211"/>
  </w:num>
  <w:num w:numId="229">
    <w:abstractNumId w:val="201"/>
  </w:num>
  <w:num w:numId="230">
    <w:abstractNumId w:val="2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D1-JS5Y-B2KV-00000-00&amp;context=" TargetMode="External" /><Relationship Id="rId100" Type="http://schemas.openxmlformats.org/officeDocument/2006/relationships/header" Target="header20.xml" /><Relationship Id="rId1000" Type="http://schemas.openxmlformats.org/officeDocument/2006/relationships/hyperlink" Target="https://advance.lexis.com/api/document?collection=cases-ca&amp;id=urn:contentItem:5JRX-F801-JBM1-M1MC-00000-00&amp;context=" TargetMode="External" /><Relationship Id="rId1001" Type="http://schemas.openxmlformats.org/officeDocument/2006/relationships/hyperlink" Target="https://advance.lexis.com/api/document?collection=cases-ca&amp;id=urn:contentItem:5F7T-S7K1-JNY7-X49Y-00000-00&amp;context=" TargetMode="External" /><Relationship Id="rId1002" Type="http://schemas.openxmlformats.org/officeDocument/2006/relationships/hyperlink" Target="https://advance.lexis.com/api/document?collection=cases-ca&amp;id=urn:contentItem:5F7T-S7K1-JX3N-B2MD-00000-00&amp;context=" TargetMode="External" /><Relationship Id="rId1003" Type="http://schemas.openxmlformats.org/officeDocument/2006/relationships/hyperlink" Target="https://advance.lexis.com/api/document?collection=cases-ca&amp;id=urn:contentItem:5F7T-S7F1-DXWW-2475-00000-00&amp;context=" TargetMode="External" /><Relationship Id="rId1004" Type="http://schemas.openxmlformats.org/officeDocument/2006/relationships/hyperlink" Target="https://advance.lexis.com/api/document?collection=cases-ca&amp;id=urn:contentItem:5F7T-S7M1-DYMS-6247-00000-00&amp;context=" TargetMode="External" /><Relationship Id="rId1005" Type="http://schemas.openxmlformats.org/officeDocument/2006/relationships/hyperlink" Target="https://advance.lexis.com/api/document?collection=cases-ca&amp;id=urn:contentItem:5F7T-S721-F4NT-X2NM-00000-00&amp;context=" TargetMode="External" /><Relationship Id="rId1006" Type="http://schemas.openxmlformats.org/officeDocument/2006/relationships/hyperlink" Target="https://advance.lexis.com/api/document?collection=cases-ca&amp;id=urn:contentItem:5F7T-S7N1-DXWW-20HJ-00000-00&amp;context=" TargetMode="External" /><Relationship Id="rId1007" Type="http://schemas.openxmlformats.org/officeDocument/2006/relationships/hyperlink" Target="https://advance.lexis.com/api/document?collection=cases-ca&amp;id=urn:contentItem:5P09-TM51-F2F4-G4C2-00000-00&amp;context=" TargetMode="External" /><Relationship Id="rId1008" Type="http://schemas.openxmlformats.org/officeDocument/2006/relationships/hyperlink" Target="https://advance.lexis.com/api/document?collection=cases-ca&amp;id=urn:contentItem:5F16-93D1-JFSV-G0FF-00000-00&amp;context=" TargetMode="External" /><Relationship Id="rId1009" Type="http://schemas.openxmlformats.org/officeDocument/2006/relationships/hyperlink" Target="https://advance.lexis.com/api/document?collection=cases-ca&amp;id=urn:contentItem:5F7T-S7F1-F7VM-S40R-00000-00&amp;context=" TargetMode="External" /><Relationship Id="rId101" Type="http://schemas.openxmlformats.org/officeDocument/2006/relationships/footer" Target="footer19.xml" /><Relationship Id="rId1010" Type="http://schemas.openxmlformats.org/officeDocument/2006/relationships/image" Target="media/image3.jpeg" /><Relationship Id="rId1011" Type="http://schemas.openxmlformats.org/officeDocument/2006/relationships/image" Target="media/image4.jpeg" /><Relationship Id="rId1012" Type="http://schemas.openxmlformats.org/officeDocument/2006/relationships/image" Target="media/image5.jpeg" /><Relationship Id="rId1013" Type="http://schemas.openxmlformats.org/officeDocument/2006/relationships/hyperlink" Target="https://advance.lexis.com/api/document?collection=cases-ca&amp;id=urn:contentItem:5F7T-S791-JCJ5-24WP-00000-00&amp;context=" TargetMode="External" /><Relationship Id="rId1014" Type="http://schemas.openxmlformats.org/officeDocument/2006/relationships/hyperlink" Target="https://advance.lexis.com/api/document?collection=cases-ca&amp;id=urn:contentItem:5F7T-S7G1-JNY7-X45B-00000-00&amp;context=" TargetMode="External" /><Relationship Id="rId1015" Type="http://schemas.openxmlformats.org/officeDocument/2006/relationships/numbering" Target="numbering.xml" /><Relationship Id="rId1016" Type="http://schemas.openxmlformats.org/officeDocument/2006/relationships/styles" Target="styles.xml" /><Relationship Id="rId102" Type="http://schemas.openxmlformats.org/officeDocument/2006/relationships/footer" Target="footer20.xml" /><Relationship Id="rId103" Type="http://schemas.openxmlformats.org/officeDocument/2006/relationships/header" Target="header21.xml" /><Relationship Id="rId104" Type="http://schemas.openxmlformats.org/officeDocument/2006/relationships/footer" Target="footer21.xml" /><Relationship Id="rId105" Type="http://schemas.openxmlformats.org/officeDocument/2006/relationships/hyperlink" Target="https://advance.lexis.com/api/document?collection=cases-ca&amp;id=urn:contentItem:5R79-CD61-FG12-6377-00000-00&amp;context=" TargetMode="External" /><Relationship Id="rId106" Type="http://schemas.openxmlformats.org/officeDocument/2006/relationships/hyperlink" Target="https://advance.lexis.com/api/document?collection=legislation-ca&amp;id=urn:contentItem:5F41-1FM1-F4W2-61G0-00000-00&amp;context=" TargetMode="External" /><Relationship Id="rId107" Type="http://schemas.openxmlformats.org/officeDocument/2006/relationships/hyperlink" Target="https://advance.lexis.com/api/document?collection=cases-ca&amp;id=urn:contentItem:5F7T-S7M1-JPP5-22J6-00000-00&amp;context=" TargetMode="External" /><Relationship Id="rId108" Type="http://schemas.openxmlformats.org/officeDocument/2006/relationships/hyperlink" Target="https://advance.lexis.com/api/document?collection=cases-ca&amp;id=urn:contentItem:5F7T-S7H1-JCRC-B130-00000-00&amp;context=" TargetMode="External" /><Relationship Id="rId109" Type="http://schemas.openxmlformats.org/officeDocument/2006/relationships/hyperlink" Target="https://advance.lexis.com/api/document?collection=cases-ca&amp;id=urn:contentItem:5F7T-S7P1-JBDT-B129-00000-00&amp;context=" TargetMode="External" /><Relationship Id="rId11" Type="http://schemas.openxmlformats.org/officeDocument/2006/relationships/hyperlink" Target="https://advance.lexis.com/api/document?collection=legislation-ca&amp;id=urn:contentItem:5F3B-B9P1-JF75-M0VM-00000-00&amp;context=" TargetMode="External" /><Relationship Id="rId110" Type="http://schemas.openxmlformats.org/officeDocument/2006/relationships/hyperlink" Target="https://advance.lexis.com/api/document?collection=cases-ca&amp;id=urn:contentItem:5F8T-N3V1-FC1F-M4CN-00000-00&amp;context=" TargetMode="External" /><Relationship Id="rId111" Type="http://schemas.openxmlformats.org/officeDocument/2006/relationships/hyperlink" Target="https://advance.lexis.com/api/document?collection=cases-ca&amp;id=urn:contentItem:5F7T-S7K1-JX3N-B34D-00000-00&amp;context=" TargetMode="External" /><Relationship Id="rId112" Type="http://schemas.openxmlformats.org/officeDocument/2006/relationships/hyperlink" Target="https://advance.lexis.com/api/document?collection=cases-ca&amp;id=urn:contentItem:5F7T-S6V1-JC0G-624W-00000-00&amp;context=" TargetMode="External" /><Relationship Id="rId113" Type="http://schemas.openxmlformats.org/officeDocument/2006/relationships/hyperlink" Target="https://advance.lexis.com/api/document?collection=cases-ca&amp;id=urn:contentItem:5F8T-N3V1-JTGH-B10T-00000-00&amp;context=" TargetMode="External" /><Relationship Id="rId114" Type="http://schemas.openxmlformats.org/officeDocument/2006/relationships/hyperlink" Target="https://advance.lexis.com/api/document?collection=cases-ca&amp;id=urn:contentItem:5F7T-S7N1-JC5P-G1YK-00000-00&amp;context=" TargetMode="External" /><Relationship Id="rId115" Type="http://schemas.openxmlformats.org/officeDocument/2006/relationships/hyperlink" Target="https://advance.lexis.com/api/document?collection=cases-ca&amp;id=urn:contentItem:5F7T-S781-DYMS-61K7-00000-00&amp;context=" TargetMode="External" /><Relationship Id="rId116" Type="http://schemas.openxmlformats.org/officeDocument/2006/relationships/hyperlink" Target="https://advance.lexis.com/api/document?collection=cases-ca&amp;id=urn:contentItem:5F8T-N3V1-FH4C-X20M-00000-00&amp;context=" TargetMode="External" /><Relationship Id="rId117" Type="http://schemas.openxmlformats.org/officeDocument/2006/relationships/hyperlink" Target="https://advance.lexis.com/api/document?collection=cases-ca&amp;id=urn:contentItem:5F8T-N3V1-FC1F-M3WJ-00000-00&amp;context=" TargetMode="External" /><Relationship Id="rId118" Type="http://schemas.openxmlformats.org/officeDocument/2006/relationships/hyperlink" Target="https://advance.lexis.com/api/document?collection=cases-ca&amp;id=urn:contentItem:5F7T-S6W1-F7ND-G2R7-00000-00&amp;context=" TargetMode="External" /><Relationship Id="rId119" Type="http://schemas.openxmlformats.org/officeDocument/2006/relationships/hyperlink" Target="https://advance.lexis.com/api/document?collection=cases-ca&amp;id=urn:contentItem:5F8T-N3V1-JTGH-B0YX-00000-00&amp;context=" TargetMode="External" /><Relationship Id="rId12" Type="http://schemas.openxmlformats.org/officeDocument/2006/relationships/hyperlink" Target="https://advance.lexis.com/api/document?collection=cases-ca&amp;id=urn:contentItem:5F7T-S7F1-DXWW-23DR-00000-00&amp;context=" TargetMode="External" /><Relationship Id="rId120" Type="http://schemas.openxmlformats.org/officeDocument/2006/relationships/hyperlink" Target="https://advance.lexis.com/api/document?collection=cases-ca&amp;id=urn:contentItem:5F16-9361-FFMK-M0DN-00000-00&amp;context=" TargetMode="External" /><Relationship Id="rId121" Type="http://schemas.openxmlformats.org/officeDocument/2006/relationships/hyperlink" Target="https://advance.lexis.com/api/document?collection=cases-ca&amp;id=urn:contentItem:5F8P-SDG1-F4GK-M25X-00000-00&amp;context=" TargetMode="External" /><Relationship Id="rId122" Type="http://schemas.openxmlformats.org/officeDocument/2006/relationships/hyperlink" Target="https://advance.lexis.com/api/document?collection=cases-ca&amp;id=urn:contentItem:5F7T-S781-F27X-61BF-00000-00&amp;context=" TargetMode="External" /><Relationship Id="rId123" Type="http://schemas.openxmlformats.org/officeDocument/2006/relationships/hyperlink" Target="https://advance.lexis.com/api/document?collection=cases-ca&amp;id=urn:contentItem:5F8T-N3T1-JGHR-M27Y-00000-00&amp;context=" TargetMode="External" /><Relationship Id="rId124" Type="http://schemas.openxmlformats.org/officeDocument/2006/relationships/hyperlink" Target="https://advance.lexis.com/api/document?collection=cases-ca&amp;id=urn:contentItem:5F7T-S7D1-F7ND-G0C0-00000-00&amp;context=" TargetMode="External" /><Relationship Id="rId125" Type="http://schemas.openxmlformats.org/officeDocument/2006/relationships/header" Target="header22.xml" /><Relationship Id="rId126" Type="http://schemas.openxmlformats.org/officeDocument/2006/relationships/header" Target="header23.xml" /><Relationship Id="rId127" Type="http://schemas.openxmlformats.org/officeDocument/2006/relationships/footer" Target="footer22.xml" /><Relationship Id="rId128" Type="http://schemas.openxmlformats.org/officeDocument/2006/relationships/footer" Target="footer23.xml" /><Relationship Id="rId129" Type="http://schemas.openxmlformats.org/officeDocument/2006/relationships/header" Target="header24.xml" /><Relationship Id="rId13" Type="http://schemas.openxmlformats.org/officeDocument/2006/relationships/hyperlink" Target="https://advance.lexis.com/api/document?collection=cases-ca&amp;id=urn:contentItem:5F7T-S781-F7G6-63TY-00000-00&amp;context=" TargetMode="External" /><Relationship Id="rId130" Type="http://schemas.openxmlformats.org/officeDocument/2006/relationships/footer" Target="footer24.xml" /><Relationship Id="rId131" Type="http://schemas.openxmlformats.org/officeDocument/2006/relationships/hyperlink" Target="https://advance.lexis.com/api/document?collection=cases-ca&amp;id=urn:contentItem:5F7T-S7C1-FGRY-B07D-00000-00&amp;context=" TargetMode="External" /><Relationship Id="rId132" Type="http://schemas.openxmlformats.org/officeDocument/2006/relationships/hyperlink" Target="https://advance.lexis.com/api/document?collection=cases-ca&amp;id=urn:contentItem:5F8T-N3R1-JNS1-M12J-00000-00&amp;context=" TargetMode="External" /><Relationship Id="rId133" Type="http://schemas.openxmlformats.org/officeDocument/2006/relationships/hyperlink" Target="https://advance.lexis.com/api/document?collection=cases-ca&amp;id=urn:contentItem:5F7T-S7H1-JFKM-6299-00000-00&amp;context=" TargetMode="External" /><Relationship Id="rId134" Type="http://schemas.openxmlformats.org/officeDocument/2006/relationships/hyperlink" Target="https://advance.lexis.com/api/document?collection=cases-ca&amp;id=urn:contentItem:5F7T-S751-F361-M0NT-00000-00&amp;context=" TargetMode="External" /><Relationship Id="rId135" Type="http://schemas.openxmlformats.org/officeDocument/2006/relationships/hyperlink" Target="https://advance.lexis.com/api/document?collection=cases-ca&amp;id=urn:contentItem:5F7T-S761-JCBX-S0KX-00000-00&amp;context=" TargetMode="External" /><Relationship Id="rId136" Type="http://schemas.openxmlformats.org/officeDocument/2006/relationships/hyperlink" Target="https://advance.lexis.com/api/document?collection=cases-ca&amp;id=urn:contentItem:5F8T-N3T1-JFKM-655K-00000-00&amp;context=" TargetMode="External" /><Relationship Id="rId137" Type="http://schemas.openxmlformats.org/officeDocument/2006/relationships/hyperlink" Target="https://advance.lexis.com/api/document?collection=cases-ca&amp;id=urn:contentItem:5F8T-N3V1-JF75-M3S6-00000-00&amp;context=" TargetMode="External" /><Relationship Id="rId138" Type="http://schemas.openxmlformats.org/officeDocument/2006/relationships/hyperlink" Target="https://advance.lexis.com/api/document?collection=cases-ca&amp;id=urn:contentItem:5F81-YGM1-JG02-S0MR-00000-00&amp;context=" TargetMode="External" /><Relationship Id="rId139" Type="http://schemas.openxmlformats.org/officeDocument/2006/relationships/hyperlink" Target="https://advance.lexis.com/api/document?collection=cases-ca&amp;id=urn:contentItem:5F7H-KW61-F7VM-S07H-00000-00&amp;context=" TargetMode="External" /><Relationship Id="rId14" Type="http://schemas.openxmlformats.org/officeDocument/2006/relationships/hyperlink" Target="https://advance.lexis.com/api/document?collection=cases-ca&amp;id=urn:contentItem:5F7T-S7B1-F7ND-G4Y5-00000-00&amp;context=" TargetMode="External" /><Relationship Id="rId140" Type="http://schemas.openxmlformats.org/officeDocument/2006/relationships/hyperlink" Target="https://advance.lexis.com/api/document?collection=cases-ca&amp;id=urn:contentItem:5F7H-KW61-JWBS-60KF-00000-00&amp;context=" TargetMode="External" /><Relationship Id="rId141" Type="http://schemas.openxmlformats.org/officeDocument/2006/relationships/hyperlink" Target="https://advance.lexis.com/api/document?collection=cases-ca&amp;id=urn:contentItem:5F7T-S741-F57G-S1KP-00000-00&amp;context=" TargetMode="External" /><Relationship Id="rId142" Type="http://schemas.openxmlformats.org/officeDocument/2006/relationships/hyperlink" Target="https://advance.lexis.com/api/document?collection=cases-ca&amp;id=urn:contentItem:5F7T-S751-JNS1-M1PR-00000-00&amp;context=" TargetMode="External" /><Relationship Id="rId143" Type="http://schemas.openxmlformats.org/officeDocument/2006/relationships/hyperlink" Target="https://advance.lexis.com/api/document?collection=cases-ca&amp;id=urn:contentItem:5F82-1SD1-JFKM-606S-00000-00&amp;context=" TargetMode="External" /><Relationship Id="rId144" Type="http://schemas.openxmlformats.org/officeDocument/2006/relationships/hyperlink" Target="https://advance.lexis.com/api/document?collection=cases-ca&amp;id=urn:contentItem:5F7T-S771-FG68-G0Y8-00000-00&amp;context=" TargetMode="External" /><Relationship Id="rId145" Type="http://schemas.openxmlformats.org/officeDocument/2006/relationships/hyperlink" Target="https://advance.lexis.com/api/document?collection=cases-ca&amp;id=urn:contentItem:5F7T-S781-F7G6-6386-00000-00&amp;context=" TargetMode="External" /><Relationship Id="rId146" Type="http://schemas.openxmlformats.org/officeDocument/2006/relationships/hyperlink" Target="https://advance.lexis.com/api/document?collection=cases-ca&amp;id=urn:contentItem:5F82-1SF1-JXG3-X28Y-00000-00&amp;context=" TargetMode="External" /><Relationship Id="rId147" Type="http://schemas.openxmlformats.org/officeDocument/2006/relationships/hyperlink" Target="https://advance.lexis.com/api/document?collection=cases-ca&amp;id=urn:contentItem:5F7T-S781-F900-G0SY-00000-00&amp;context=" TargetMode="External" /><Relationship Id="rId148" Type="http://schemas.openxmlformats.org/officeDocument/2006/relationships/header" Target="header25.xml" /><Relationship Id="rId149" Type="http://schemas.openxmlformats.org/officeDocument/2006/relationships/header" Target="header26.xml" /><Relationship Id="rId15" Type="http://schemas.openxmlformats.org/officeDocument/2006/relationships/hyperlink" Target="https://advance.lexis.com/api/document?collection=cases-ca&amp;id=urn:contentItem:5F7T-S711-JNY7-X30X-00000-00&amp;context=" TargetMode="External" /><Relationship Id="rId150" Type="http://schemas.openxmlformats.org/officeDocument/2006/relationships/footer" Target="footer25.xml" /><Relationship Id="rId151" Type="http://schemas.openxmlformats.org/officeDocument/2006/relationships/footer" Target="footer26.xml" /><Relationship Id="rId152" Type="http://schemas.openxmlformats.org/officeDocument/2006/relationships/header" Target="header27.xml" /><Relationship Id="rId153" Type="http://schemas.openxmlformats.org/officeDocument/2006/relationships/footer" Target="footer27.xml" /><Relationship Id="rId154" Type="http://schemas.openxmlformats.org/officeDocument/2006/relationships/hyperlink" Target="https://advance.lexis.com/api/document?collection=cases-ca&amp;id=urn:contentItem:5F7T-S7D1-FCSB-S2TP-00000-00&amp;context=" TargetMode="External" /><Relationship Id="rId155" Type="http://schemas.openxmlformats.org/officeDocument/2006/relationships/hyperlink" Target="https://advance.lexis.com/api/document?collection=cases-ca&amp;id=urn:contentItem:5F7T-S711-F5KY-B14K-00000-00&amp;context=" TargetMode="External" /><Relationship Id="rId156" Type="http://schemas.openxmlformats.org/officeDocument/2006/relationships/hyperlink" Target="https://advance.lexis.com/api/document?collection=cases-ca&amp;id=urn:contentItem:5F7T-S721-F8D9-M0RP-00000-00&amp;context=" TargetMode="External" /><Relationship Id="rId157" Type="http://schemas.openxmlformats.org/officeDocument/2006/relationships/hyperlink" Target="https://advance.lexis.com/api/document?collection=cases-ca&amp;id=urn:contentItem:5F7T-S741-F8D9-M1MM-00000-00&amp;context=" TargetMode="External" /><Relationship Id="rId158" Type="http://schemas.openxmlformats.org/officeDocument/2006/relationships/hyperlink" Target="https://advance.lexis.com/api/document?collection=cases-ca&amp;id=urn:contentItem:5F7T-S771-F361-M1JV-00000-00&amp;context=" TargetMode="External" /><Relationship Id="rId159" Type="http://schemas.openxmlformats.org/officeDocument/2006/relationships/header" Target="header28.xml" /><Relationship Id="rId16" Type="http://schemas.openxmlformats.org/officeDocument/2006/relationships/hyperlink" Target="https://advance.lexis.com/api/document?collection=cases-ca&amp;id=urn:contentItem:5F7T-S781-F900-G0R1-00000-00&amp;context=" TargetMode="External" /><Relationship Id="rId160" Type="http://schemas.openxmlformats.org/officeDocument/2006/relationships/header" Target="header29.xml" /><Relationship Id="rId161" Type="http://schemas.openxmlformats.org/officeDocument/2006/relationships/footer" Target="footer28.xml" /><Relationship Id="rId162" Type="http://schemas.openxmlformats.org/officeDocument/2006/relationships/footer" Target="footer29.xml" /><Relationship Id="rId163" Type="http://schemas.openxmlformats.org/officeDocument/2006/relationships/header" Target="header30.xml" /><Relationship Id="rId164" Type="http://schemas.openxmlformats.org/officeDocument/2006/relationships/footer" Target="footer30.xml" /><Relationship Id="rId165" Type="http://schemas.openxmlformats.org/officeDocument/2006/relationships/hyperlink" Target="https://advance.lexis.com/api/document?collection=cases-ca&amp;id=urn:contentItem:5F7T-S7J1-JNS1-M264-00000-00&amp;context=" TargetMode="External" /><Relationship Id="rId166" Type="http://schemas.openxmlformats.org/officeDocument/2006/relationships/hyperlink" Target="https://advance.lexis.com/api/document?collection=cases-ca&amp;id=urn:contentItem:5F7T-S7F1-FFFC-B22K-00000-00&amp;context=" TargetMode="External" /><Relationship Id="rId167" Type="http://schemas.openxmlformats.org/officeDocument/2006/relationships/hyperlink" Target="https://advance.lexis.com/api/document?collection=cases-ca&amp;id=urn:contentItem:5F8T-N3V1-JTGH-B18F-00000-00&amp;context=" TargetMode="External" /><Relationship Id="rId168" Type="http://schemas.openxmlformats.org/officeDocument/2006/relationships/hyperlink" Target="https://advance.lexis.com/api/document?collection=cases-ca&amp;id=urn:contentItem:5F7T-S701-FJDY-X29N-00000-00&amp;context=" TargetMode="External" /><Relationship Id="rId169" Type="http://schemas.openxmlformats.org/officeDocument/2006/relationships/hyperlink" Target="https://advance.lexis.com/api/document?collection=cases-ca&amp;id=urn:contentItem:5F7T-S791-JCJ5-255J-00000-00&amp;context=" TargetMode="External" /><Relationship Id="rId17" Type="http://schemas.openxmlformats.org/officeDocument/2006/relationships/hyperlink" Target="https://advance.lexis.com/api/document?collection=cases-ca&amp;id=urn:contentItem:5F7T-S6X1-F1H1-2109-00000-00&amp;context=" TargetMode="External" /><Relationship Id="rId170" Type="http://schemas.openxmlformats.org/officeDocument/2006/relationships/hyperlink" Target="https://advance.lexis.com/api/document?collection=cases-ca&amp;id=urn:contentItem:5F7T-S731-DY33-B10X-00000-00&amp;context=" TargetMode="External" /><Relationship Id="rId171" Type="http://schemas.openxmlformats.org/officeDocument/2006/relationships/hyperlink" Target="https://advance.lexis.com/api/document?collection=cases-ca&amp;id=urn:contentItem:5F7T-S751-JP4G-611C-00000-00&amp;context=" TargetMode="External" /><Relationship Id="rId172" Type="http://schemas.openxmlformats.org/officeDocument/2006/relationships/hyperlink" Target="https://advance.lexis.com/api/document?collection=cases-ca&amp;id=urn:contentItem:5F8T-N3V1-JF75-M3CD-00000-00&amp;context=" TargetMode="External" /><Relationship Id="rId173" Type="http://schemas.openxmlformats.org/officeDocument/2006/relationships/hyperlink" Target="https://advance.lexis.com/api/document?collection=cases-ca&amp;id=urn:contentItem:5F7T-S7F1-DXWW-23RN-00000-00&amp;context=" TargetMode="External" /><Relationship Id="rId174" Type="http://schemas.openxmlformats.org/officeDocument/2006/relationships/hyperlink" Target="https://advance.lexis.com/api/document?collection=cases-ca&amp;id=urn:contentItem:5F7T-S7D1-JN6B-S184-00000-00&amp;context=" TargetMode="External" /><Relationship Id="rId175" Type="http://schemas.openxmlformats.org/officeDocument/2006/relationships/hyperlink" Target="https://advance.lexis.com/api/document?collection=cases-ca&amp;id=urn:contentItem:5F8T-N3V1-FC1F-M4BC-00000-00&amp;context=" TargetMode="External" /><Relationship Id="rId176" Type="http://schemas.openxmlformats.org/officeDocument/2006/relationships/hyperlink" Target="https://advance.lexis.com/api/document?collection=cases-ca&amp;id=urn:contentItem:5F7T-S6W1-JB7K-21F4-00000-00&amp;context=" TargetMode="External" /><Relationship Id="rId177" Type="http://schemas.openxmlformats.org/officeDocument/2006/relationships/hyperlink" Target="https://advance.lexis.com/api/document?collection=cases-ca&amp;id=urn:contentItem:5F7T-S6X1-JTNR-M3X3-00000-00&amp;context=" TargetMode="External" /><Relationship Id="rId178" Type="http://schemas.openxmlformats.org/officeDocument/2006/relationships/hyperlink" Target="https://advance.lexis.com/api/document?collection=cases-ca&amp;id=urn:contentItem:5F7T-S7B1-JCJ5-206H-00000-00&amp;context=" TargetMode="External" /><Relationship Id="rId179" Type="http://schemas.openxmlformats.org/officeDocument/2006/relationships/hyperlink" Target="https://advance.lexis.com/api/document?collection=cases-ca&amp;id=urn:contentItem:5F7T-S7C1-JS0R-2299-00000-00&amp;context=" TargetMode="External" /><Relationship Id="rId18" Type="http://schemas.openxmlformats.org/officeDocument/2006/relationships/hyperlink" Target="https://advance.lexis.com/api/document?collection=cases-ca&amp;id=urn:contentItem:5F7T-S6Y1-JNY7-X2JX-00000-00&amp;context=" TargetMode="External" /><Relationship Id="rId180" Type="http://schemas.openxmlformats.org/officeDocument/2006/relationships/hyperlink" Target="https://advance.lexis.com/api/document?collection=cases-ca&amp;id=urn:contentItem:5F7T-S7F1-JX3N-B19D-00000-00&amp;context=" TargetMode="External" /><Relationship Id="rId181" Type="http://schemas.openxmlformats.org/officeDocument/2006/relationships/header" Target="header31.xml" /><Relationship Id="rId182" Type="http://schemas.openxmlformats.org/officeDocument/2006/relationships/header" Target="header32.xml" /><Relationship Id="rId183" Type="http://schemas.openxmlformats.org/officeDocument/2006/relationships/footer" Target="footer31.xml" /><Relationship Id="rId184" Type="http://schemas.openxmlformats.org/officeDocument/2006/relationships/footer" Target="footer32.xml" /><Relationship Id="rId185" Type="http://schemas.openxmlformats.org/officeDocument/2006/relationships/header" Target="header33.xml" /><Relationship Id="rId186" Type="http://schemas.openxmlformats.org/officeDocument/2006/relationships/footer" Target="footer33.xml" /><Relationship Id="rId187" Type="http://schemas.openxmlformats.org/officeDocument/2006/relationships/hyperlink" Target="https://advance.lexis.com/api/document?collection=cases-ca&amp;id=urn:contentItem:5F7T-S7C1-JSRM-60RH-00000-00&amp;context=" TargetMode="External" /><Relationship Id="rId188" Type="http://schemas.openxmlformats.org/officeDocument/2006/relationships/hyperlink" Target="https://advance.lexis.com/api/document?collection=cases-ca&amp;id=urn:contentItem:5F7T-S6X1-JXNB-6314-00000-00&amp;context=" TargetMode="External" /><Relationship Id="rId189" Type="http://schemas.openxmlformats.org/officeDocument/2006/relationships/hyperlink" Target="https://advance.lexis.com/api/document?collection=cases-ca&amp;id=urn:contentItem:5F7T-S771-F2TK-231P-00000-00&amp;context=" TargetMode="External" /><Relationship Id="rId19" Type="http://schemas.openxmlformats.org/officeDocument/2006/relationships/hyperlink" Target="https://advance.lexis.com/api/document?collection=cases-ca&amp;id=urn:contentItem:5F8T-N3R1-JJSF-22TC-00000-00&amp;context=" TargetMode="External" /><Relationship Id="rId190" Type="http://schemas.openxmlformats.org/officeDocument/2006/relationships/hyperlink" Target="https://advance.lexis.com/api/document?collection=cases-ca&amp;id=urn:contentItem:5F7T-S711-JNS1-M122-00000-00&amp;context=" TargetMode="External" /><Relationship Id="rId191" Type="http://schemas.openxmlformats.org/officeDocument/2006/relationships/hyperlink" Target="https://advance.lexis.com/api/document?collection=cases-ca&amp;id=urn:contentItem:5F7T-S761-JGHR-M2PP-00000-00&amp;context=" TargetMode="External" /><Relationship Id="rId192" Type="http://schemas.openxmlformats.org/officeDocument/2006/relationships/header" Target="header34.xml" /><Relationship Id="rId193" Type="http://schemas.openxmlformats.org/officeDocument/2006/relationships/header" Target="header35.xml" /><Relationship Id="rId194" Type="http://schemas.openxmlformats.org/officeDocument/2006/relationships/footer" Target="footer34.xml" /><Relationship Id="rId195" Type="http://schemas.openxmlformats.org/officeDocument/2006/relationships/footer" Target="footer35.xml" /><Relationship Id="rId196" Type="http://schemas.openxmlformats.org/officeDocument/2006/relationships/header" Target="header36.xml" /><Relationship Id="rId197" Type="http://schemas.openxmlformats.org/officeDocument/2006/relationships/footer" Target="footer36.xml" /><Relationship Id="rId198" Type="http://schemas.openxmlformats.org/officeDocument/2006/relationships/hyperlink" Target="https://advance.lexis.com/api/document?collection=cases-ca&amp;id=urn:contentItem:5F7T-S781-DYMS-61FB-00000-00&amp;context=" TargetMode="External" /><Relationship Id="rId199" Type="http://schemas.openxmlformats.org/officeDocument/2006/relationships/hyperlink" Target="https://advance.lexis.com/api/document?collection=cases-ca&amp;id=urn:contentItem:5F8T-N3T1-JFKM-652N-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D1-DY89-M4C2-00000-00&amp;context=" TargetMode="External" /><Relationship Id="rId200" Type="http://schemas.openxmlformats.org/officeDocument/2006/relationships/hyperlink" Target="https://advance.lexis.com/api/document?collection=cases-ca&amp;id=urn:contentItem:5F8T-N3V1-JF75-M3CF-00000-00&amp;context=" TargetMode="External" /><Relationship Id="rId201" Type="http://schemas.openxmlformats.org/officeDocument/2006/relationships/header" Target="header37.xml" /><Relationship Id="rId202" Type="http://schemas.openxmlformats.org/officeDocument/2006/relationships/header" Target="header38.xml" /><Relationship Id="rId203" Type="http://schemas.openxmlformats.org/officeDocument/2006/relationships/footer" Target="footer37.xml" /><Relationship Id="rId204" Type="http://schemas.openxmlformats.org/officeDocument/2006/relationships/footer" Target="footer38.xml" /><Relationship Id="rId205" Type="http://schemas.openxmlformats.org/officeDocument/2006/relationships/header" Target="header39.xml" /><Relationship Id="rId206" Type="http://schemas.openxmlformats.org/officeDocument/2006/relationships/footer" Target="footer39.xml" /><Relationship Id="rId207" Type="http://schemas.openxmlformats.org/officeDocument/2006/relationships/hyperlink" Target="https://advance.lexis.com/api/document?collection=cases-ca&amp;id=urn:contentItem:5F7T-S771-JSJC-X01K-00000-00&amp;context=" TargetMode="External" /><Relationship Id="rId208" Type="http://schemas.openxmlformats.org/officeDocument/2006/relationships/hyperlink" Target="https://advance.lexis.com/api/document?collection=cases-ca&amp;id=urn:contentItem:5F8T-N3V1-JF75-M3VR-00000-00&amp;context=" TargetMode="External" /><Relationship Id="rId209" Type="http://schemas.openxmlformats.org/officeDocument/2006/relationships/hyperlink" Target="https://advance.lexis.com/api/document?collection=cases-ca&amp;id=urn:contentItem:5F7T-S6Y1-F65M-609X-00000-00&amp;context=" TargetMode="External" /><Relationship Id="rId21" Type="http://schemas.openxmlformats.org/officeDocument/2006/relationships/hyperlink" Target="https://advance.lexis.com/api/document?collection=cases-ca&amp;id=urn:contentItem:5F81-VJW1-JGPY-X4RB-00000-00&amp;context=" TargetMode="External" /><Relationship Id="rId210" Type="http://schemas.openxmlformats.org/officeDocument/2006/relationships/header" Target="header40.xml" /><Relationship Id="rId211" Type="http://schemas.openxmlformats.org/officeDocument/2006/relationships/header" Target="header41.xml" /><Relationship Id="rId212" Type="http://schemas.openxmlformats.org/officeDocument/2006/relationships/footer" Target="footer40.xml" /><Relationship Id="rId213" Type="http://schemas.openxmlformats.org/officeDocument/2006/relationships/footer" Target="footer41.xml" /><Relationship Id="rId214" Type="http://schemas.openxmlformats.org/officeDocument/2006/relationships/header" Target="header42.xml" /><Relationship Id="rId215" Type="http://schemas.openxmlformats.org/officeDocument/2006/relationships/footer" Target="footer42.xml" /><Relationship Id="rId216" Type="http://schemas.openxmlformats.org/officeDocument/2006/relationships/hyperlink" Target="https://advance.lexis.com/api/document?collection=cases-ca&amp;id=urn:contentItem:5NX0-DV61-FBV7-B0YS-00000-00&amp;context=" TargetMode="External" /><Relationship Id="rId217" Type="http://schemas.openxmlformats.org/officeDocument/2006/relationships/hyperlink" Target="https://advance.lexis.com/api/document?collection=legislation-ca&amp;id=urn:contentItem:5FBX-WGF1-F27X-624C-00000-00&amp;context=" TargetMode="External" /><Relationship Id="rId218" Type="http://schemas.openxmlformats.org/officeDocument/2006/relationships/hyperlink" Target="https://advance.lexis.com/api/document?collection=legislation-ca&amp;id=urn:contentItem:5F41-1FH1-F361-M0GG-00000-00&amp;context=" TargetMode="External" /><Relationship Id="rId219" Type="http://schemas.openxmlformats.org/officeDocument/2006/relationships/hyperlink" Target="https://advance.lexis.com/api/document?collection=legislation-ca&amp;id=urn:contentItem:5W3Y-TST1-JC5P-G12G-00000-00&amp;context=" TargetMode="External" /><Relationship Id="rId22" Type="http://schemas.openxmlformats.org/officeDocument/2006/relationships/hyperlink" Target="https://advance.lexis.com/api/document?collection=cases-ca&amp;id=urn:contentItem:5F81-VJX1-F22N-X1VW-00000-00&amp;context=" TargetMode="External" /><Relationship Id="rId220" Type="http://schemas.openxmlformats.org/officeDocument/2006/relationships/hyperlink" Target="https://advance.lexis.com/api/document?collection=cases-ca&amp;id=urn:contentItem:5F7T-S7N1-JC5P-G1YB-00000-00&amp;context=" TargetMode="External" /><Relationship Id="rId221" Type="http://schemas.openxmlformats.org/officeDocument/2006/relationships/hyperlink" Target="https://advance.lexis.com/api/document?collection=cases-ca&amp;id=urn:contentItem:5F7T-S7K1-JX3N-B2TW-00000-00&amp;context=" TargetMode="External" /><Relationship Id="rId222" Type="http://schemas.openxmlformats.org/officeDocument/2006/relationships/hyperlink" Target="https://advance.lexis.com/api/document?collection=cases-ca&amp;id=urn:contentItem:5F7T-S711-JG02-S1F6-00000-00&amp;context=" TargetMode="External" /><Relationship Id="rId223" Type="http://schemas.openxmlformats.org/officeDocument/2006/relationships/hyperlink" Target="https://advance.lexis.com/api/document?collection=cases-ca&amp;id=urn:contentItem:5F7T-S7D1-F7ND-G0K1-00000-00&amp;context=" TargetMode="External" /><Relationship Id="rId224" Type="http://schemas.openxmlformats.org/officeDocument/2006/relationships/header" Target="header43.xml" /><Relationship Id="rId225" Type="http://schemas.openxmlformats.org/officeDocument/2006/relationships/header" Target="header44.xml" /><Relationship Id="rId226" Type="http://schemas.openxmlformats.org/officeDocument/2006/relationships/footer" Target="footer43.xml" /><Relationship Id="rId227" Type="http://schemas.openxmlformats.org/officeDocument/2006/relationships/footer" Target="footer44.xml" /><Relationship Id="rId228" Type="http://schemas.openxmlformats.org/officeDocument/2006/relationships/header" Target="header45.xml" /><Relationship Id="rId229" Type="http://schemas.openxmlformats.org/officeDocument/2006/relationships/footer" Target="footer45.xml" /><Relationship Id="rId23" Type="http://schemas.openxmlformats.org/officeDocument/2006/relationships/header" Target="header4.xml" /><Relationship Id="rId230" Type="http://schemas.openxmlformats.org/officeDocument/2006/relationships/hyperlink" Target="https://advance.lexis.com/api/document?collection=cases-ca&amp;id=urn:contentItem:5TGV-PHG1-JB7K-22M2-00000-00&amp;context=" TargetMode="External" /><Relationship Id="rId231" Type="http://schemas.openxmlformats.org/officeDocument/2006/relationships/hyperlink" Target="https://advance.lexis.com/api/document?collection=cases-ca&amp;id=urn:contentItem:5F7T-S771-JW5H-X1YD-00000-00&amp;context=" TargetMode="External" /><Relationship Id="rId232" Type="http://schemas.openxmlformats.org/officeDocument/2006/relationships/hyperlink" Target="https://advance.lexis.com/api/document?collection=cases-ca&amp;id=urn:contentItem:5F7T-S721-F57G-S1C0-00000-00&amp;context=" TargetMode="External" /><Relationship Id="rId233" Type="http://schemas.openxmlformats.org/officeDocument/2006/relationships/hyperlink" Target="https://advance.lexis.com/api/document?collection=cases-ca&amp;id=urn:contentItem:5F7T-S701-FJDY-X2FC-00000-00&amp;context=" TargetMode="External" /><Relationship Id="rId234" Type="http://schemas.openxmlformats.org/officeDocument/2006/relationships/hyperlink" Target="https://advance.lexis.com/api/document?collection=cases-ca&amp;id=urn:contentItem:5F7T-S7K1-JWXF-20VW-00000-00&amp;context=" TargetMode="External" /><Relationship Id="rId235" Type="http://schemas.openxmlformats.org/officeDocument/2006/relationships/hyperlink" Target="https://advance.lexis.com/api/document?collection=cases-ca&amp;id=urn:contentItem:5F7T-S781-DYMS-61D2-00000-00&amp;context=" TargetMode="External" /><Relationship Id="rId236" Type="http://schemas.openxmlformats.org/officeDocument/2006/relationships/hyperlink" Target="https://advance.lexis.com/api/document?collection=cases-ca&amp;id=urn:contentItem:5F7T-S7K1-F528-G2YT-00000-00&amp;context=" TargetMode="External" /><Relationship Id="rId237" Type="http://schemas.openxmlformats.org/officeDocument/2006/relationships/hyperlink" Target="https://advance.lexis.com/api/document?collection=cases-ca&amp;id=urn:contentItem:5F7T-S701-JBT7-X2FG-00000-00&amp;context=" TargetMode="External" /><Relationship Id="rId238" Type="http://schemas.openxmlformats.org/officeDocument/2006/relationships/hyperlink" Target="https://advance.lexis.com/api/document?collection=cases-ca&amp;id=urn:contentItem:5F7T-S6Y1-JPP5-210J-00000-00&amp;context=" TargetMode="External" /><Relationship Id="rId239" Type="http://schemas.openxmlformats.org/officeDocument/2006/relationships/hyperlink" Target="https://advance.lexis.com/api/document?collection=cases-ca&amp;id=urn:contentItem:5F7T-S7J1-FGCG-S0BP-00000-00&amp;context=" TargetMode="External" /><Relationship Id="rId24" Type="http://schemas.openxmlformats.org/officeDocument/2006/relationships/header" Target="header5.xml" /><Relationship Id="rId240" Type="http://schemas.openxmlformats.org/officeDocument/2006/relationships/hyperlink" Target="https://advance.lexis.com/api/document?collection=cases-ca&amp;id=urn:contentItem:5F7T-S721-FG12-623D-00000-00&amp;context=" TargetMode="External" /><Relationship Id="rId241" Type="http://schemas.openxmlformats.org/officeDocument/2006/relationships/hyperlink" Target="https://advance.lexis.com/api/document?collection=cases-ca&amp;id=urn:contentItem:5F7T-S7K1-JKHB-62WT-00000-00&amp;context=" TargetMode="External" /><Relationship Id="rId242" Type="http://schemas.openxmlformats.org/officeDocument/2006/relationships/hyperlink" Target="https://advance.lexis.com/api/document?collection=cases-ca&amp;id=urn:contentItem:5F7T-S751-JG02-S29N-00000-00&amp;context=" TargetMode="External" /><Relationship Id="rId243" Type="http://schemas.openxmlformats.org/officeDocument/2006/relationships/hyperlink" Target="https://advance.lexis.com/api/document?collection=cases-ca&amp;id=urn:contentItem:5F8T-N3V1-FC1F-M4BS-00000-00&amp;context=" TargetMode="External" /><Relationship Id="rId244" Type="http://schemas.openxmlformats.org/officeDocument/2006/relationships/hyperlink" Target="https://advance.lexis.com/api/document?collection=cases-ca&amp;id=urn:contentItem:5F7T-S7J1-JGBH-B24T-00000-00&amp;context=" TargetMode="External" /><Relationship Id="rId245" Type="http://schemas.openxmlformats.org/officeDocument/2006/relationships/hyperlink" Target="https://advance.lexis.com/api/document?collection=cases-ca&amp;id=urn:contentItem:5F7T-S761-FGJR-22BG-00000-00&amp;context=" TargetMode="External" /><Relationship Id="rId246" Type="http://schemas.openxmlformats.org/officeDocument/2006/relationships/hyperlink" Target="https://advance.lexis.com/api/document?collection=cases-ca&amp;id=urn:contentItem:5F7T-S7M1-JJK6-S1YR-00000-00&amp;context=" TargetMode="External" /><Relationship Id="rId247" Type="http://schemas.openxmlformats.org/officeDocument/2006/relationships/hyperlink" Target="https://advance.lexis.com/api/document?collection=cases-ca&amp;id=urn:contentItem:5F7T-S7B1-FH4C-X3BW-00000-00&amp;context=" TargetMode="External" /><Relationship Id="rId248" Type="http://schemas.openxmlformats.org/officeDocument/2006/relationships/header" Target="header46.xml" /><Relationship Id="rId249" Type="http://schemas.openxmlformats.org/officeDocument/2006/relationships/header" Target="header47.xml" /><Relationship Id="rId25" Type="http://schemas.openxmlformats.org/officeDocument/2006/relationships/footer" Target="footer4.xml" /><Relationship Id="rId250" Type="http://schemas.openxmlformats.org/officeDocument/2006/relationships/footer" Target="footer46.xml" /><Relationship Id="rId251" Type="http://schemas.openxmlformats.org/officeDocument/2006/relationships/footer" Target="footer47.xml" /><Relationship Id="rId252" Type="http://schemas.openxmlformats.org/officeDocument/2006/relationships/header" Target="header48.xml" /><Relationship Id="rId253" Type="http://schemas.openxmlformats.org/officeDocument/2006/relationships/footer" Target="footer48.xml" /><Relationship Id="rId254" Type="http://schemas.openxmlformats.org/officeDocument/2006/relationships/hyperlink" Target="https://advance.lexis.com/api/document?collection=cases-ca&amp;id=urn:contentItem:5F7T-S7C1-FCSB-S2DN-00000-00&amp;context=" TargetMode="External" /><Relationship Id="rId255" Type="http://schemas.openxmlformats.org/officeDocument/2006/relationships/hyperlink" Target="https://advance.lexis.com/api/document?collection=cases-ca&amp;id=urn:contentItem:5F7T-S721-F4NT-X2VS-00000-00&amp;context=" TargetMode="External" /><Relationship Id="rId256" Type="http://schemas.openxmlformats.org/officeDocument/2006/relationships/hyperlink" Target="https://advance.lexis.com/api/document?collection=cases-ca&amp;id=urn:contentItem:5F7T-S6T1-F8KH-X0VY-00000-00&amp;context=" TargetMode="External" /><Relationship Id="rId257" Type="http://schemas.openxmlformats.org/officeDocument/2006/relationships/hyperlink" Target="https://advance.lexis.com/api/document?collection=cases-ca&amp;id=urn:contentItem:5F7T-S6X1-FJDY-X13X-00000-00&amp;context=" TargetMode="External" /><Relationship Id="rId258" Type="http://schemas.openxmlformats.org/officeDocument/2006/relationships/hyperlink" Target="https://advance.lexis.com/api/document?collection=cases-ca&amp;id=urn:contentItem:5F7T-S6T1-DY89-M2YG-00000-00&amp;context=" TargetMode="External" /><Relationship Id="rId259" Type="http://schemas.openxmlformats.org/officeDocument/2006/relationships/hyperlink" Target="https://advance.lexis.com/api/document?collection=cases-ca&amp;id=urn:contentItem:5F7T-S771-F361-M1DD-00000-00&amp;context=" TargetMode="External" /><Relationship Id="rId26" Type="http://schemas.openxmlformats.org/officeDocument/2006/relationships/footer" Target="footer5.xml" /><Relationship Id="rId260" Type="http://schemas.openxmlformats.org/officeDocument/2006/relationships/hyperlink" Target="https://advance.lexis.com/api/document?collection=cases-ca&amp;id=urn:contentItem:5F7T-S761-F81W-21P8-00000-00&amp;context=" TargetMode="External" /><Relationship Id="rId261" Type="http://schemas.openxmlformats.org/officeDocument/2006/relationships/hyperlink" Target="https://advance.lexis.com/api/document?collection=cases-ca&amp;id=urn:contentItem:5F7T-S781-JC5P-G1M6-00000-00&amp;context=" TargetMode="External" /><Relationship Id="rId262" Type="http://schemas.openxmlformats.org/officeDocument/2006/relationships/hyperlink" Target="https://advance.lexis.com/api/document?collection=cases-ca&amp;id=urn:contentItem:5F81-VJX1-FFTT-X1TV-00000-00&amp;context=" TargetMode="External" /><Relationship Id="rId263" Type="http://schemas.openxmlformats.org/officeDocument/2006/relationships/hyperlink" Target="https://advance.lexis.com/api/document?collection=cases-ca&amp;id=urn:contentItem:5F81-VJX1-JX3N-B17H-00000-00&amp;context=" TargetMode="External" /><Relationship Id="rId264" Type="http://schemas.openxmlformats.org/officeDocument/2006/relationships/header" Target="header49.xml" /><Relationship Id="rId265" Type="http://schemas.openxmlformats.org/officeDocument/2006/relationships/header" Target="header50.xml" /><Relationship Id="rId266" Type="http://schemas.openxmlformats.org/officeDocument/2006/relationships/footer" Target="footer49.xml" /><Relationship Id="rId267" Type="http://schemas.openxmlformats.org/officeDocument/2006/relationships/footer" Target="footer50.xml" /><Relationship Id="rId268" Type="http://schemas.openxmlformats.org/officeDocument/2006/relationships/header" Target="header51.xml" /><Relationship Id="rId269" Type="http://schemas.openxmlformats.org/officeDocument/2006/relationships/footer" Target="footer51.xml" /><Relationship Id="rId27" Type="http://schemas.openxmlformats.org/officeDocument/2006/relationships/header" Target="header6.xml" /><Relationship Id="rId270" Type="http://schemas.openxmlformats.org/officeDocument/2006/relationships/hyperlink" Target="https://advance.lexis.com/api/document?collection=cases-ca&amp;id=urn:contentItem:5F7T-S791-FJTD-G327-00000-00&amp;context=" TargetMode="External" /><Relationship Id="rId271" Type="http://schemas.openxmlformats.org/officeDocument/2006/relationships/hyperlink" Target="https://advance.lexis.com/api/document?collection=legislation-ca&amp;id=urn:contentItem:5F41-1FH1-F361-M0HJ-00000-00&amp;context=" TargetMode="External" /><Relationship Id="rId272" Type="http://schemas.openxmlformats.org/officeDocument/2006/relationships/hyperlink" Target="https://advance.lexis.com/api/document?collection=cases-ca&amp;id=urn:contentItem:5F7T-S701-JF75-M47G-00000-00&amp;context=" TargetMode="External" /><Relationship Id="rId273" Type="http://schemas.openxmlformats.org/officeDocument/2006/relationships/hyperlink" Target="https://advance.lexis.com/api/document?collection=cases-ca&amp;id=urn:contentItem:5F7T-S711-F27X-60M7-00000-00&amp;context=" TargetMode="External" /><Relationship Id="rId274" Type="http://schemas.openxmlformats.org/officeDocument/2006/relationships/hyperlink" Target="https://advance.lexis.com/api/document?collection=cases-ca&amp;id=urn:contentItem:5F7T-S6W1-JYYX-61TX-00000-00&amp;context=" TargetMode="External" /><Relationship Id="rId275" Type="http://schemas.openxmlformats.org/officeDocument/2006/relationships/header" Target="header52.xml" /><Relationship Id="rId276" Type="http://schemas.openxmlformats.org/officeDocument/2006/relationships/header" Target="header53.xml" /><Relationship Id="rId277" Type="http://schemas.openxmlformats.org/officeDocument/2006/relationships/footer" Target="footer52.xml" /><Relationship Id="rId278" Type="http://schemas.openxmlformats.org/officeDocument/2006/relationships/footer" Target="footer53.xml" /><Relationship Id="rId279" Type="http://schemas.openxmlformats.org/officeDocument/2006/relationships/header" Target="header54.xml" /><Relationship Id="rId28" Type="http://schemas.openxmlformats.org/officeDocument/2006/relationships/footer" Target="footer6.xml" /><Relationship Id="rId280" Type="http://schemas.openxmlformats.org/officeDocument/2006/relationships/footer" Target="footer54.xml" /><Relationship Id="rId281" Type="http://schemas.openxmlformats.org/officeDocument/2006/relationships/hyperlink" Target="https://advance.lexis.com/api/document?collection=cases-ca&amp;id=urn:contentItem:5PV7-7KS1-JCBX-S1GN-00000-00&amp;context=" TargetMode="External" /><Relationship Id="rId282" Type="http://schemas.openxmlformats.org/officeDocument/2006/relationships/hyperlink" Target="https://advance.lexis.com/api/document?collection=legislation-ca&amp;id=urn:contentItem:5F3B-B9T1-JB2B-S00C-00000-00&amp;context=" TargetMode="External" /><Relationship Id="rId283" Type="http://schemas.openxmlformats.org/officeDocument/2006/relationships/hyperlink" Target="https://advance.lexis.com/api/document?collection=legislation-ca&amp;id=urn:contentItem:5VYK-WB11-F5KY-B48X-00000-00&amp;context=" TargetMode="External" /><Relationship Id="rId284" Type="http://schemas.openxmlformats.org/officeDocument/2006/relationships/hyperlink" Target="https://advance.lexis.com/api/document?collection=legislation-ca&amp;id=urn:contentItem:5W2C-X5M1-F2TK-22KM-00000-00&amp;context=" TargetMode="External" /><Relationship Id="rId285" Type="http://schemas.openxmlformats.org/officeDocument/2006/relationships/hyperlink" Target="https://advance.lexis.com/api/document?collection=legislation-ca&amp;id=urn:contentItem:5VYK-WB61-JSRM-652R-00000-00&amp;context=" TargetMode="External" /><Relationship Id="rId286" Type="http://schemas.openxmlformats.org/officeDocument/2006/relationships/hyperlink" Target="https://advance.lexis.com/api/document?collection=cases-ca&amp;id=urn:contentItem:5F7T-S7K1-JSJC-X15Y-00000-00&amp;context=" TargetMode="External" /><Relationship Id="rId287" Type="http://schemas.openxmlformats.org/officeDocument/2006/relationships/hyperlink" Target="https://advance.lexis.com/api/document?collection=legislation-ca&amp;id=urn:contentItem:5VYK-W9T1-FGCG-S31G-00000-00&amp;context=" TargetMode="External" /><Relationship Id="rId288" Type="http://schemas.openxmlformats.org/officeDocument/2006/relationships/hyperlink" Target="https://advance.lexis.com/api/document?collection=legislation-ca&amp;id=urn:contentItem:5VYK-WB51-K054-G4Y8-00000-00&amp;context=" TargetMode="External" /><Relationship Id="rId289" Type="http://schemas.openxmlformats.org/officeDocument/2006/relationships/hyperlink" Target="https://advance.lexis.com/api/document?collection=cases-ca&amp;id=urn:contentItem:5F8T-N3V1-JFKM-608B-00000-00&amp;context=" TargetMode="External" /><Relationship Id="rId29" Type="http://schemas.openxmlformats.org/officeDocument/2006/relationships/hyperlink" Target="https://advance.lexis.com/api/document?collection=cases-ca&amp;id=urn:contentItem:5F7T-S7F1-FJTD-G38M-00000-00&amp;context=" TargetMode="External" /><Relationship Id="rId290" Type="http://schemas.openxmlformats.org/officeDocument/2006/relationships/hyperlink" Target="https://advance.lexis.com/api/document?collection=cases-ca&amp;id=urn:contentItem:5F8T-N3V1-FH4C-X253-00000-00&amp;context=" TargetMode="External" /><Relationship Id="rId291" Type="http://schemas.openxmlformats.org/officeDocument/2006/relationships/hyperlink" Target="https://advance.lexis.com/api/document?collection=cases-ca&amp;id=urn:contentItem:5F7T-S7F1-FJTD-G352-00000-00&amp;context=" TargetMode="External" /><Relationship Id="rId292" Type="http://schemas.openxmlformats.org/officeDocument/2006/relationships/hyperlink" Target="https://advance.lexis.com/api/document?collection=cases-ca&amp;id=urn:contentItem:5F7T-S7C1-JSRM-6165-00000-00&amp;context=" TargetMode="External" /><Relationship Id="rId293" Type="http://schemas.openxmlformats.org/officeDocument/2006/relationships/hyperlink" Target="https://advance.lexis.com/api/document?collection=cases-ca&amp;id=urn:contentItem:5F7T-S7P1-JNJT-B29X-00000-00&amp;context=" TargetMode="External" /><Relationship Id="rId294" Type="http://schemas.openxmlformats.org/officeDocument/2006/relationships/hyperlink" Target="https://advance.lexis.com/api/document?collection=cases-ca&amp;id=urn:contentItem:5F7T-S7M1-JFSV-G3DY-00000-00&amp;context=" TargetMode="External" /><Relationship Id="rId295" Type="http://schemas.openxmlformats.org/officeDocument/2006/relationships/hyperlink" Target="https://advance.lexis.com/api/document?collection=cases-ca&amp;id=urn:contentItem:5F7T-S751-JX3N-B12X-00000-00&amp;context=" TargetMode="External" /><Relationship Id="rId296" Type="http://schemas.openxmlformats.org/officeDocument/2006/relationships/hyperlink" Target="https://advance.lexis.com/api/document?collection=cases-ca&amp;id=urn:contentItem:5M91-23C1-F016-S0FD-00000-00&amp;context=" TargetMode="External" /><Relationship Id="rId297" Type="http://schemas.openxmlformats.org/officeDocument/2006/relationships/hyperlink" Target="https://advance.lexis.com/api/document?collection=cases-ca&amp;id=urn:contentItem:5F7T-S7F1-JBT7-X2P8-00000-00&amp;context=" TargetMode="External" /><Relationship Id="rId298" Type="http://schemas.openxmlformats.org/officeDocument/2006/relationships/hyperlink" Target="https://advance.lexis.com/api/document?collection=cases-ca&amp;id=urn:contentItem:5F7T-S7C1-F4NT-X31C-00000-00&amp;context=" TargetMode="External" /><Relationship Id="rId299" Type="http://schemas.openxmlformats.org/officeDocument/2006/relationships/hyperlink" Target="https://advance.lexis.com/api/document?collection=cases-ca&amp;id=urn:contentItem:5F8P-SCK1-JF75-M0CN-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01-JK4W-M11D-00000-00&amp;context=" TargetMode="External" /><Relationship Id="rId300" Type="http://schemas.openxmlformats.org/officeDocument/2006/relationships/hyperlink" Target="https://advance.lexis.com/api/document?collection=cases-ca&amp;id=urn:contentItem:5F8P-SCX1-JB7K-22FM-00000-00&amp;context=" TargetMode="External" /><Relationship Id="rId301" Type="http://schemas.openxmlformats.org/officeDocument/2006/relationships/hyperlink" Target="https://advance.lexis.com/api/document?collection=cases-ca&amp;id=urn:contentItem:5F8T-N3T1-JGHR-M1VY-00000-00&amp;context=" TargetMode="External" /><Relationship Id="rId302" Type="http://schemas.openxmlformats.org/officeDocument/2006/relationships/hyperlink" Target="https://advance.lexis.com/api/document?collection=cases-ca&amp;id=urn:contentItem:5FX0-MRR1-JSJC-X155-00000-00&amp;context=" TargetMode="External" /><Relationship Id="rId303" Type="http://schemas.openxmlformats.org/officeDocument/2006/relationships/hyperlink" Target="https://advance.lexis.com/api/document?collection=cases-ca&amp;id=urn:contentItem:5F7T-S7H1-JCRC-B10M-00000-00&amp;context=" TargetMode="External" /><Relationship Id="rId304" Type="http://schemas.openxmlformats.org/officeDocument/2006/relationships/hyperlink" Target="https://advance.lexis.com/api/document?collection=cases-ca&amp;id=urn:contentItem:5F7T-S7K1-JKHB-6317-00000-00&amp;context=" TargetMode="External" /><Relationship Id="rId305" Type="http://schemas.openxmlformats.org/officeDocument/2006/relationships/hyperlink" Target="https://advance.lexis.com/api/document?collection=cases-ca&amp;id=urn:contentItem:5F82-1SJ1-JWXF-2205-00000-00&amp;context=" TargetMode="External" /><Relationship Id="rId306" Type="http://schemas.openxmlformats.org/officeDocument/2006/relationships/hyperlink" Target="https://advance.lexis.com/api/document?collection=cases-ca&amp;id=urn:contentItem:5F7T-S7J1-JNS1-M295-00000-00&amp;context=" TargetMode="External" /><Relationship Id="rId307" Type="http://schemas.openxmlformats.org/officeDocument/2006/relationships/hyperlink" Target="https://advance.lexis.com/api/document?collection=cases-ca&amp;id=urn:contentItem:5F8T-N3V1-FH4C-X1VV-00000-00&amp;context=" TargetMode="External" /><Relationship Id="rId308" Type="http://schemas.openxmlformats.org/officeDocument/2006/relationships/hyperlink" Target="https://advance.lexis.com/api/document?collection=cases-ca&amp;id=urn:contentItem:5F7T-S761-JS5Y-B1WN-00000-00&amp;context=" TargetMode="External" /><Relationship Id="rId309" Type="http://schemas.openxmlformats.org/officeDocument/2006/relationships/hyperlink" Target="https://advance.lexis.com/api/document?collection=cases-ca&amp;id=urn:contentItem:5F7T-S6W1-F5T5-M1VN-00000-00&amp;context=" TargetMode="External" /><Relationship Id="rId31" Type="http://schemas.openxmlformats.org/officeDocument/2006/relationships/hyperlink" Target="https://advance.lexis.com/api/document?collection=cases-ca&amp;id=urn:contentItem:5F7T-S731-F016-S3HD-00000-00&amp;context=" TargetMode="External" /><Relationship Id="rId310" Type="http://schemas.openxmlformats.org/officeDocument/2006/relationships/hyperlink" Target="https://advance.lexis.com/api/document?collection=cases-ca&amp;id=urn:contentItem:5F8T-N3T1-JJSF-23C6-00000-00&amp;context=" TargetMode="External" /><Relationship Id="rId311" Type="http://schemas.openxmlformats.org/officeDocument/2006/relationships/hyperlink" Target="https://advance.lexis.com/api/document?collection=cases-ca&amp;id=urn:contentItem:5F81-VJT1-F956-S36J-00000-00&amp;context=" TargetMode="External" /><Relationship Id="rId312" Type="http://schemas.openxmlformats.org/officeDocument/2006/relationships/hyperlink" Target="https://advance.lexis.com/api/document?collection=cases-ca&amp;id=urn:contentItem:5F8T-N3P1-FC6N-X1CN-00000-00&amp;context=" TargetMode="External" /><Relationship Id="rId313" Type="http://schemas.openxmlformats.org/officeDocument/2006/relationships/header" Target="header55.xml" /><Relationship Id="rId314" Type="http://schemas.openxmlformats.org/officeDocument/2006/relationships/header" Target="header56.xml" /><Relationship Id="rId315" Type="http://schemas.openxmlformats.org/officeDocument/2006/relationships/footer" Target="footer55.xml" /><Relationship Id="rId316" Type="http://schemas.openxmlformats.org/officeDocument/2006/relationships/footer" Target="footer56.xml" /><Relationship Id="rId317" Type="http://schemas.openxmlformats.org/officeDocument/2006/relationships/header" Target="header57.xml" /><Relationship Id="rId318" Type="http://schemas.openxmlformats.org/officeDocument/2006/relationships/footer" Target="footer57.xml" /><Relationship Id="rId319" Type="http://schemas.openxmlformats.org/officeDocument/2006/relationships/hyperlink" Target="https://advance.lexis.com/api/document?collection=cases-ca&amp;id=urn:contentItem:5F7T-S7M1-JJK6-S228-00000-00&amp;context=" TargetMode="External" /><Relationship Id="rId32" Type="http://schemas.openxmlformats.org/officeDocument/2006/relationships/hyperlink" Target="https://advance.lexis.com/api/document?collection=cases-ca&amp;id=urn:contentItem:5F8T-N3V1-FC1F-M49J-00000-00&amp;context=" TargetMode="External" /><Relationship Id="rId320" Type="http://schemas.openxmlformats.org/officeDocument/2006/relationships/hyperlink" Target="https://advance.lexis.com/api/document?collection=legislation-ca&amp;id=urn:contentItem:5F41-1FJ1-JKPJ-G0P5-00000-00&amp;context=" TargetMode="External" /><Relationship Id="rId321" Type="http://schemas.openxmlformats.org/officeDocument/2006/relationships/hyperlink" Target="https://advance.lexis.com/api/document?collection=cases-ca&amp;id=urn:contentItem:5F7T-S731-FFFC-B0KN-00000-00&amp;context=" TargetMode="External" /><Relationship Id="rId322" Type="http://schemas.openxmlformats.org/officeDocument/2006/relationships/hyperlink" Target="https://advance.lexis.com/api/document?collection=cases-ca&amp;id=urn:contentItem:5F7T-S6V1-F2TK-227X-00000-00&amp;context=" TargetMode="External" /><Relationship Id="rId323" Type="http://schemas.openxmlformats.org/officeDocument/2006/relationships/hyperlink" Target="https://advance.lexis.com/api/document?collection=cases-ca&amp;id=urn:contentItem:5F7T-S6X1-K0BB-S0BC-00000-00&amp;context=" TargetMode="External" /><Relationship Id="rId324" Type="http://schemas.openxmlformats.org/officeDocument/2006/relationships/hyperlink" Target="https://advance.lexis.com/api/document?collection=cases-ca&amp;id=urn:contentItem:5F7T-S701-JGPY-X1SR-00000-00&amp;context=" TargetMode="External" /><Relationship Id="rId325" Type="http://schemas.openxmlformats.org/officeDocument/2006/relationships/hyperlink" Target="https://advance.lexis.com/api/document?collection=cases-ca&amp;id=urn:contentItem:5F7T-S761-JGHR-M2CY-00000-00&amp;context=" TargetMode="External" /><Relationship Id="rId326" Type="http://schemas.openxmlformats.org/officeDocument/2006/relationships/hyperlink" Target="https://advance.lexis.com/api/document?collection=cases-ca&amp;id=urn:contentItem:5F7T-S6Y1-JPP5-21K9-00000-00&amp;context=" TargetMode="External" /><Relationship Id="rId327" Type="http://schemas.openxmlformats.org/officeDocument/2006/relationships/hyperlink" Target="https://advance.lexis.com/api/document?collection=cases-ca&amp;id=urn:contentItem:5F7T-S741-DY89-M3J2-00000-00&amp;context=" TargetMode="External" /><Relationship Id="rId328" Type="http://schemas.openxmlformats.org/officeDocument/2006/relationships/hyperlink" Target="https://advance.lexis.com/api/document?collection=cases-ca&amp;id=urn:contentItem:5F7T-S6Y1-F4GK-M1WK-00000-00&amp;context=" TargetMode="External" /><Relationship Id="rId329" Type="http://schemas.openxmlformats.org/officeDocument/2006/relationships/hyperlink" Target="https://advance.lexis.com/api/document?collection=cases-ca&amp;id=urn:contentItem:5F8T-N3V1-FC1F-M41J-00000-00&amp;context=" TargetMode="External" /><Relationship Id="rId33" Type="http://schemas.openxmlformats.org/officeDocument/2006/relationships/header" Target="header7.xml" /><Relationship Id="rId330" Type="http://schemas.openxmlformats.org/officeDocument/2006/relationships/hyperlink" Target="https://advance.lexis.com/api/document?collection=cases-ca&amp;id=urn:contentItem:5F7T-S761-JX8W-M2W3-00000-00&amp;context=" TargetMode="External" /><Relationship Id="rId331" Type="http://schemas.openxmlformats.org/officeDocument/2006/relationships/hyperlink" Target="https://advance.lexis.com/api/document?collection=cases-ca&amp;id=urn:contentItem:5F7T-S7K1-JSJC-X10Y-00000-00&amp;context=" TargetMode="External" /><Relationship Id="rId332" Type="http://schemas.openxmlformats.org/officeDocument/2006/relationships/hyperlink" Target="https://advance.lexis.com/api/document?collection=cases-ca&amp;id=urn:contentItem:5F7T-S7D1-JXG3-X0ND-00000-00&amp;context=" TargetMode="External" /><Relationship Id="rId333" Type="http://schemas.openxmlformats.org/officeDocument/2006/relationships/header" Target="header58.xml" /><Relationship Id="rId334" Type="http://schemas.openxmlformats.org/officeDocument/2006/relationships/header" Target="header59.xml" /><Relationship Id="rId335" Type="http://schemas.openxmlformats.org/officeDocument/2006/relationships/footer" Target="footer58.xml" /><Relationship Id="rId336" Type="http://schemas.openxmlformats.org/officeDocument/2006/relationships/footer" Target="footer59.xml" /><Relationship Id="rId337" Type="http://schemas.openxmlformats.org/officeDocument/2006/relationships/header" Target="header60.xml" /><Relationship Id="rId338" Type="http://schemas.openxmlformats.org/officeDocument/2006/relationships/footer" Target="footer60.xml" /><Relationship Id="rId339" Type="http://schemas.openxmlformats.org/officeDocument/2006/relationships/hyperlink" Target="https://advance.lexis.com/api/document?collection=cases-ca&amp;id=urn:contentItem:5F7T-S7F1-DXWW-2448-00000-00&amp;context=" TargetMode="External" /><Relationship Id="rId34" Type="http://schemas.openxmlformats.org/officeDocument/2006/relationships/header" Target="header8.xml" /><Relationship Id="rId340" Type="http://schemas.openxmlformats.org/officeDocument/2006/relationships/hyperlink" Target="https://advance.lexis.com/api/document?collection=legislation-ca&amp;id=urn:contentItem:5F41-1FH1-F361-M0HG-00000-00&amp;context=" TargetMode="External" /><Relationship Id="rId341" Type="http://schemas.openxmlformats.org/officeDocument/2006/relationships/hyperlink" Target="https://advance.lexis.com/api/document?collection=cases-ca&amp;id=urn:contentItem:5F81-YH41-JX8W-M05P-00000-00&amp;context=" TargetMode="External" /><Relationship Id="rId342" Type="http://schemas.openxmlformats.org/officeDocument/2006/relationships/hyperlink" Target="https://advance.lexis.com/api/document?collection=cases-ca&amp;id=urn:contentItem:5F7T-S6T1-F8KH-X0HP-00000-00&amp;context=" TargetMode="External" /><Relationship Id="rId343" Type="http://schemas.openxmlformats.org/officeDocument/2006/relationships/hyperlink" Target="https://advance.lexis.com/api/document?collection=cases-ca&amp;id=urn:contentItem:5F7T-S751-JX3N-B124-00000-00&amp;context=" TargetMode="External" /><Relationship Id="rId344" Type="http://schemas.openxmlformats.org/officeDocument/2006/relationships/header" Target="header61.xml" /><Relationship Id="rId345" Type="http://schemas.openxmlformats.org/officeDocument/2006/relationships/header" Target="header62.xml" /><Relationship Id="rId346" Type="http://schemas.openxmlformats.org/officeDocument/2006/relationships/footer" Target="footer61.xml" /><Relationship Id="rId347" Type="http://schemas.openxmlformats.org/officeDocument/2006/relationships/footer" Target="footer62.xml" /><Relationship Id="rId348" Type="http://schemas.openxmlformats.org/officeDocument/2006/relationships/header" Target="header63.xml" /><Relationship Id="rId349" Type="http://schemas.openxmlformats.org/officeDocument/2006/relationships/footer" Target="footer63.xml" /><Relationship Id="rId35" Type="http://schemas.openxmlformats.org/officeDocument/2006/relationships/footer" Target="footer7.xml" /><Relationship Id="rId350" Type="http://schemas.openxmlformats.org/officeDocument/2006/relationships/hyperlink" Target="https://advance.lexis.com/api/document?collection=cases-ca&amp;id=urn:contentItem:5KF9-T4V1-F7ND-G33K-00000-00&amp;context=" TargetMode="External" /><Relationship Id="rId351" Type="http://schemas.openxmlformats.org/officeDocument/2006/relationships/hyperlink" Target="https://advance.lexis.com/api/document?collection=legislation-ca&amp;id=urn:contentItem:5F41-1FG1-JJYN-B013-00000-00&amp;context=" TargetMode="External" /><Relationship Id="rId352" Type="http://schemas.openxmlformats.org/officeDocument/2006/relationships/hyperlink" Target="https://advance.lexis.com/api/document?collection=legislation-ca&amp;id=urn:contentItem:5F41-1FK1-JSJC-X19S-00000-00&amp;context=" TargetMode="External" /><Relationship Id="rId353" Type="http://schemas.openxmlformats.org/officeDocument/2006/relationships/hyperlink" Target="https://advance.lexis.com/api/document?collection=cases-ca&amp;id=urn:contentItem:5F7T-S781-JSC5-M4GD-00000-00&amp;context=" TargetMode="External" /><Relationship Id="rId354" Type="http://schemas.openxmlformats.org/officeDocument/2006/relationships/hyperlink" Target="https://advance.lexis.com/api/document?collection=cases-ca&amp;id=urn:contentItem:5F7T-S7H1-F016-S42J-00000-00&amp;context=" TargetMode="External" /><Relationship Id="rId355" Type="http://schemas.openxmlformats.org/officeDocument/2006/relationships/hyperlink" Target="https://advance.lexis.com/api/document?collection=cases-ca&amp;id=urn:contentItem:5JXC-X5T1-F8SS-6176-00000-00&amp;context=" TargetMode="External" /><Relationship Id="rId356" Type="http://schemas.openxmlformats.org/officeDocument/2006/relationships/hyperlink" Target="https://advance.lexis.com/api/document?collection=cases-ca&amp;id=urn:contentItem:5F7T-S7J1-JNS1-M217-00000-00&amp;context=" TargetMode="External" /><Relationship Id="rId357" Type="http://schemas.openxmlformats.org/officeDocument/2006/relationships/hyperlink" Target="https://advance.lexis.com/api/document?collection=cases-ca&amp;id=urn:contentItem:5F7T-S711-F4W2-61X9-00000-00&amp;context=" TargetMode="External" /><Relationship Id="rId358" Type="http://schemas.openxmlformats.org/officeDocument/2006/relationships/header" Target="header64.xml" /><Relationship Id="rId359" Type="http://schemas.openxmlformats.org/officeDocument/2006/relationships/header" Target="header65.xml" /><Relationship Id="rId36" Type="http://schemas.openxmlformats.org/officeDocument/2006/relationships/footer" Target="footer8.xml" /><Relationship Id="rId360" Type="http://schemas.openxmlformats.org/officeDocument/2006/relationships/footer" Target="footer64.xml" /><Relationship Id="rId361" Type="http://schemas.openxmlformats.org/officeDocument/2006/relationships/footer" Target="footer65.xml" /><Relationship Id="rId362" Type="http://schemas.openxmlformats.org/officeDocument/2006/relationships/header" Target="header66.xml" /><Relationship Id="rId363" Type="http://schemas.openxmlformats.org/officeDocument/2006/relationships/footer" Target="footer66.xml" /><Relationship Id="rId364" Type="http://schemas.openxmlformats.org/officeDocument/2006/relationships/hyperlink" Target="https://advance.lexis.com/api/document?collection=cases-ca&amp;id=urn:contentItem:5F7T-S7H1-JCRC-B0RK-00000-00&amp;context=" TargetMode="External" /><Relationship Id="rId365" Type="http://schemas.openxmlformats.org/officeDocument/2006/relationships/hyperlink" Target="https://advance.lexis.com/api/document?collection=cases-ca&amp;id=urn:contentItem:5F7T-S7H1-K054-G2BW-00000-00&amp;context=" TargetMode="External" /><Relationship Id="rId366" Type="http://schemas.openxmlformats.org/officeDocument/2006/relationships/hyperlink" Target="https://advance.lexis.com/api/document?collection=cases-ca&amp;id=urn:contentItem:5F8T-N3V1-JF75-M3R4-00000-00&amp;context=" TargetMode="External" /><Relationship Id="rId367" Type="http://schemas.openxmlformats.org/officeDocument/2006/relationships/hyperlink" Target="https://advance.lexis.com/api/document?collection=cases-ca&amp;id=urn:contentItem:5F7T-S7G1-JNY7-X3SM-00000-00&amp;context=" TargetMode="External" /><Relationship Id="rId368" Type="http://schemas.openxmlformats.org/officeDocument/2006/relationships/header" Target="header67.xml" /><Relationship Id="rId369" Type="http://schemas.openxmlformats.org/officeDocument/2006/relationships/header" Target="header68.xml" /><Relationship Id="rId37" Type="http://schemas.openxmlformats.org/officeDocument/2006/relationships/header" Target="header9.xml" /><Relationship Id="rId370" Type="http://schemas.openxmlformats.org/officeDocument/2006/relationships/footer" Target="footer67.xml" /><Relationship Id="rId371" Type="http://schemas.openxmlformats.org/officeDocument/2006/relationships/footer" Target="footer68.xml" /><Relationship Id="rId372" Type="http://schemas.openxmlformats.org/officeDocument/2006/relationships/header" Target="header69.xml" /><Relationship Id="rId373" Type="http://schemas.openxmlformats.org/officeDocument/2006/relationships/footer" Target="footer69.xml" /><Relationship Id="rId374" Type="http://schemas.openxmlformats.org/officeDocument/2006/relationships/hyperlink" Target="https://advance.lexis.com/api/document?collection=cases-ca&amp;id=urn:contentItem:5F7T-S771-JJD0-G16K-00000-00&amp;context=" TargetMode="External" /><Relationship Id="rId375" Type="http://schemas.openxmlformats.org/officeDocument/2006/relationships/hyperlink" Target="https://advance.lexis.com/api/document?collection=legislation-ca&amp;id=urn:contentItem:5F41-1FJ1-F27X-60P2-00000-00&amp;context=" TargetMode="External" /><Relationship Id="rId376" Type="http://schemas.openxmlformats.org/officeDocument/2006/relationships/hyperlink" Target="https://advance.lexis.com/api/document?collection=cases-ca&amp;id=urn:contentItem:5F7T-S721-FG12-61Y9-00000-00&amp;context=" TargetMode="External" /><Relationship Id="rId377" Type="http://schemas.openxmlformats.org/officeDocument/2006/relationships/hyperlink" Target="https://advance.lexis.com/api/document?collection=cases-ca&amp;id=urn:contentItem:5F8T-N3T1-JJSF-2339-00000-00&amp;context=" TargetMode="External" /><Relationship Id="rId378" Type="http://schemas.openxmlformats.org/officeDocument/2006/relationships/hyperlink" Target="https://advance.lexis.com/api/document?collection=cases-ca&amp;id=urn:contentItem:5F7T-S711-F4GK-M2NT-00000-00&amp;context=" TargetMode="External" /><Relationship Id="rId379" Type="http://schemas.openxmlformats.org/officeDocument/2006/relationships/header" Target="header70.xml" /><Relationship Id="rId38" Type="http://schemas.openxmlformats.org/officeDocument/2006/relationships/footer" Target="footer9.xml" /><Relationship Id="rId380" Type="http://schemas.openxmlformats.org/officeDocument/2006/relationships/header" Target="header71.xml" /><Relationship Id="rId381" Type="http://schemas.openxmlformats.org/officeDocument/2006/relationships/footer" Target="footer70.xml" /><Relationship Id="rId382" Type="http://schemas.openxmlformats.org/officeDocument/2006/relationships/footer" Target="footer71.xml" /><Relationship Id="rId383" Type="http://schemas.openxmlformats.org/officeDocument/2006/relationships/header" Target="header72.xml" /><Relationship Id="rId384" Type="http://schemas.openxmlformats.org/officeDocument/2006/relationships/footer" Target="footer72.xml" /><Relationship Id="rId385" Type="http://schemas.openxmlformats.org/officeDocument/2006/relationships/hyperlink" Target="https://advance.lexis.com/api/document?collection=cases-ca&amp;id=urn:contentItem:5F7T-S7F1-JFKM-61T6-00000-00&amp;context=" TargetMode="External" /><Relationship Id="rId386" Type="http://schemas.openxmlformats.org/officeDocument/2006/relationships/hyperlink" Target="https://advance.lexis.com/api/document?collection=cases-ca&amp;id=urn:contentItem:5F7T-S6V1-JFKM-6197-00000-00&amp;context=" TargetMode="External" /><Relationship Id="rId387" Type="http://schemas.openxmlformats.org/officeDocument/2006/relationships/hyperlink" Target="https://advance.lexis.com/api/document?collection=cases-ca&amp;id=urn:contentItem:5F7T-S6V1-F956-S051-00000-00&amp;context=" TargetMode="External" /><Relationship Id="rId388" Type="http://schemas.openxmlformats.org/officeDocument/2006/relationships/hyperlink" Target="https://advance.lexis.com/api/document?collection=cases-ca&amp;id=urn:contentItem:5F7T-S7B1-F7ND-G53V-00000-00&amp;context=" TargetMode="External" /><Relationship Id="rId389" Type="http://schemas.openxmlformats.org/officeDocument/2006/relationships/hyperlink" Target="https://advance.lexis.com/api/document?collection=cases-ca&amp;id=urn:contentItem:5F7T-S751-JGHR-M1YP-00000-00&amp;context=" TargetMode="External" /><Relationship Id="rId39" Type="http://schemas.openxmlformats.org/officeDocument/2006/relationships/hyperlink" Target="https://advance.lexis.com/api/document?collection=cases-ca&amp;id=urn:contentItem:5F7T-S7D1-FCSB-S31X-00000-00&amp;context=" TargetMode="External" /><Relationship Id="rId390" Type="http://schemas.openxmlformats.org/officeDocument/2006/relationships/hyperlink" Target="https://advance.lexis.com/api/document?collection=cases-ca&amp;id=urn:contentItem:5F7T-S751-JBM1-M2M2-00000-00&amp;context=" TargetMode="External" /><Relationship Id="rId391" Type="http://schemas.openxmlformats.org/officeDocument/2006/relationships/hyperlink" Target="https://advance.lexis.com/api/document?collection=cases-ca&amp;id=urn:contentItem:5F7T-S6V1-FJTD-G29R-00000-00&amp;context=" TargetMode="External" /><Relationship Id="rId392" Type="http://schemas.openxmlformats.org/officeDocument/2006/relationships/hyperlink" Target="https://advance.lexis.com/api/document?collection=cases-ca&amp;id=urn:contentItem:5F7T-S721-F57G-S19X-00000-00&amp;context=" TargetMode="External" /><Relationship Id="rId393" Type="http://schemas.openxmlformats.org/officeDocument/2006/relationships/hyperlink" Target="https://advance.lexis.com/api/document?collection=cases-ca&amp;id=urn:contentItem:5F7T-S6T1-F361-M06P-00000-00&amp;context=" TargetMode="External" /><Relationship Id="rId394" Type="http://schemas.openxmlformats.org/officeDocument/2006/relationships/hyperlink" Target="https://advance.lexis.com/api/document?collection=cases-ca&amp;id=urn:contentItem:5F7T-S771-JWBS-61CT-00000-00&amp;context=" TargetMode="External" /><Relationship Id="rId395" Type="http://schemas.openxmlformats.org/officeDocument/2006/relationships/hyperlink" Target="https://advance.lexis.com/api/document?collection=cases-ca&amp;id=urn:contentItem:5F7T-S6T1-JJ1H-X20X-00000-00&amp;context=" TargetMode="External" /><Relationship Id="rId396" Type="http://schemas.openxmlformats.org/officeDocument/2006/relationships/hyperlink" Target="https://advance.lexis.com/api/document?collection=cases-ca&amp;id=urn:contentItem:5F7T-S701-JJ6S-61CF-00000-00&amp;context=" TargetMode="External" /><Relationship Id="rId397" Type="http://schemas.openxmlformats.org/officeDocument/2006/relationships/hyperlink" Target="https://advance.lexis.com/api/document?collection=cases-ca&amp;id=urn:contentItem:5F8P-SCS1-F8SS-627W-00000-00&amp;context=" TargetMode="External" /><Relationship Id="rId398" Type="http://schemas.openxmlformats.org/officeDocument/2006/relationships/hyperlink" Target="https://advance.lexis.com/api/document?collection=cases-ca&amp;id=urn:contentItem:5F7T-S6V1-JTNR-M3D8-00000-00&amp;context=" TargetMode="External" /><Relationship Id="rId399" Type="http://schemas.openxmlformats.org/officeDocument/2006/relationships/header" Target="header73.xml" /><Relationship Id="rId4" Type="http://schemas.openxmlformats.org/officeDocument/2006/relationships/header" Target="header1.xml" /><Relationship Id="rId40" Type="http://schemas.openxmlformats.org/officeDocument/2006/relationships/hyperlink" Target="https://advance.lexis.com/api/document?collection=legislation-ca&amp;id=urn:contentItem:5F41-1FJ1-JBDT-B068-00000-00&amp;context=" TargetMode="External" /><Relationship Id="rId400" Type="http://schemas.openxmlformats.org/officeDocument/2006/relationships/header" Target="header74.xml" /><Relationship Id="rId401" Type="http://schemas.openxmlformats.org/officeDocument/2006/relationships/footer" Target="footer73.xml" /><Relationship Id="rId402" Type="http://schemas.openxmlformats.org/officeDocument/2006/relationships/footer" Target="footer74.xml" /><Relationship Id="rId403" Type="http://schemas.openxmlformats.org/officeDocument/2006/relationships/header" Target="header75.xml" /><Relationship Id="rId404" Type="http://schemas.openxmlformats.org/officeDocument/2006/relationships/footer" Target="footer75.xml" /><Relationship Id="rId405" Type="http://schemas.openxmlformats.org/officeDocument/2006/relationships/hyperlink" Target="https://advance.lexis.com/api/document?collection=cases-ca&amp;id=urn:contentItem:5F7T-S771-JTGH-B12F-00000-00&amp;context=" TargetMode="External" /><Relationship Id="rId406" Type="http://schemas.openxmlformats.org/officeDocument/2006/relationships/hyperlink" Target="https://advance.lexis.com/api/document?collection=cases-ca&amp;id=urn:contentItem:5F7T-S6X1-F7ND-G39N-00000-00&amp;context=" TargetMode="External" /><Relationship Id="rId407" Type="http://schemas.openxmlformats.org/officeDocument/2006/relationships/hyperlink" Target="https://advance.lexis.com/api/document?collection=cases-ca&amp;id=urn:contentItem:5F7T-S721-FD4T-B0MF-00000-00&amp;context=" TargetMode="External" /><Relationship Id="rId408" Type="http://schemas.openxmlformats.org/officeDocument/2006/relationships/hyperlink" Target="https://advance.lexis.com/api/document?collection=cases-ca&amp;id=urn:contentItem:5F7T-S741-F528-G2J5-00000-00&amp;context=" TargetMode="External" /><Relationship Id="rId409" Type="http://schemas.openxmlformats.org/officeDocument/2006/relationships/hyperlink" Target="https://advance.lexis.com/api/document?collection=cases-ca&amp;id=urn:contentItem:5F7T-S761-F81W-224X-00000-00&amp;context=" TargetMode="External" /><Relationship Id="rId41" Type="http://schemas.openxmlformats.org/officeDocument/2006/relationships/hyperlink" Target="https://advance.lexis.com/api/document?collection=cases-ca&amp;id=urn:contentItem:5F7T-S761-JX8W-M2PV-00000-00&amp;context=" TargetMode="External" /><Relationship Id="rId410" Type="http://schemas.openxmlformats.org/officeDocument/2006/relationships/hyperlink" Target="https://advance.lexis.com/api/document?collection=cases-ca&amp;id=urn:contentItem:5F7T-S741-DY89-M3BS-00000-00&amp;context=" TargetMode="External" /><Relationship Id="rId411" Type="http://schemas.openxmlformats.org/officeDocument/2006/relationships/hyperlink" Target="https://advance.lexis.com/api/document?collection=cases-ca&amp;id=urn:contentItem:5F7T-S751-JX3N-B0XV-00000-00&amp;context=" TargetMode="External" /><Relationship Id="rId412" Type="http://schemas.openxmlformats.org/officeDocument/2006/relationships/hyperlink" Target="https://advance.lexis.com/api/document?collection=cases-ca&amp;id=urn:contentItem:5F7T-S761-JGHR-M2NB-00000-00&amp;context=" TargetMode="External" /><Relationship Id="rId413" Type="http://schemas.openxmlformats.org/officeDocument/2006/relationships/hyperlink" Target="https://advance.lexis.com/api/document?collection=cases-ca&amp;id=urn:contentItem:5F7T-S751-JNS1-M1N0-00000-00&amp;context=" TargetMode="External" /><Relationship Id="rId414" Type="http://schemas.openxmlformats.org/officeDocument/2006/relationships/header" Target="header76.xml" /><Relationship Id="rId415" Type="http://schemas.openxmlformats.org/officeDocument/2006/relationships/header" Target="header77.xml" /><Relationship Id="rId416" Type="http://schemas.openxmlformats.org/officeDocument/2006/relationships/footer" Target="footer76.xml" /><Relationship Id="rId417" Type="http://schemas.openxmlformats.org/officeDocument/2006/relationships/footer" Target="footer77.xml" /><Relationship Id="rId418" Type="http://schemas.openxmlformats.org/officeDocument/2006/relationships/header" Target="header78.xml" /><Relationship Id="rId419" Type="http://schemas.openxmlformats.org/officeDocument/2006/relationships/footer" Target="footer78.xml" /><Relationship Id="rId42" Type="http://schemas.openxmlformats.org/officeDocument/2006/relationships/hyperlink" Target="https://advance.lexis.com/api/document?collection=cases-ca&amp;id=urn:contentItem:5F7T-S781-JSC5-M3W1-00000-00&amp;context=" TargetMode="External" /><Relationship Id="rId420" Type="http://schemas.openxmlformats.org/officeDocument/2006/relationships/hyperlink" Target="https://advance.lexis.com/api/document?collection=cases-ca&amp;id=urn:contentItem:5K56-XS31-FC6N-X385-00000-00&amp;context=" TargetMode="External" /><Relationship Id="rId421" Type="http://schemas.openxmlformats.org/officeDocument/2006/relationships/hyperlink" Target="https://advance.lexis.com/api/document?collection=cases-ca&amp;id=urn:contentItem:5F7T-S7C1-JSRM-60XN-00000-00&amp;context=" TargetMode="External" /><Relationship Id="rId422" Type="http://schemas.openxmlformats.org/officeDocument/2006/relationships/hyperlink" Target="https://advance.lexis.com/api/document?collection=cases-ca&amp;id=urn:contentItem:5GCC-XVB1-JGHR-M4K8-00000-00&amp;context=" TargetMode="External" /><Relationship Id="rId423" Type="http://schemas.openxmlformats.org/officeDocument/2006/relationships/hyperlink" Target="https://advance.lexis.com/api/document?collection=cases-ca&amp;id=urn:contentItem:5F7T-S7J1-JGBH-B2DY-00000-00&amp;context=" TargetMode="External" /><Relationship Id="rId424" Type="http://schemas.openxmlformats.org/officeDocument/2006/relationships/hyperlink" Target="https://advance.lexis.com/api/document?collection=cases-ca&amp;id=urn:contentItem:5F7T-S7D1-FFFC-B12C-00000-00&amp;context=" TargetMode="External" /><Relationship Id="rId425" Type="http://schemas.openxmlformats.org/officeDocument/2006/relationships/hyperlink" Target="https://advance.lexis.com/api/document?collection=cases-ca&amp;id=urn:contentItem:5F7T-S7F1-JBT7-X35F-00000-00&amp;context=" TargetMode="External" /><Relationship Id="rId426" Type="http://schemas.openxmlformats.org/officeDocument/2006/relationships/hyperlink" Target="https://advance.lexis.com/api/document?collection=cases-ca&amp;id=urn:contentItem:5F7T-S6W1-JYYX-61TY-00000-00&amp;context=" TargetMode="External" /><Relationship Id="rId427" Type="http://schemas.openxmlformats.org/officeDocument/2006/relationships/hyperlink" Target="https://advance.lexis.com/api/document?collection=cases-ca&amp;id=urn:contentItem:5F7T-S771-JN14-G2DF-00000-00&amp;context=" TargetMode="External" /><Relationship Id="rId428" Type="http://schemas.openxmlformats.org/officeDocument/2006/relationships/hyperlink" Target="https://advance.lexis.com/api/document?collection=cases-ca&amp;id=urn:contentItem:5F7T-S6T1-F2F4-G1JJ-00000-00&amp;context=" TargetMode="External" /><Relationship Id="rId429" Type="http://schemas.openxmlformats.org/officeDocument/2006/relationships/hyperlink" Target="https://advance.lexis.com/api/document?collection=cases-ca&amp;id=urn:contentItem:5F7T-S741-F528-G21K-00000-00&amp;context=" TargetMode="External" /><Relationship Id="rId43" Type="http://schemas.openxmlformats.org/officeDocument/2006/relationships/hyperlink" Target="https://advance.lexis.com/api/document?collection=cases-ca&amp;id=urn:contentItem:5F7T-S741-F1H1-21K7-00000-00&amp;context=" TargetMode="External" /><Relationship Id="rId430" Type="http://schemas.openxmlformats.org/officeDocument/2006/relationships/hyperlink" Target="https://advance.lexis.com/api/document?collection=cases-ca&amp;id=urn:contentItem:5F7T-S7D1-JXG3-X0PB-00000-00&amp;context=" TargetMode="External" /><Relationship Id="rId431" Type="http://schemas.openxmlformats.org/officeDocument/2006/relationships/hyperlink" Target="https://advance.lexis.com/api/document?collection=cases-ca&amp;id=urn:contentItem:5F7T-S7C1-F7VM-S3SN-00000-00&amp;context=" TargetMode="External" /><Relationship Id="rId432" Type="http://schemas.openxmlformats.org/officeDocument/2006/relationships/header" Target="header79.xml" /><Relationship Id="rId433" Type="http://schemas.openxmlformats.org/officeDocument/2006/relationships/header" Target="header80.xml" /><Relationship Id="rId434" Type="http://schemas.openxmlformats.org/officeDocument/2006/relationships/footer" Target="footer79.xml" /><Relationship Id="rId435" Type="http://schemas.openxmlformats.org/officeDocument/2006/relationships/footer" Target="footer80.xml" /><Relationship Id="rId436" Type="http://schemas.openxmlformats.org/officeDocument/2006/relationships/header" Target="header81.xml" /><Relationship Id="rId437" Type="http://schemas.openxmlformats.org/officeDocument/2006/relationships/footer" Target="footer81.xml" /><Relationship Id="rId438" Type="http://schemas.openxmlformats.org/officeDocument/2006/relationships/hyperlink" Target="https://advance.lexis.com/api/document?collection=cases-ca&amp;id=urn:contentItem:5F7T-S7D1-JN6B-S159-00000-00&amp;context=" TargetMode="External" /><Relationship Id="rId439" Type="http://schemas.openxmlformats.org/officeDocument/2006/relationships/hyperlink" Target="https://advance.lexis.com/api/document?collection=legislation-ca&amp;id=urn:contentItem:5F41-1FJ1-F5KY-B23W-00000-00&amp;context=" TargetMode="External" /><Relationship Id="rId44" Type="http://schemas.openxmlformats.org/officeDocument/2006/relationships/hyperlink" Target="https://advance.lexis.com/api/document?collection=cases-ca&amp;id=urn:contentItem:5F7T-S771-JW5H-X23S-00000-00&amp;context=" TargetMode="External" /><Relationship Id="rId440" Type="http://schemas.openxmlformats.org/officeDocument/2006/relationships/hyperlink" Target="https://advance.lexis.com/api/document?collection=legislation-ca&amp;id=urn:contentItem:5TBM-3RN1-FBV7-B0M1-00000-00&amp;context=" TargetMode="External" /><Relationship Id="rId441" Type="http://schemas.openxmlformats.org/officeDocument/2006/relationships/hyperlink" Target="https://advance.lexis.com/api/document?collection=legislation-ca&amp;id=urn:contentItem:5F9J-MWS1-JFKM-64M5-00000-00&amp;context=" TargetMode="External" /><Relationship Id="rId442" Type="http://schemas.openxmlformats.org/officeDocument/2006/relationships/hyperlink" Target="https://advance.lexis.com/api/document?collection=legislation-ca&amp;id=urn:contentItem:5F41-1FG1-JC0G-61MC-00000-00&amp;context=" TargetMode="External" /><Relationship Id="rId443" Type="http://schemas.openxmlformats.org/officeDocument/2006/relationships/hyperlink" Target="https://advance.lexis.com/api/document?collection=legislation-ca&amp;id=urn:contentItem:5F41-1FK1-DY33-B0JT-00000-00&amp;context=" TargetMode="External" /><Relationship Id="rId444" Type="http://schemas.openxmlformats.org/officeDocument/2006/relationships/hyperlink" Target="https://advance.lexis.com/api/document?collection=cases-ca&amp;id=urn:contentItem:5F8T-N3V1-FC1F-M497-00000-00&amp;context=" TargetMode="External" /><Relationship Id="rId445" Type="http://schemas.openxmlformats.org/officeDocument/2006/relationships/hyperlink" Target="https://advance.lexis.com/api/document?collection=cases-ca&amp;id=urn:contentItem:5F7T-S781-F7G6-63N4-00000-00&amp;context=" TargetMode="External" /><Relationship Id="rId446" Type="http://schemas.openxmlformats.org/officeDocument/2006/relationships/hyperlink" Target="https://advance.lexis.com/api/document?collection=cases-ca&amp;id=urn:contentItem:5F81-VJX1-JJYN-B4SC-00000-00&amp;context=" TargetMode="External" /><Relationship Id="rId447" Type="http://schemas.openxmlformats.org/officeDocument/2006/relationships/hyperlink" Target="https://advance.lexis.com/api/document?collection=legislation-ca&amp;id=urn:contentItem:5W07-7G31-DY33-B016-00000-00&amp;context=" TargetMode="External" /><Relationship Id="rId448" Type="http://schemas.openxmlformats.org/officeDocument/2006/relationships/hyperlink" Target="https://advance.lexis.com/api/document?collection=cases-ca&amp;id=urn:contentItem:5F8P-SD81-F1H1-24XV-00000-00&amp;context=" TargetMode="External" /><Relationship Id="rId449" Type="http://schemas.openxmlformats.org/officeDocument/2006/relationships/hyperlink" Target="https://advance.lexis.com/api/document?collection=cases-ca&amp;id=urn:contentItem:5F7T-S6X1-K054-G1WJ-00000-00&amp;context=" TargetMode="External" /><Relationship Id="rId45" Type="http://schemas.openxmlformats.org/officeDocument/2006/relationships/hyperlink" Target="https://advance.lexis.com/api/document?collection=cases-ca&amp;id=urn:contentItem:5F7T-S7C1-JS0R-2276-00000-00&amp;context=" TargetMode="External" /><Relationship Id="rId450" Type="http://schemas.openxmlformats.org/officeDocument/2006/relationships/hyperlink" Target="https://advance.lexis.com/api/document?collection=cases-ca&amp;id=urn:contentItem:5F7T-S761-F81W-224Y-00000-00&amp;context=" TargetMode="External" /><Relationship Id="rId451" Type="http://schemas.openxmlformats.org/officeDocument/2006/relationships/hyperlink" Target="https://advance.lexis.com/api/document?collection=cases-ca&amp;id=urn:contentItem:5F7T-S711-FJDY-X30K-00000-00&amp;context=" TargetMode="External" /><Relationship Id="rId452" Type="http://schemas.openxmlformats.org/officeDocument/2006/relationships/hyperlink" Target="https://advance.lexis.com/api/document?collection=cases-ca&amp;id=urn:contentItem:5F7T-S791-FJTD-G2KF-00000-00&amp;context=" TargetMode="External" /><Relationship Id="rId453" Type="http://schemas.openxmlformats.org/officeDocument/2006/relationships/hyperlink" Target="https://advance.lexis.com/api/document?collection=cases-ca&amp;id=urn:contentItem:5F7T-S7C1-JCJ5-20KN-00000-00&amp;context=" TargetMode="External" /><Relationship Id="rId454" Type="http://schemas.openxmlformats.org/officeDocument/2006/relationships/hyperlink" Target="https://advance.lexis.com/api/document?collection=cases-ca&amp;id=urn:contentItem:5F7T-S7C1-FGRY-B0G8-00000-00&amp;context=" TargetMode="External" /><Relationship Id="rId455" Type="http://schemas.openxmlformats.org/officeDocument/2006/relationships/hyperlink" Target="https://advance.lexis.com/api/document?collection=cases-ca&amp;id=urn:contentItem:5F7T-S7C1-FCSB-S29G-00000-00&amp;context=" TargetMode="External" /><Relationship Id="rId456" Type="http://schemas.openxmlformats.org/officeDocument/2006/relationships/hyperlink" Target="https://advance.lexis.com/api/document?collection=cases-ca&amp;id=urn:contentItem:5F8T-N3V1-FC1F-M46D-00000-00&amp;context=" TargetMode="External" /><Relationship Id="rId457" Type="http://schemas.openxmlformats.org/officeDocument/2006/relationships/hyperlink" Target="https://advance.lexis.com/api/document?collection=cases-ca&amp;id=urn:contentItem:5F7T-S7G1-JPP5-21R8-00000-00&amp;context=" TargetMode="External" /><Relationship Id="rId458" Type="http://schemas.openxmlformats.org/officeDocument/2006/relationships/hyperlink" Target="https://advance.lexis.com/api/document?collection=cases-ca&amp;id=urn:contentItem:5F7T-S7G1-JPP5-21RV-00000-00&amp;context=" TargetMode="External" /><Relationship Id="rId459" Type="http://schemas.openxmlformats.org/officeDocument/2006/relationships/hyperlink" Target="https://advance.lexis.com/api/document?collection=cases-ca&amp;id=urn:contentItem:5F8P-SDN1-FC6N-X4JF-00000-00&amp;context=" TargetMode="External" /><Relationship Id="rId46" Type="http://schemas.openxmlformats.org/officeDocument/2006/relationships/hyperlink" Target="https://advance.lexis.com/api/document?collection=cases-ca&amp;id=urn:contentItem:5F7T-S7C1-JCJ5-20C5-00000-00&amp;context=" TargetMode="External" /><Relationship Id="rId460" Type="http://schemas.openxmlformats.org/officeDocument/2006/relationships/hyperlink" Target="https://advance.lexis.com/api/document?collection=cases-ca&amp;id=urn:contentItem:5F8P-SDN1-F65M-63R6-00000-00&amp;context=" TargetMode="External" /><Relationship Id="rId461" Type="http://schemas.openxmlformats.org/officeDocument/2006/relationships/hyperlink" Target="https://advance.lexis.com/api/document?collection=cases-ca&amp;id=urn:contentItem:5F8T-N3V1-FC1F-M486-00000-00&amp;context=" TargetMode="External" /><Relationship Id="rId462" Type="http://schemas.openxmlformats.org/officeDocument/2006/relationships/hyperlink" Target="https://advance.lexis.com/api/document?collection=legislation-ca&amp;id=urn:contentItem:5F41-1FG1-FC1F-M0TW-00000-00&amp;context=" TargetMode="External" /><Relationship Id="rId463" Type="http://schemas.openxmlformats.org/officeDocument/2006/relationships/hyperlink" Target="https://advance.lexis.com/api/document?collection=cases-ca&amp;id=urn:contentItem:5F7T-S751-JG02-S29T-00000-00&amp;context=" TargetMode="External" /><Relationship Id="rId464" Type="http://schemas.openxmlformats.org/officeDocument/2006/relationships/hyperlink" Target="https://advance.lexis.com/api/document?collection=cases-ca&amp;id=urn:contentItem:5F8P-SDM1-F5T5-M2K8-00000-00&amp;context=" TargetMode="External" /><Relationship Id="rId465" Type="http://schemas.openxmlformats.org/officeDocument/2006/relationships/header" Target="header82.xml" /><Relationship Id="rId466" Type="http://schemas.openxmlformats.org/officeDocument/2006/relationships/header" Target="header83.xml" /><Relationship Id="rId467" Type="http://schemas.openxmlformats.org/officeDocument/2006/relationships/footer" Target="footer82.xml" /><Relationship Id="rId468" Type="http://schemas.openxmlformats.org/officeDocument/2006/relationships/footer" Target="footer83.xml" /><Relationship Id="rId469" Type="http://schemas.openxmlformats.org/officeDocument/2006/relationships/header" Target="header84.xml" /><Relationship Id="rId47" Type="http://schemas.openxmlformats.org/officeDocument/2006/relationships/hyperlink" Target="https://advance.lexis.com/api/document?collection=cases-ca&amp;id=urn:contentItem:5F7T-S761-JCBX-S0YS-00000-00&amp;context=" TargetMode="External" /><Relationship Id="rId470" Type="http://schemas.openxmlformats.org/officeDocument/2006/relationships/footer" Target="footer84.xml" /><Relationship Id="rId471" Type="http://schemas.openxmlformats.org/officeDocument/2006/relationships/hyperlink" Target="https://advance.lexis.com/api/document?collection=cases-ca&amp;id=urn:contentItem:5F7T-S7G1-JNY7-X3SG-00000-00&amp;context=" TargetMode="External" /><Relationship Id="rId472" Type="http://schemas.openxmlformats.org/officeDocument/2006/relationships/hyperlink" Target="https://advance.lexis.com/api/document?collection=legislation-ca&amp;id=urn:contentItem:5F41-1FK1-JGBH-B0S7-00000-00&amp;context=" TargetMode="External" /><Relationship Id="rId473" Type="http://schemas.openxmlformats.org/officeDocument/2006/relationships/hyperlink" Target="https://advance.lexis.com/api/document?collection=cases-ca&amp;id=urn:contentItem:5F16-9341-JF1Y-B40G-00000-00&amp;context=" TargetMode="External" /><Relationship Id="rId474" Type="http://schemas.openxmlformats.org/officeDocument/2006/relationships/hyperlink" Target="https://advance.lexis.com/api/document?collection=cases-ca&amp;id=urn:contentItem:5F7T-S7F1-JX3N-B1PX-00000-00&amp;context=" TargetMode="External" /><Relationship Id="rId475" Type="http://schemas.openxmlformats.org/officeDocument/2006/relationships/hyperlink" Target="https://advance.lexis.com/api/document?collection=cases-ca&amp;id=urn:contentItem:5F7T-S721-F5T5-M2K0-00000-00&amp;context=" TargetMode="External" /><Relationship Id="rId476" Type="http://schemas.openxmlformats.org/officeDocument/2006/relationships/hyperlink" Target="https://advance.lexis.com/api/document?collection=cases-ca&amp;id=urn:contentItem:5F81-VJT1-JWJ0-G3GW-00000-00&amp;context=" TargetMode="External" /><Relationship Id="rId477" Type="http://schemas.openxmlformats.org/officeDocument/2006/relationships/hyperlink" Target="https://advance.lexis.com/api/document?collection=cases-ca&amp;id=urn:contentItem:5F7T-S761-JS5Y-B1SM-00000-00&amp;context=" TargetMode="External" /><Relationship Id="rId478" Type="http://schemas.openxmlformats.org/officeDocument/2006/relationships/hyperlink" Target="https://advance.lexis.com/api/document?collection=cases-ca&amp;id=urn:contentItem:5F7T-S7C1-JCJ5-20NN-00000-00&amp;context=" TargetMode="External" /><Relationship Id="rId479" Type="http://schemas.openxmlformats.org/officeDocument/2006/relationships/hyperlink" Target="https://advance.lexis.com/api/document?collection=cases-ca&amp;id=urn:contentItem:5F7T-S711-F5KY-B127-00000-00&amp;context=" TargetMode="External" /><Relationship Id="rId48" Type="http://schemas.openxmlformats.org/officeDocument/2006/relationships/hyperlink" Target="https://advance.lexis.com/api/document?collection=cases-ca&amp;id=urn:contentItem:5F7T-S751-JBM1-M2CR-00000-00&amp;context=" TargetMode="External" /><Relationship Id="rId480" Type="http://schemas.openxmlformats.org/officeDocument/2006/relationships/hyperlink" Target="https://advance.lexis.com/api/document?collection=cases-ca&amp;id=urn:contentItem:5F7T-S721-JSC5-M3F7-00000-00&amp;context=" TargetMode="External" /><Relationship Id="rId481" Type="http://schemas.openxmlformats.org/officeDocument/2006/relationships/hyperlink" Target="https://advance.lexis.com/api/document?collection=cases-ca&amp;id=urn:contentItem:5F7T-S731-FG12-62T4-00000-00&amp;context=" TargetMode="External" /><Relationship Id="rId482" Type="http://schemas.openxmlformats.org/officeDocument/2006/relationships/hyperlink" Target="https://advance.lexis.com/api/document?collection=cases-ca&amp;id=urn:contentItem:5F7T-S7B1-F7ND-G513-00000-00&amp;context=" TargetMode="External" /><Relationship Id="rId483" Type="http://schemas.openxmlformats.org/officeDocument/2006/relationships/hyperlink" Target="https://advance.lexis.com/api/document?collection=cases-ca&amp;id=urn:contentItem:5F7T-S781-F900-G0PJ-00000-00&amp;context=" TargetMode="External" /><Relationship Id="rId484" Type="http://schemas.openxmlformats.org/officeDocument/2006/relationships/hyperlink" Target="https://advance.lexis.com/api/document?collection=cases-ca&amp;id=urn:contentItem:5F7T-S781-JSC5-M3YD-00000-00&amp;context=" TargetMode="External" /><Relationship Id="rId485" Type="http://schemas.openxmlformats.org/officeDocument/2006/relationships/hyperlink" Target="https://advance.lexis.com/api/document?collection=cases-ca&amp;id=urn:contentItem:5F7T-S7C1-FCSB-S205-00000-00&amp;context=" TargetMode="External" /><Relationship Id="rId486" Type="http://schemas.openxmlformats.org/officeDocument/2006/relationships/header" Target="header85.xml" /><Relationship Id="rId487" Type="http://schemas.openxmlformats.org/officeDocument/2006/relationships/header" Target="header86.xml" /><Relationship Id="rId488" Type="http://schemas.openxmlformats.org/officeDocument/2006/relationships/footer" Target="footer85.xml" /><Relationship Id="rId489" Type="http://schemas.openxmlformats.org/officeDocument/2006/relationships/footer" Target="footer86.xml" /><Relationship Id="rId49" Type="http://schemas.openxmlformats.org/officeDocument/2006/relationships/hyperlink" Target="https://advance.lexis.com/api/document?collection=cases-ca&amp;id=urn:contentItem:5F7T-S761-JS5Y-B1GS-00000-00&amp;context=" TargetMode="External" /><Relationship Id="rId490" Type="http://schemas.openxmlformats.org/officeDocument/2006/relationships/header" Target="header87.xml" /><Relationship Id="rId491" Type="http://schemas.openxmlformats.org/officeDocument/2006/relationships/footer" Target="footer87.xml" /><Relationship Id="rId492" Type="http://schemas.openxmlformats.org/officeDocument/2006/relationships/hyperlink" Target="https://advance.lexis.com/api/document?collection=cases-ca&amp;id=urn:contentItem:5F7T-S7G1-JX3N-B2G1-00000-00&amp;context=" TargetMode="External" /><Relationship Id="rId493" Type="http://schemas.openxmlformats.org/officeDocument/2006/relationships/hyperlink" Target="https://advance.lexis.com/api/document?collection=cases-ca&amp;id=urn:contentItem:5F7T-S7F1-DXWW-23VR-00000-00&amp;context=" TargetMode="External" /><Relationship Id="rId494" Type="http://schemas.openxmlformats.org/officeDocument/2006/relationships/hyperlink" Target="https://advance.lexis.com/api/document?collection=cases-ca&amp;id=urn:contentItem:5F7T-S711-F5KY-B10P-00000-00&amp;context=" TargetMode="External" /><Relationship Id="rId495" Type="http://schemas.openxmlformats.org/officeDocument/2006/relationships/hyperlink" Target="https://advance.lexis.com/api/document?collection=cases-ca&amp;id=urn:contentItem:5F7T-S781-DYMS-61GK-00000-00&amp;context=" TargetMode="External" /><Relationship Id="rId496" Type="http://schemas.openxmlformats.org/officeDocument/2006/relationships/hyperlink" Target="https://advance.lexis.com/api/document?collection=cases-ca&amp;id=urn:contentItem:5F7T-S741-FJM6-61JD-00000-00&amp;context=" TargetMode="External" /><Relationship Id="rId497" Type="http://schemas.openxmlformats.org/officeDocument/2006/relationships/hyperlink" Target="https://advance.lexis.com/api/document?collection=cases-ca&amp;id=urn:contentItem:5F7T-S701-JJ6S-61J5-00000-00&amp;context=" TargetMode="External" /><Relationship Id="rId498" Type="http://schemas.openxmlformats.org/officeDocument/2006/relationships/hyperlink" Target="https://advance.lexis.com/api/document?collection=cases-ca&amp;id=urn:contentItem:5F8T-N3V1-FC1F-M428-00000-00&amp;context=" TargetMode="External" /><Relationship Id="rId499" Type="http://schemas.openxmlformats.org/officeDocument/2006/relationships/hyperlink" Target="https://advance.lexis.com/api/document?collection=cases-ca&amp;id=urn:contentItem:5F7T-S7G1-JPP5-2228-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61-FGJR-22GK-00000-00&amp;context=" TargetMode="External" /><Relationship Id="rId500" Type="http://schemas.openxmlformats.org/officeDocument/2006/relationships/hyperlink" Target="https://advance.lexis.com/api/document?collection=cases-ca&amp;id=urn:contentItem:5F7T-S781-F7G6-637H-00000-00&amp;context=" TargetMode="External" /><Relationship Id="rId501" Type="http://schemas.openxmlformats.org/officeDocument/2006/relationships/header" Target="header88.xml" /><Relationship Id="rId502" Type="http://schemas.openxmlformats.org/officeDocument/2006/relationships/header" Target="header89.xml" /><Relationship Id="rId503" Type="http://schemas.openxmlformats.org/officeDocument/2006/relationships/footer" Target="footer88.xml" /><Relationship Id="rId504" Type="http://schemas.openxmlformats.org/officeDocument/2006/relationships/footer" Target="footer89.xml" /><Relationship Id="rId505" Type="http://schemas.openxmlformats.org/officeDocument/2006/relationships/header" Target="header90.xml" /><Relationship Id="rId506" Type="http://schemas.openxmlformats.org/officeDocument/2006/relationships/footer" Target="footer90.xml" /><Relationship Id="rId507" Type="http://schemas.openxmlformats.org/officeDocument/2006/relationships/hyperlink" Target="https://advance.lexis.com/api/document?collection=cases-ca&amp;id=urn:contentItem:5MW0-J9P1-JPP5-21SD-00000-00&amp;context=" TargetMode="External" /><Relationship Id="rId508" Type="http://schemas.openxmlformats.org/officeDocument/2006/relationships/hyperlink" Target="https://advance.lexis.com/api/document?collection=legislation-ca&amp;id=urn:contentItem:5F41-1FM1-FCK4-G0HC-00000-00&amp;context=" TargetMode="External" /><Relationship Id="rId509" Type="http://schemas.openxmlformats.org/officeDocument/2006/relationships/hyperlink" Target="https://advance.lexis.com/api/document?collection=legislation-ca&amp;id=urn:contentItem:5F41-1FG1-FBN1-2159-00000-00&amp;context=" TargetMode="External" /><Relationship Id="rId51" Type="http://schemas.openxmlformats.org/officeDocument/2006/relationships/hyperlink" Target="https://advance.lexis.com/api/document?collection=cases-ca&amp;id=urn:contentItem:5F7T-S761-F81W-21T6-00000-00&amp;context=" TargetMode="External" /><Relationship Id="rId510" Type="http://schemas.openxmlformats.org/officeDocument/2006/relationships/hyperlink" Target="https://advance.lexis.com/api/document?collection=cases-ca&amp;id=urn:contentItem:5F8T-N3T1-JGHR-M1TK-00000-00&amp;context=" TargetMode="External" /><Relationship Id="rId511" Type="http://schemas.openxmlformats.org/officeDocument/2006/relationships/hyperlink" Target="https://advance.lexis.com/api/document?collection=legislation-ca&amp;id=urn:contentItem:5F41-1FN1-JBDT-B0J5-00000-00&amp;context=" TargetMode="External" /><Relationship Id="rId512" Type="http://schemas.openxmlformats.org/officeDocument/2006/relationships/hyperlink" Target="https://advance.lexis.com/api/document?collection=cases-ca&amp;id=urn:contentItem:5F7T-S731-JNJT-B1NM-00000-00&amp;context=" TargetMode="External" /><Relationship Id="rId513" Type="http://schemas.openxmlformats.org/officeDocument/2006/relationships/hyperlink" Target="https://advance.lexis.com/api/document?collection=cases-ca&amp;id=urn:contentItem:5F7T-S731-JC0G-63MX-00000-00&amp;context=" TargetMode="External" /><Relationship Id="rId514" Type="http://schemas.openxmlformats.org/officeDocument/2006/relationships/hyperlink" Target="https://advance.lexis.com/api/document?collection=cases-ca&amp;id=urn:contentItem:5F7T-S7G1-FCYK-2079-00000-00&amp;context=" TargetMode="External" /><Relationship Id="rId515" Type="http://schemas.openxmlformats.org/officeDocument/2006/relationships/hyperlink" Target="https://advance.lexis.com/api/document?collection=cases-ca&amp;id=urn:contentItem:5F7T-S7M1-JJK6-S1WF-00000-00&amp;context=" TargetMode="External" /><Relationship Id="rId516" Type="http://schemas.openxmlformats.org/officeDocument/2006/relationships/hyperlink" Target="https://advance.lexis.com/api/document?collection=cases-ca&amp;id=urn:contentItem:5F7T-S7F1-JFKM-61N9-00000-00&amp;context=" TargetMode="External" /><Relationship Id="rId517" Type="http://schemas.openxmlformats.org/officeDocument/2006/relationships/header" Target="header91.xml" /><Relationship Id="rId518" Type="http://schemas.openxmlformats.org/officeDocument/2006/relationships/header" Target="header92.xml" /><Relationship Id="rId519" Type="http://schemas.openxmlformats.org/officeDocument/2006/relationships/footer" Target="footer91.xml" /><Relationship Id="rId52" Type="http://schemas.openxmlformats.org/officeDocument/2006/relationships/hyperlink" Target="https://advance.lexis.com/api/document?collection=cases-ca&amp;id=urn:contentItem:5F7T-S7C1-FCSB-S2GC-00000-00&amp;context=" TargetMode="External" /><Relationship Id="rId520" Type="http://schemas.openxmlformats.org/officeDocument/2006/relationships/footer" Target="footer92.xml" /><Relationship Id="rId521" Type="http://schemas.openxmlformats.org/officeDocument/2006/relationships/header" Target="header93.xml" /><Relationship Id="rId522" Type="http://schemas.openxmlformats.org/officeDocument/2006/relationships/footer" Target="footer93.xml" /><Relationship Id="rId523" Type="http://schemas.openxmlformats.org/officeDocument/2006/relationships/hyperlink" Target="https://advance.lexis.com/api/document?collection=cases-ca&amp;id=urn:contentItem:5F7T-S7D1-FC6N-X0WK-00000-00&amp;context=" TargetMode="External" /><Relationship Id="rId524" Type="http://schemas.openxmlformats.org/officeDocument/2006/relationships/hyperlink" Target="https://advance.lexis.com/api/document?collection=cases-ca&amp;id=urn:contentItem:5F7T-S7C1-JCJ5-20S5-00000-00&amp;context=" TargetMode="External" /><Relationship Id="rId525" Type="http://schemas.openxmlformats.org/officeDocument/2006/relationships/hyperlink" Target="https://advance.lexis.com/api/document?collection=cases-ca&amp;id=urn:contentItem:5F7T-S761-F7ND-G4RD-00000-00&amp;context=" TargetMode="External" /><Relationship Id="rId526" Type="http://schemas.openxmlformats.org/officeDocument/2006/relationships/hyperlink" Target="https://advance.lexis.com/api/document?collection=cases-ca&amp;id=urn:contentItem:5F7T-S771-JJD0-G198-00000-00&amp;context=" TargetMode="External" /><Relationship Id="rId527" Type="http://schemas.openxmlformats.org/officeDocument/2006/relationships/header" Target="header94.xml" /><Relationship Id="rId528" Type="http://schemas.openxmlformats.org/officeDocument/2006/relationships/header" Target="header95.xml" /><Relationship Id="rId529" Type="http://schemas.openxmlformats.org/officeDocument/2006/relationships/footer" Target="footer94.xml" /><Relationship Id="rId53" Type="http://schemas.openxmlformats.org/officeDocument/2006/relationships/hyperlink" Target="https://advance.lexis.com/api/document?collection=cases-ca&amp;id=urn:contentItem:5F7T-S7B1-JCJ5-2045-00000-00&amp;context=" TargetMode="External" /><Relationship Id="rId530" Type="http://schemas.openxmlformats.org/officeDocument/2006/relationships/footer" Target="footer95.xml" /><Relationship Id="rId531" Type="http://schemas.openxmlformats.org/officeDocument/2006/relationships/header" Target="header96.xml" /><Relationship Id="rId532" Type="http://schemas.openxmlformats.org/officeDocument/2006/relationships/footer" Target="footer96.xml" /><Relationship Id="rId533" Type="http://schemas.openxmlformats.org/officeDocument/2006/relationships/hyperlink" Target="https://advance.lexis.com/api/document?collection=cases-ca&amp;id=urn:contentItem:5F7T-S7F1-DXWW-2486-00000-00&amp;context=" TargetMode="External" /><Relationship Id="rId534" Type="http://schemas.openxmlformats.org/officeDocument/2006/relationships/hyperlink" Target="https://advance.lexis.com/api/document?collection=cases-ca&amp;id=urn:contentItem:5F7T-S7F1-DXWW-244B-00000-00&amp;context=" TargetMode="External" /><Relationship Id="rId535" Type="http://schemas.openxmlformats.org/officeDocument/2006/relationships/hyperlink" Target="https://advance.lexis.com/api/document?collection=cases-ca&amp;id=urn:contentItem:5F7T-S7C1-JSRM-616C-00000-00&amp;context=" TargetMode="External" /><Relationship Id="rId536" Type="http://schemas.openxmlformats.org/officeDocument/2006/relationships/hyperlink" Target="https://advance.lexis.com/api/document?collection=cases-ca&amp;id=urn:contentItem:5F7T-S741-F1H1-21JV-00000-00&amp;context=" TargetMode="External" /><Relationship Id="rId537" Type="http://schemas.openxmlformats.org/officeDocument/2006/relationships/hyperlink" Target="https://advance.lexis.com/api/document?collection=cases-ca&amp;id=urn:contentItem:5F7T-S761-JGHR-M2DJ-00000-00&amp;context=" TargetMode="External" /><Relationship Id="rId538" Type="http://schemas.openxmlformats.org/officeDocument/2006/relationships/hyperlink" Target="https://advance.lexis.com/api/document?collection=cases-ca&amp;id=urn:contentItem:5F7T-S781-F7G6-63FJ-00000-00&amp;context=" TargetMode="External" /><Relationship Id="rId539" Type="http://schemas.openxmlformats.org/officeDocument/2006/relationships/hyperlink" Target="https://advance.lexis.com/api/document?collection=cases-ca&amp;id=urn:contentItem:5F8T-N3T1-JJSF-235C-00000-00&amp;context=" TargetMode="External" /><Relationship Id="rId54" Type="http://schemas.openxmlformats.org/officeDocument/2006/relationships/hyperlink" Target="https://advance.lexis.com/api/document?collection=cases-ca&amp;id=urn:contentItem:5F7T-S791-FJTD-G2P4-00000-00&amp;context=" TargetMode="External" /><Relationship Id="rId540" Type="http://schemas.openxmlformats.org/officeDocument/2006/relationships/hyperlink" Target="https://advance.lexis.com/api/document?collection=cases-ca&amp;id=urn:contentItem:5F7T-S7G1-JBT7-X40C-00000-00&amp;context=" TargetMode="External" /><Relationship Id="rId541" Type="http://schemas.openxmlformats.org/officeDocument/2006/relationships/hyperlink" Target="https://advance.lexis.com/api/document?collection=cases-ca&amp;id=urn:contentItem:5F7T-S781-F06F-23N7-00000-00&amp;context=" TargetMode="External" /><Relationship Id="rId542" Type="http://schemas.openxmlformats.org/officeDocument/2006/relationships/hyperlink" Target="https://advance.lexis.com/api/document?collection=cases-ca&amp;id=urn:contentItem:5F7T-S7C1-JSRM-60W1-00000-00&amp;context=" TargetMode="External" /><Relationship Id="rId543" Type="http://schemas.openxmlformats.org/officeDocument/2006/relationships/hyperlink" Target="https://advance.lexis.com/api/document?collection=cases-ca&amp;id=urn:contentItem:5F8T-N3V1-JTGH-B153-00000-00&amp;context=" TargetMode="External" /><Relationship Id="rId544" Type="http://schemas.openxmlformats.org/officeDocument/2006/relationships/hyperlink" Target="https://advance.lexis.com/api/document?collection=cases-ca&amp;id=urn:contentItem:5F7T-S7F1-JK4W-M1R2-00000-00&amp;context=" TargetMode="External" /><Relationship Id="rId545" Type="http://schemas.openxmlformats.org/officeDocument/2006/relationships/hyperlink" Target="https://advance.lexis.com/api/document?collection=cases-ca&amp;id=urn:contentItem:5F8T-N3V1-FC1F-M455-00000-00&amp;context=" TargetMode="External" /><Relationship Id="rId546" Type="http://schemas.openxmlformats.org/officeDocument/2006/relationships/hyperlink" Target="https://advance.lexis.com/api/document?collection=cases-ca&amp;id=urn:contentItem:5F7T-S6X1-F06F-22HG-00000-00&amp;context=" TargetMode="External" /><Relationship Id="rId547" Type="http://schemas.openxmlformats.org/officeDocument/2006/relationships/hyperlink" Target="https://advance.lexis.com/api/document?collection=cases-ca&amp;id=urn:contentItem:5F8N-K701-JWR6-S2J1-00000-00&amp;context=" TargetMode="External" /><Relationship Id="rId548" Type="http://schemas.openxmlformats.org/officeDocument/2006/relationships/hyperlink" Target="https://advance.lexis.com/api/document?collection=cases-ca&amp;id=urn:contentItem:5F7T-S7D1-FCSB-S31M-00000-00&amp;context=" TargetMode="External" /><Relationship Id="rId549" Type="http://schemas.openxmlformats.org/officeDocument/2006/relationships/hyperlink" Target="https://advance.lexis.com/api/document?collection=cases-ca&amp;id=urn:contentItem:5F7T-S7F1-FFFC-B23F-00000-00&amp;context=" TargetMode="External" /><Relationship Id="rId55" Type="http://schemas.openxmlformats.org/officeDocument/2006/relationships/hyperlink" Target="https://advance.lexis.com/api/document?collection=cases-ca&amp;id=urn:contentItem:5F8T-N3T1-JFKM-6549-00000-00&amp;context=" TargetMode="External" /><Relationship Id="rId550" Type="http://schemas.openxmlformats.org/officeDocument/2006/relationships/hyperlink" Target="https://advance.lexis.com/api/document?collection=cases-ca&amp;id=urn:contentItem:5F82-1SH1-JCBX-S310-00000-00&amp;context=" TargetMode="External" /><Relationship Id="rId551" Type="http://schemas.openxmlformats.org/officeDocument/2006/relationships/hyperlink" Target="https://advance.lexis.com/api/document?collection=cases-ca&amp;id=urn:contentItem:5F7T-S7F1-JK4W-M1V1-00000-00&amp;context=" TargetMode="External" /><Relationship Id="rId552" Type="http://schemas.openxmlformats.org/officeDocument/2006/relationships/hyperlink" Target="https://advance.lexis.com/api/document?collection=cases-ca&amp;id=urn:contentItem:5F7T-S7F1-JFKM-61H1-00000-00&amp;context=" TargetMode="External" /><Relationship Id="rId553" Type="http://schemas.openxmlformats.org/officeDocument/2006/relationships/hyperlink" Target="https://advance.lexis.com/api/document?collection=cases-ca&amp;id=urn:contentItem:5F7T-S7F1-JFKM-61JW-00000-00&amp;context=" TargetMode="External" /><Relationship Id="rId554" Type="http://schemas.openxmlformats.org/officeDocument/2006/relationships/hyperlink" Target="https://advance.lexis.com/api/document?collection=cases-ca&amp;id=urn:contentItem:5F7T-S721-F06F-23D1-00000-00&amp;context=" TargetMode="External" /><Relationship Id="rId555" Type="http://schemas.openxmlformats.org/officeDocument/2006/relationships/hyperlink" Target="https://advance.lexis.com/api/document?collection=cases-ca&amp;id=urn:contentItem:5F7T-S7D1-JXG3-X0SR-00000-00&amp;context=" TargetMode="External" /><Relationship Id="rId556" Type="http://schemas.openxmlformats.org/officeDocument/2006/relationships/hyperlink" Target="https://advance.lexis.com/api/document?collection=cases-ca&amp;id=urn:contentItem:5F7T-S7F1-FFFC-B1RJ-00000-00&amp;context=" TargetMode="External" /><Relationship Id="rId557" Type="http://schemas.openxmlformats.org/officeDocument/2006/relationships/hyperlink" Target="https://advance.lexis.com/api/document?collection=cases-ca&amp;id=urn:contentItem:5F7T-S7F1-F7VM-S46R-00000-00&amp;context=" TargetMode="External" /><Relationship Id="rId558" Type="http://schemas.openxmlformats.org/officeDocument/2006/relationships/hyperlink" Target="https://advance.lexis.com/api/document?collection=cases-ca&amp;id=urn:contentItem:5F7T-S7D1-FBFS-S1WM-00000-00&amp;context=" TargetMode="External" /><Relationship Id="rId559" Type="http://schemas.openxmlformats.org/officeDocument/2006/relationships/header" Target="header97.xml" /><Relationship Id="rId56" Type="http://schemas.openxmlformats.org/officeDocument/2006/relationships/hyperlink" Target="https://advance.lexis.com/api/document?collection=cases-ca&amp;id=urn:contentItem:5F8T-N3V1-JTGH-B0YB-00000-00&amp;context=" TargetMode="External" /><Relationship Id="rId560" Type="http://schemas.openxmlformats.org/officeDocument/2006/relationships/header" Target="header98.xml" /><Relationship Id="rId561" Type="http://schemas.openxmlformats.org/officeDocument/2006/relationships/footer" Target="footer97.xml" /><Relationship Id="rId562" Type="http://schemas.openxmlformats.org/officeDocument/2006/relationships/footer" Target="footer98.xml" /><Relationship Id="rId563" Type="http://schemas.openxmlformats.org/officeDocument/2006/relationships/header" Target="header99.xml" /><Relationship Id="rId564" Type="http://schemas.openxmlformats.org/officeDocument/2006/relationships/footer" Target="footer99.xml" /><Relationship Id="rId565" Type="http://schemas.openxmlformats.org/officeDocument/2006/relationships/hyperlink" Target="https://advance.lexis.com/api/document?collection=cases-ca&amp;id=urn:contentItem:5F7T-S7F1-F7VM-S4DK-00000-00&amp;context=" TargetMode="External" /><Relationship Id="rId566" Type="http://schemas.openxmlformats.org/officeDocument/2006/relationships/hyperlink" Target="https://advance.lexis.com/api/document?collection=legislation-ca&amp;id=urn:contentItem:5WC4-20F1-K0HK-22B8-00000-00&amp;context=" TargetMode="External" /><Relationship Id="rId567" Type="http://schemas.openxmlformats.org/officeDocument/2006/relationships/hyperlink" Target="https://advance.lexis.com/api/document?collection=cases-ca&amp;id=urn:contentItem:5F8P-SDX1-JX8W-M05Y-00000-00&amp;context=" TargetMode="External" /><Relationship Id="rId568" Type="http://schemas.openxmlformats.org/officeDocument/2006/relationships/hyperlink" Target="https://advance.lexis.com/api/document?collection=cases-ca&amp;id=urn:contentItem:5F81-VJX1-FCK4-G1VH-00000-00&amp;context=" TargetMode="External" /><Relationship Id="rId569" Type="http://schemas.openxmlformats.org/officeDocument/2006/relationships/hyperlink" Target="https://advance.lexis.com/api/document?collection=cases-ca&amp;id=urn:contentItem:5F8P-SDT1-JSRM-63C6-00000-00&amp;context=" TargetMode="External" /><Relationship Id="rId57" Type="http://schemas.openxmlformats.org/officeDocument/2006/relationships/hyperlink" Target="https://advance.lexis.com/api/document?collection=cases-ca&amp;id=urn:contentItem:5F2P-NNN1-JX3N-B1CH-00000-00&amp;context=" TargetMode="External" /><Relationship Id="rId570" Type="http://schemas.openxmlformats.org/officeDocument/2006/relationships/hyperlink" Target="https://advance.lexis.com/api/document?collection=cases-ca&amp;id=urn:contentItem:5F7T-S701-JK4W-M10F-00000-00&amp;context=" TargetMode="External" /><Relationship Id="rId571" Type="http://schemas.openxmlformats.org/officeDocument/2006/relationships/hyperlink" Target="https://advance.lexis.com/api/document?collection=cases-ca&amp;id=urn:contentItem:5F7T-S711-JNS1-M16M-00000-00&amp;context=" TargetMode="External" /><Relationship Id="rId572" Type="http://schemas.openxmlformats.org/officeDocument/2006/relationships/hyperlink" Target="https://advance.lexis.com/api/document?collection=cases-ca&amp;id=urn:contentItem:5F8P-SDF1-JXNB-64PN-00000-00&amp;context=" TargetMode="External" /><Relationship Id="rId573" Type="http://schemas.openxmlformats.org/officeDocument/2006/relationships/hyperlink" Target="https://advance.lexis.com/api/document?collection=cases-ca&amp;id=urn:contentItem:5F16-9361-DY89-M1PN-00000-00&amp;context=" TargetMode="External" /><Relationship Id="rId574" Type="http://schemas.openxmlformats.org/officeDocument/2006/relationships/header" Target="header100.xml" /><Relationship Id="rId575" Type="http://schemas.openxmlformats.org/officeDocument/2006/relationships/header" Target="header101.xml" /><Relationship Id="rId576" Type="http://schemas.openxmlformats.org/officeDocument/2006/relationships/footer" Target="footer100.xml" /><Relationship Id="rId577" Type="http://schemas.openxmlformats.org/officeDocument/2006/relationships/footer" Target="footer101.xml" /><Relationship Id="rId578" Type="http://schemas.openxmlformats.org/officeDocument/2006/relationships/header" Target="header102.xml" /><Relationship Id="rId579" Type="http://schemas.openxmlformats.org/officeDocument/2006/relationships/footer" Target="footer102.xml" /><Relationship Id="rId58" Type="http://schemas.openxmlformats.org/officeDocument/2006/relationships/hyperlink" Target="https://advance.lexis.com/api/document?collection=cases-ca&amp;id=urn:contentItem:5F7T-S711-JNS1-M0SC-00000-00&amp;context=" TargetMode="External" /><Relationship Id="rId580" Type="http://schemas.openxmlformats.org/officeDocument/2006/relationships/hyperlink" Target="https://advance.lexis.com/api/document?collection=cases-ca&amp;id=urn:contentItem:5F7T-S7M1-DYMS-62DJ-00000-00&amp;context=" TargetMode="External" /><Relationship Id="rId581" Type="http://schemas.openxmlformats.org/officeDocument/2006/relationships/hyperlink" Target="https://advance.lexis.com/api/document?collection=legislation-ca&amp;id=urn:contentItem:5VYK-WB41-F22N-X4VK-00000-00&amp;context=" TargetMode="External" /><Relationship Id="rId582" Type="http://schemas.openxmlformats.org/officeDocument/2006/relationships/hyperlink" Target="https://advance.lexis.com/api/document?collection=legislation-ca&amp;id=urn:contentItem:5VYK-W9N1-F65M-61D3-00000-00&amp;context=" TargetMode="External" /><Relationship Id="rId583" Type="http://schemas.openxmlformats.org/officeDocument/2006/relationships/hyperlink" Target="https://advance.lexis.com/api/document?collection=cases-ca&amp;id=urn:contentItem:5F8T-N3V1-JF75-M3B9-00000-00&amp;context=" TargetMode="External" /><Relationship Id="rId584" Type="http://schemas.openxmlformats.org/officeDocument/2006/relationships/hyperlink" Target="https://advance.lexis.com/api/document?collection=cases-ca&amp;id=urn:contentItem:5F7T-S711-JB2B-S0W5-00000-00&amp;context=" TargetMode="External" /><Relationship Id="rId585" Type="http://schemas.openxmlformats.org/officeDocument/2006/relationships/hyperlink" Target="https://advance.lexis.com/api/document?collection=cases-ca&amp;id=urn:contentItem:5F7T-S7D1-FFFC-B1F7-00000-00&amp;context=" TargetMode="External" /><Relationship Id="rId586" Type="http://schemas.openxmlformats.org/officeDocument/2006/relationships/hyperlink" Target="https://advance.lexis.com/api/document?collection=cases-ca&amp;id=urn:contentItem:5F7T-S7C1-F4NT-X32C-00000-00&amp;context=" TargetMode="External" /><Relationship Id="rId587" Type="http://schemas.openxmlformats.org/officeDocument/2006/relationships/hyperlink" Target="https://advance.lexis.com/api/document?collection=cases-ca&amp;id=urn:contentItem:5F7T-S731-JC0G-63F2-00000-00&amp;context=" TargetMode="External" /><Relationship Id="rId588" Type="http://schemas.openxmlformats.org/officeDocument/2006/relationships/hyperlink" Target="https://advance.lexis.com/api/document?collection=cases-ca&amp;id=urn:contentItem:5F7T-S7F1-F7VM-S47J-00000-00&amp;context=" TargetMode="External" /><Relationship Id="rId589" Type="http://schemas.openxmlformats.org/officeDocument/2006/relationships/hyperlink" Target="https://advance.lexis.com/api/document?collection=cases-ca&amp;id=urn:contentItem:5F7T-S711-F5KY-B0P4-00000-00&amp;context=" TargetMode="External" /><Relationship Id="rId59" Type="http://schemas.openxmlformats.org/officeDocument/2006/relationships/hyperlink" Target="https://advance.lexis.com/api/document?collection=cases-ca&amp;id=urn:contentItem:5F7T-S781-F900-G0T0-00000-00&amp;context=" TargetMode="External" /><Relationship Id="rId590" Type="http://schemas.openxmlformats.org/officeDocument/2006/relationships/hyperlink" Target="https://advance.lexis.com/api/document?collection=cases-ca&amp;id=urn:contentItem:5F7T-S7K1-DXWW-201T-00000-00&amp;context=" TargetMode="External" /><Relationship Id="rId591" Type="http://schemas.openxmlformats.org/officeDocument/2006/relationships/hyperlink" Target="https://advance.lexis.com/api/document?collection=cases-ca&amp;id=urn:contentItem:5F7T-S7K1-F1H1-22F4-00000-00&amp;context=" TargetMode="External" /><Relationship Id="rId592" Type="http://schemas.openxmlformats.org/officeDocument/2006/relationships/hyperlink" Target="https://advance.lexis.com/api/document?collection=cases-ca&amp;id=urn:contentItem:5F81-VJW1-JF75-M1FG-00000-00&amp;context=" TargetMode="External" /><Relationship Id="rId593" Type="http://schemas.openxmlformats.org/officeDocument/2006/relationships/hyperlink" Target="https://advance.lexis.com/api/document?collection=cases-ca&amp;id=urn:contentItem:5F8T-N3T1-JJSF-238R-00000-00&amp;context=" TargetMode="External" /><Relationship Id="rId594" Type="http://schemas.openxmlformats.org/officeDocument/2006/relationships/hyperlink" Target="https://advance.lexis.com/api/document?collection=cases-ca&amp;id=urn:contentItem:5F81-VJX1-JYYX-603K-00000-00&amp;context=" TargetMode="External" /><Relationship Id="rId595" Type="http://schemas.openxmlformats.org/officeDocument/2006/relationships/hyperlink" Target="https://advance.lexis.com/api/document?collection=cases-ca&amp;id=urn:contentItem:5F7T-S721-F956-S1DP-00000-00&amp;context=" TargetMode="External" /><Relationship Id="rId596" Type="http://schemas.openxmlformats.org/officeDocument/2006/relationships/header" Target="header103.xml" /><Relationship Id="rId597" Type="http://schemas.openxmlformats.org/officeDocument/2006/relationships/header" Target="header104.xml" /><Relationship Id="rId598" Type="http://schemas.openxmlformats.org/officeDocument/2006/relationships/footer" Target="footer103.xml" /><Relationship Id="rId599" Type="http://schemas.openxmlformats.org/officeDocument/2006/relationships/footer" Target="footer104.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11-JNY7-X30K-00000-00&amp;context=" TargetMode="External" /><Relationship Id="rId600" Type="http://schemas.openxmlformats.org/officeDocument/2006/relationships/header" Target="header105.xml" /><Relationship Id="rId601" Type="http://schemas.openxmlformats.org/officeDocument/2006/relationships/footer" Target="footer105.xml" /><Relationship Id="rId602" Type="http://schemas.openxmlformats.org/officeDocument/2006/relationships/hyperlink" Target="https://advance.lexis.com/api/document?collection=cases-ca&amp;id=urn:contentItem:5F7T-S7J1-JNS1-M253-00000-00&amp;context=" TargetMode="External" /><Relationship Id="rId603" Type="http://schemas.openxmlformats.org/officeDocument/2006/relationships/hyperlink" Target="https://advance.lexis.com/api/document?collection=cases-ca&amp;id=urn:contentItem:5F8T-N3V1-JFKM-609G-00000-00&amp;context=" TargetMode="External" /><Relationship Id="rId604" Type="http://schemas.openxmlformats.org/officeDocument/2006/relationships/hyperlink" Target="https://advance.lexis.com/api/document?collection=cases-ca&amp;id=urn:contentItem:5F7T-S771-JSJC-X013-00000-00&amp;context=" TargetMode="External" /><Relationship Id="rId605" Type="http://schemas.openxmlformats.org/officeDocument/2006/relationships/hyperlink" Target="https://advance.lexis.com/api/document?collection=cases-ca&amp;id=urn:contentItem:5F7T-S7G1-JPP5-21NM-00000-00&amp;context=" TargetMode="External" /><Relationship Id="rId606" Type="http://schemas.openxmlformats.org/officeDocument/2006/relationships/hyperlink" Target="https://advance.lexis.com/api/document?collection=cases-ca&amp;id=urn:contentItem:5F7T-S791-JCJ5-24YF-00000-00&amp;context=" TargetMode="External" /><Relationship Id="rId607" Type="http://schemas.openxmlformats.org/officeDocument/2006/relationships/hyperlink" Target="https://advance.lexis.com/api/document?collection=cases-ca&amp;id=urn:contentItem:5F8T-N3V1-JF75-M3GV-00000-00&amp;context=" TargetMode="External" /><Relationship Id="rId608" Type="http://schemas.openxmlformats.org/officeDocument/2006/relationships/header" Target="header106.xml" /><Relationship Id="rId609" Type="http://schemas.openxmlformats.org/officeDocument/2006/relationships/header" Target="header107.xml" /><Relationship Id="rId61" Type="http://schemas.openxmlformats.org/officeDocument/2006/relationships/hyperlink" Target="https://advance.lexis.com/api/document?collection=cases-ca&amp;id=urn:contentItem:5F7T-S781-F900-G0N5-00000-00&amp;context=" TargetMode="External" /><Relationship Id="rId610" Type="http://schemas.openxmlformats.org/officeDocument/2006/relationships/footer" Target="footer106.xml" /><Relationship Id="rId611" Type="http://schemas.openxmlformats.org/officeDocument/2006/relationships/footer" Target="footer107.xml" /><Relationship Id="rId612" Type="http://schemas.openxmlformats.org/officeDocument/2006/relationships/header" Target="header108.xml" /><Relationship Id="rId613" Type="http://schemas.openxmlformats.org/officeDocument/2006/relationships/footer" Target="footer108.xml" /><Relationship Id="rId614" Type="http://schemas.openxmlformats.org/officeDocument/2006/relationships/hyperlink" Target="https://advance.lexis.com/api/document?collection=cases-ca&amp;id=urn:contentItem:5GCC-XVC1-JSRM-60H4-00000-00&amp;context=" TargetMode="External" /><Relationship Id="rId615" Type="http://schemas.openxmlformats.org/officeDocument/2006/relationships/hyperlink" Target="https://advance.lexis.com/api/document?collection=cases-ca&amp;id=urn:contentItem:5F7T-S7N1-JC5P-G2CM-00000-00&amp;context=" TargetMode="External" /><Relationship Id="rId616" Type="http://schemas.openxmlformats.org/officeDocument/2006/relationships/hyperlink" Target="https://advance.lexis.com/api/document?collection=cases-ca&amp;id=urn:contentItem:5F7T-S7G1-F5KY-B1K6-00000-00&amp;context=" TargetMode="External" /><Relationship Id="rId617" Type="http://schemas.openxmlformats.org/officeDocument/2006/relationships/hyperlink" Target="https://advance.lexis.com/api/document?collection=cases-ca&amp;id=urn:contentItem:5F7T-S7C1-F4NT-X2YG-00000-00&amp;context=" TargetMode="External" /><Relationship Id="rId618" Type="http://schemas.openxmlformats.org/officeDocument/2006/relationships/hyperlink" Target="https://advance.lexis.com/api/document?collection=cases-ca&amp;id=urn:contentItem:5F7T-S7M1-F4W2-61YM-00000-00&amp;context=" TargetMode="External" /><Relationship Id="rId619" Type="http://schemas.openxmlformats.org/officeDocument/2006/relationships/hyperlink" Target="https://advance.lexis.com/api/document?collection=cases-ca&amp;id=urn:contentItem:5F7T-S7C1-F30T-B2BW-00000-00&amp;context=" TargetMode="External" /><Relationship Id="rId62" Type="http://schemas.openxmlformats.org/officeDocument/2006/relationships/hyperlink" Target="https://advance.lexis.com/api/document?collection=cases-ca&amp;id=urn:contentItem:5F7T-S731-JC0G-63CT-00000-00&amp;context=" TargetMode="External" /><Relationship Id="rId620" Type="http://schemas.openxmlformats.org/officeDocument/2006/relationships/hyperlink" Target="https://advance.lexis.com/api/document?collection=cases-ca&amp;id=urn:contentItem:5F7T-S7G1-JNY7-X41W-00000-00&amp;context=" TargetMode="External" /><Relationship Id="rId621" Type="http://schemas.openxmlformats.org/officeDocument/2006/relationships/hyperlink" Target="https://advance.lexis.com/api/document?collection=cases-ca&amp;id=urn:contentItem:5F7T-S6W1-JYYX-61WH-00000-00&amp;context=" TargetMode="External" /><Relationship Id="rId622" Type="http://schemas.openxmlformats.org/officeDocument/2006/relationships/hyperlink" Target="https://advance.lexis.com/api/document?collection=cases-ca&amp;id=urn:contentItem:5F7T-S7K1-DY33-B1FW-00000-00&amp;context=" TargetMode="External" /><Relationship Id="rId623" Type="http://schemas.openxmlformats.org/officeDocument/2006/relationships/hyperlink" Target="https://advance.lexis.com/api/document?collection=cases-ca&amp;id=urn:contentItem:5F7T-S731-JC0G-63HG-00000-00&amp;context=" TargetMode="External" /><Relationship Id="rId624" Type="http://schemas.openxmlformats.org/officeDocument/2006/relationships/hyperlink" Target="https://advance.lexis.com/api/document?collection=cases-ca&amp;id=urn:contentItem:5F7T-S7P1-F2TK-2372-00000-00&amp;context=" TargetMode="External" /><Relationship Id="rId625" Type="http://schemas.openxmlformats.org/officeDocument/2006/relationships/header" Target="header109.xml" /><Relationship Id="rId626" Type="http://schemas.openxmlformats.org/officeDocument/2006/relationships/header" Target="header110.xml" /><Relationship Id="rId627" Type="http://schemas.openxmlformats.org/officeDocument/2006/relationships/footer" Target="footer109.xml" /><Relationship Id="rId628" Type="http://schemas.openxmlformats.org/officeDocument/2006/relationships/footer" Target="footer110.xml" /><Relationship Id="rId629" Type="http://schemas.openxmlformats.org/officeDocument/2006/relationships/header" Target="header111.xml" /><Relationship Id="rId63" Type="http://schemas.openxmlformats.org/officeDocument/2006/relationships/hyperlink" Target="https://advance.lexis.com/api/document?collection=cases-ca&amp;id=urn:contentItem:5F7T-S711-F4GK-M2GF-00000-00&amp;context=" TargetMode="External" /><Relationship Id="rId630" Type="http://schemas.openxmlformats.org/officeDocument/2006/relationships/footer" Target="footer111.xml" /><Relationship Id="rId631" Type="http://schemas.openxmlformats.org/officeDocument/2006/relationships/hyperlink" Target="https://advance.lexis.com/api/document?collection=cases-ca&amp;id=urn:contentItem:5J8G-FN81-JS0R-240V-00000-00&amp;context=" TargetMode="External" /><Relationship Id="rId632" Type="http://schemas.openxmlformats.org/officeDocument/2006/relationships/hyperlink" Target="https://advance.lexis.com/api/document?collection=cases-ca&amp;id=urn:contentItem:5F8T-N3V1-JF75-M393-00000-00&amp;context=" TargetMode="External" /><Relationship Id="rId633" Type="http://schemas.openxmlformats.org/officeDocument/2006/relationships/hyperlink" Target="https://advance.lexis.com/api/document?collection=cases-ca&amp;id=urn:contentItem:5F8T-N3V1-JF75-M390-00000-00&amp;context=" TargetMode="External" /><Relationship Id="rId634" Type="http://schemas.openxmlformats.org/officeDocument/2006/relationships/hyperlink" Target="https://advance.lexis.com/api/document?collection=cases-ca&amp;id=urn:contentItem:5F8T-N3V1-JFKM-60BG-00000-00&amp;context=" TargetMode="External" /><Relationship Id="rId635" Type="http://schemas.openxmlformats.org/officeDocument/2006/relationships/hyperlink" Target="https://advance.lexis.com/api/document?collection=cases-ca&amp;id=urn:contentItem:5F16-9351-F2MB-S0PW-00000-00&amp;context=" TargetMode="External" /><Relationship Id="rId636" Type="http://schemas.openxmlformats.org/officeDocument/2006/relationships/hyperlink" Target="https://advance.lexis.com/api/document?collection=cases-ca&amp;id=urn:contentItem:5G5T-YCB1-FBV7-B185-00000-00&amp;context=" TargetMode="External" /><Relationship Id="rId637" Type="http://schemas.openxmlformats.org/officeDocument/2006/relationships/header" Target="header112.xml" /><Relationship Id="rId638" Type="http://schemas.openxmlformats.org/officeDocument/2006/relationships/header" Target="header113.xml" /><Relationship Id="rId639" Type="http://schemas.openxmlformats.org/officeDocument/2006/relationships/footer" Target="footer112.xml" /><Relationship Id="rId64" Type="http://schemas.openxmlformats.org/officeDocument/2006/relationships/hyperlink" Target="https://advance.lexis.com/api/document?collection=cases-ca&amp;id=urn:contentItem:5F7T-S6Y1-F4GK-M1YG-00000-00&amp;context=" TargetMode="External" /><Relationship Id="rId640" Type="http://schemas.openxmlformats.org/officeDocument/2006/relationships/footer" Target="footer113.xml" /><Relationship Id="rId641" Type="http://schemas.openxmlformats.org/officeDocument/2006/relationships/header" Target="header114.xml" /><Relationship Id="rId642" Type="http://schemas.openxmlformats.org/officeDocument/2006/relationships/footer" Target="footer114.xml" /><Relationship Id="rId643" Type="http://schemas.openxmlformats.org/officeDocument/2006/relationships/hyperlink" Target="https://advance.lexis.com/api/document?collection=cases-ca&amp;id=urn:contentItem:5NP7-KM41-DY89-M3D8-00000-00&amp;context=" TargetMode="External" /><Relationship Id="rId644" Type="http://schemas.openxmlformats.org/officeDocument/2006/relationships/hyperlink" Target="https://advance.lexis.com/api/document?collection=legislation-ca&amp;id=urn:contentItem:5VYK-W9Y1-F528-G2HB-00000-00&amp;context=" TargetMode="External" /><Relationship Id="rId645" Type="http://schemas.openxmlformats.org/officeDocument/2006/relationships/hyperlink" Target="https://advance.lexis.com/api/document?collection=cases-ca&amp;id=urn:contentItem:5G5K-89P1-K054-G32T-00000-00&amp;context=" TargetMode="External" /><Relationship Id="rId646" Type="http://schemas.openxmlformats.org/officeDocument/2006/relationships/hyperlink" Target="https://advance.lexis.com/api/document?collection=cases-ca&amp;id=urn:contentItem:5K7J-N351-F2TK-20FS-00000-00&amp;context=" TargetMode="External" /><Relationship Id="rId647" Type="http://schemas.openxmlformats.org/officeDocument/2006/relationships/hyperlink" Target="https://advance.lexis.com/api/document?collection=legislation-ca&amp;id=urn:contentItem:5W2C-X5C1-DYFH-X0J7-00000-00&amp;context=" TargetMode="External" /><Relationship Id="rId648" Type="http://schemas.openxmlformats.org/officeDocument/2006/relationships/hyperlink" Target="https://advance.lexis.com/api/document?collection=cases-ca&amp;id=urn:contentItem:5F81-VJX1-F5KY-B45D-00000-00&amp;context=" TargetMode="External" /><Relationship Id="rId649" Type="http://schemas.openxmlformats.org/officeDocument/2006/relationships/hyperlink" Target="https://advance.lexis.com/api/document?collection=cases-ca&amp;id=urn:contentItem:5F81-VJX1-FFTT-X1K4-00000-00&amp;context=" TargetMode="External" /><Relationship Id="rId65" Type="http://schemas.openxmlformats.org/officeDocument/2006/relationships/hyperlink" Target="https://advance.lexis.com/api/document?collection=cases-ca&amp;id=urn:contentItem:5F7T-S761-FFMK-M0WK-00000-00&amp;context=" TargetMode="External" /><Relationship Id="rId650" Type="http://schemas.openxmlformats.org/officeDocument/2006/relationships/hyperlink" Target="https://advance.lexis.com/api/document?collection=cases-ca&amp;id=urn:contentItem:5F7T-S751-FJDY-X419-00000-00&amp;context=" TargetMode="External" /><Relationship Id="rId651" Type="http://schemas.openxmlformats.org/officeDocument/2006/relationships/hyperlink" Target="https://advance.lexis.com/api/document?collection=cases-ca&amp;id=urn:contentItem:5F8P-SGB1-F873-B30M-00000-00&amp;context=" TargetMode="External" /><Relationship Id="rId652" Type="http://schemas.openxmlformats.org/officeDocument/2006/relationships/hyperlink" Target="https://advance.lexis.com/api/document?collection=cases-ca&amp;id=urn:contentItem:5F8P-SDP1-JJ1H-X1T5-00000-00&amp;context=" TargetMode="External" /><Relationship Id="rId653" Type="http://schemas.openxmlformats.org/officeDocument/2006/relationships/hyperlink" Target="https://advance.lexis.com/api/document?collection=cases-ca&amp;id=urn:contentItem:5F8P-SFJ1-JSC5-M2N3-00000-00&amp;context=" TargetMode="External" /><Relationship Id="rId654" Type="http://schemas.openxmlformats.org/officeDocument/2006/relationships/hyperlink" Target="https://advance.lexis.com/api/document?collection=cases-ca&amp;id=urn:contentItem:5F8P-SF71-JWR6-S456-00000-00&amp;context=" TargetMode="External" /><Relationship Id="rId655" Type="http://schemas.openxmlformats.org/officeDocument/2006/relationships/hyperlink" Target="https://advance.lexis.com/api/document?collection=cases-ca&amp;id=urn:contentItem:5F8P-SF81-F22N-X1WN-00000-00&amp;context=" TargetMode="External" /><Relationship Id="rId656" Type="http://schemas.openxmlformats.org/officeDocument/2006/relationships/hyperlink" Target="https://advance.lexis.com/api/document?collection=cases-ca&amp;id=urn:contentItem:5F7T-S7F1-JFKM-61JV-00000-00&amp;context=" TargetMode="External" /><Relationship Id="rId657" Type="http://schemas.openxmlformats.org/officeDocument/2006/relationships/hyperlink" Target="https://advance.lexis.com/api/document?collection=cases-ca&amp;id=urn:contentItem:5F7T-S781-F27X-612F-00000-00&amp;context=" TargetMode="External" /><Relationship Id="rId658" Type="http://schemas.openxmlformats.org/officeDocument/2006/relationships/hyperlink" Target="https://advance.lexis.com/api/document?collection=cases-ca&amp;id=urn:contentItem:5F7T-S7K1-F1H1-22C7-00000-00&amp;context=" TargetMode="External" /><Relationship Id="rId659" Type="http://schemas.openxmlformats.org/officeDocument/2006/relationships/hyperlink" Target="https://advance.lexis.com/api/document?collection=cases-ca&amp;id=urn:contentItem:5F8P-SF11-JF1Y-B2X7-00000-00&amp;context=" TargetMode="External" /><Relationship Id="rId66" Type="http://schemas.openxmlformats.org/officeDocument/2006/relationships/hyperlink" Target="https://advance.lexis.com/api/document?collection=cases-ca&amp;id=urn:contentItem:5F7T-S6W1-F7ND-G2S0-00000-00&amp;context=" TargetMode="External" /><Relationship Id="rId660" Type="http://schemas.openxmlformats.org/officeDocument/2006/relationships/hyperlink" Target="https://advance.lexis.com/api/document?collection=cases-ca&amp;id=urn:contentItem:5F7T-S7N1-F06F-24CF-00000-00&amp;context=" TargetMode="External" /><Relationship Id="rId661" Type="http://schemas.openxmlformats.org/officeDocument/2006/relationships/hyperlink" Target="https://advance.lexis.com/api/document?collection=cases-ca&amp;id=urn:contentItem:5F7T-S771-JJD0-G15J-00000-00&amp;context=" TargetMode="External" /><Relationship Id="rId662" Type="http://schemas.openxmlformats.org/officeDocument/2006/relationships/hyperlink" Target="https://advance.lexis.com/api/document?collection=cases-ca&amp;id=urn:contentItem:5F8T-N3V1-FH4C-X247-00000-00&amp;context=" TargetMode="External" /><Relationship Id="rId663" Type="http://schemas.openxmlformats.org/officeDocument/2006/relationships/hyperlink" Target="https://advance.lexis.com/api/document?collection=cases-ca&amp;id=urn:contentItem:5F7T-S7P1-JG02-S3YS-00000-00&amp;context=" TargetMode="External" /><Relationship Id="rId664" Type="http://schemas.openxmlformats.org/officeDocument/2006/relationships/hyperlink" Target="https://advance.lexis.com/api/document?collection=cases-ca&amp;id=urn:contentItem:5F8P-SDT1-JCJ5-24DM-00000-00&amp;context=" TargetMode="External" /><Relationship Id="rId665" Type="http://schemas.openxmlformats.org/officeDocument/2006/relationships/hyperlink" Target="https://advance.lexis.com/api/document?collection=cases-ca&amp;id=urn:contentItem:5F82-1SJ1-DYMS-63DJ-00000-00&amp;context=" TargetMode="External" /><Relationship Id="rId666" Type="http://schemas.openxmlformats.org/officeDocument/2006/relationships/hyperlink" Target="https://advance.lexis.com/api/document?collection=cases-ca&amp;id=urn:contentItem:5F7T-S7N1-JC5P-G2D6-00000-00&amp;context=" TargetMode="External" /><Relationship Id="rId667" Type="http://schemas.openxmlformats.org/officeDocument/2006/relationships/hyperlink" Target="https://advance.lexis.com/api/document?collection=cases-ca&amp;id=urn:contentItem:5G68-9741-FCYK-21KH-00000-00&amp;context=" TargetMode="External" /><Relationship Id="rId668" Type="http://schemas.openxmlformats.org/officeDocument/2006/relationships/hyperlink" Target="https://advance.lexis.com/api/document?collection=cases-ca&amp;id=urn:contentItem:5F81-VJY1-JWBS-64DJ-00000-00&amp;context=" TargetMode="External" /><Relationship Id="rId669" Type="http://schemas.openxmlformats.org/officeDocument/2006/relationships/hyperlink" Target="https://advance.lexis.com/api/document?collection=cases-ca&amp;id=urn:contentItem:5G7S-1GH1-JBDT-B3F9-00000-00&amp;context=" TargetMode="External" /><Relationship Id="rId67" Type="http://schemas.openxmlformats.org/officeDocument/2006/relationships/hyperlink" Target="https://advance.lexis.com/api/document?collection=cases-ca&amp;id=urn:contentItem:5F7T-S6W1-F7ND-G2GB-00000-00&amp;context=" TargetMode="External" /><Relationship Id="rId670" Type="http://schemas.openxmlformats.org/officeDocument/2006/relationships/hyperlink" Target="https://advance.lexis.com/api/document?collection=cases-ca&amp;id=urn:contentItem:5F8P-SGC1-F60C-X3M5-00000-00&amp;context=" TargetMode="External" /><Relationship Id="rId671" Type="http://schemas.openxmlformats.org/officeDocument/2006/relationships/hyperlink" Target="https://advance.lexis.com/api/document?collection=cases-ca&amp;id=urn:contentItem:5F8P-SF21-FH4C-X1TF-00000-00&amp;context=" TargetMode="External" /><Relationship Id="rId672" Type="http://schemas.openxmlformats.org/officeDocument/2006/relationships/hyperlink" Target="https://advance.lexis.com/api/document?collection=cases-ca&amp;id=urn:contentItem:5F8T-N3V1-FH4C-X1WM-00000-00&amp;context=" TargetMode="External" /><Relationship Id="rId673" Type="http://schemas.openxmlformats.org/officeDocument/2006/relationships/hyperlink" Target="https://advance.lexis.com/api/document?collection=cases-ca&amp;id=urn:contentItem:5F7T-S751-JP4G-614D-00000-00&amp;context=" TargetMode="External" /><Relationship Id="rId674" Type="http://schemas.openxmlformats.org/officeDocument/2006/relationships/hyperlink" Target="https://advance.lexis.com/api/document?collection=cases-ca&amp;id=urn:contentItem:5F82-1SD1-JFKM-609Y-00000-00&amp;context=" TargetMode="External" /><Relationship Id="rId675" Type="http://schemas.openxmlformats.org/officeDocument/2006/relationships/hyperlink" Target="https://advance.lexis.com/api/document?collection=cases-ca&amp;id=urn:contentItem:5F16-9391-F5KY-B1YR-00000-00&amp;context=" TargetMode="External" /><Relationship Id="rId676" Type="http://schemas.openxmlformats.org/officeDocument/2006/relationships/hyperlink" Target="https://advance.lexis.com/api/document?collection=cases-ca&amp;id=urn:contentItem:5N7M-MNT1-JFSV-G2P8-00000-00&amp;context=" TargetMode="External" /><Relationship Id="rId677" Type="http://schemas.openxmlformats.org/officeDocument/2006/relationships/hyperlink" Target="https://advance.lexis.com/api/document?collection=cases-ca&amp;id=urn:contentItem:5F8P-SGC1-JG02-S2G0-00000-00&amp;context=" TargetMode="External" /><Relationship Id="rId678" Type="http://schemas.openxmlformats.org/officeDocument/2006/relationships/hyperlink" Target="https://advance.lexis.com/api/document?collection=cases-ca&amp;id=urn:contentItem:5G4S-FF61-K0HK-24T9-00000-00&amp;context=" TargetMode="External" /><Relationship Id="rId679" Type="http://schemas.openxmlformats.org/officeDocument/2006/relationships/hyperlink" Target="https://advance.lexis.com/api/document?collection=cases-ca&amp;id=urn:contentItem:5N2Y-C701-JJD0-G0RY-00000-00&amp;context=" TargetMode="External" /><Relationship Id="rId68" Type="http://schemas.openxmlformats.org/officeDocument/2006/relationships/hyperlink" Target="https://advance.lexis.com/api/document?collection=cases-ca&amp;id=urn:contentItem:5F7T-S711-F4GK-M2VC-00000-00&amp;context=" TargetMode="External" /><Relationship Id="rId680" Type="http://schemas.openxmlformats.org/officeDocument/2006/relationships/header" Target="header115.xml" /><Relationship Id="rId681" Type="http://schemas.openxmlformats.org/officeDocument/2006/relationships/header" Target="header116.xml" /><Relationship Id="rId682" Type="http://schemas.openxmlformats.org/officeDocument/2006/relationships/footer" Target="footer115.xml" /><Relationship Id="rId683" Type="http://schemas.openxmlformats.org/officeDocument/2006/relationships/footer" Target="footer116.xml" /><Relationship Id="rId684" Type="http://schemas.openxmlformats.org/officeDocument/2006/relationships/header" Target="header117.xml" /><Relationship Id="rId685" Type="http://schemas.openxmlformats.org/officeDocument/2006/relationships/footer" Target="footer117.xml" /><Relationship Id="rId686" Type="http://schemas.openxmlformats.org/officeDocument/2006/relationships/hyperlink" Target="https://advance.lexis.com/api/document?collection=cases-ca&amp;id=urn:contentItem:5F7T-S7G1-JNY7-X416-00000-00&amp;context=" TargetMode="External" /><Relationship Id="rId687" Type="http://schemas.openxmlformats.org/officeDocument/2006/relationships/hyperlink" Target="https://advance.lexis.com/api/document?collection=legislation-ca&amp;id=urn:contentItem:5F41-1FJ1-F5DR-207Y-00000-00&amp;context=" TargetMode="External" /><Relationship Id="rId688" Type="http://schemas.openxmlformats.org/officeDocument/2006/relationships/hyperlink" Target="https://advance.lexis.com/api/document?collection=cases-ca&amp;id=urn:contentItem:5F7T-S7D1-DY89-M3Y3-00000-00&amp;context=" TargetMode="External" /><Relationship Id="rId689" Type="http://schemas.openxmlformats.org/officeDocument/2006/relationships/hyperlink" Target="https://advance.lexis.com/api/document?collection=cases-ca&amp;id=urn:contentItem:5F7T-S7F1-DXWW-23P0-00000-00&amp;context=" TargetMode="External" /><Relationship Id="rId69" Type="http://schemas.openxmlformats.org/officeDocument/2006/relationships/header" Target="header10.xml" /><Relationship Id="rId690" Type="http://schemas.openxmlformats.org/officeDocument/2006/relationships/hyperlink" Target="https://advance.lexis.com/api/document?collection=legislation-ca&amp;id=urn:contentItem:5F41-1FJ1-F5DR-206Y-00000-00&amp;context=" TargetMode="External" /><Relationship Id="rId691" Type="http://schemas.openxmlformats.org/officeDocument/2006/relationships/hyperlink" Target="https://advance.lexis.com/api/document?collection=cases-ca&amp;id=urn:contentItem:5F7T-S6X1-F7ND-G31D-00000-00&amp;context=" TargetMode="External" /><Relationship Id="rId692" Type="http://schemas.openxmlformats.org/officeDocument/2006/relationships/hyperlink" Target="https://advance.lexis.com/api/document?collection=cases-ca&amp;id=urn:contentItem:5F7T-S6W1-JXNB-62C5-00000-00&amp;context=" TargetMode="External" /><Relationship Id="rId693" Type="http://schemas.openxmlformats.org/officeDocument/2006/relationships/hyperlink" Target="https://advance.lexis.com/api/document?collection=cases-ca&amp;id=urn:contentItem:5F81-VJX1-FCK4-G1B6-00000-00&amp;context=" TargetMode="External" /><Relationship Id="rId694" Type="http://schemas.openxmlformats.org/officeDocument/2006/relationships/hyperlink" Target="https://advance.lexis.com/api/document?collection=cases-ca&amp;id=urn:contentItem:5F7T-S7C1-FGRY-B0MG-00000-00&amp;context=" TargetMode="External" /><Relationship Id="rId695" Type="http://schemas.openxmlformats.org/officeDocument/2006/relationships/hyperlink" Target="https://advance.lexis.com/api/document?collection=cases-ca&amp;id=urn:contentItem:5F7T-S6W1-JYYX-61DH-00000-00&amp;context=" TargetMode="External" /><Relationship Id="rId696" Type="http://schemas.openxmlformats.org/officeDocument/2006/relationships/hyperlink" Target="https://advance.lexis.com/api/document?collection=cases-ca&amp;id=urn:contentItem:5F7T-S761-JCBX-S0HY-00000-00&amp;context=" TargetMode="External" /><Relationship Id="rId697" Type="http://schemas.openxmlformats.org/officeDocument/2006/relationships/hyperlink" Target="https://advance.lexis.com/api/document?collection=legislation-ca&amp;id=urn:contentItem:5F97-RBR1-K0BB-S3WB-00000-00&amp;context=" TargetMode="External" /><Relationship Id="rId698" Type="http://schemas.openxmlformats.org/officeDocument/2006/relationships/hyperlink" Target="https://advance.lexis.com/api/document?collection=cases-ca&amp;id=urn:contentItem:5F8T-N3P1-FC6N-X169-00000-00&amp;context=" TargetMode="External" /><Relationship Id="rId699" Type="http://schemas.openxmlformats.org/officeDocument/2006/relationships/hyperlink" Target="https://advance.lexis.com/api/document?collection=cases-ca&amp;id=urn:contentItem:5F8T-N3S1-JT99-24PB-00000-00&amp;context=" TargetMode="External" /><Relationship Id="rId7" Type="http://schemas.openxmlformats.org/officeDocument/2006/relationships/footer" Target="footer2.xml" /><Relationship Id="rId70" Type="http://schemas.openxmlformats.org/officeDocument/2006/relationships/header" Target="header11.xml" /><Relationship Id="rId700" Type="http://schemas.openxmlformats.org/officeDocument/2006/relationships/hyperlink" Target="https://advance.lexis.com/api/document?collection=cases-ca&amp;id=urn:contentItem:5F7T-S781-F900-G115-00000-00&amp;context=" TargetMode="External" /><Relationship Id="rId701" Type="http://schemas.openxmlformats.org/officeDocument/2006/relationships/hyperlink" Target="https://advance.lexis.com/api/document?collection=legislation-ca&amp;id=urn:contentItem:5VYK-W9T1-JGBH-B3CT-00000-00&amp;context=" TargetMode="External" /><Relationship Id="rId702" Type="http://schemas.openxmlformats.org/officeDocument/2006/relationships/hyperlink" Target="https://advance.lexis.com/api/document?collection=cases-ca&amp;id=urn:contentItem:5F8N-K6X1-F4NT-X3XS-00000-00&amp;context=" TargetMode="External" /><Relationship Id="rId703" Type="http://schemas.openxmlformats.org/officeDocument/2006/relationships/hyperlink" Target="https://advance.lexis.com/api/document?collection=cases-ca&amp;id=urn:contentItem:5F7T-S6P1-JXNB-61C6-00000-00&amp;context=" TargetMode="External" /><Relationship Id="rId704" Type="http://schemas.openxmlformats.org/officeDocument/2006/relationships/hyperlink" Target="https://advance.lexis.com/api/document?collection=cases-ca&amp;id=urn:contentItem:5F8T-N3T1-JFKM-6519-00000-00&amp;context=" TargetMode="External" /><Relationship Id="rId705" Type="http://schemas.openxmlformats.org/officeDocument/2006/relationships/hyperlink" Target="https://advance.lexis.com/api/document?collection=cases-ca&amp;id=urn:contentItem:5F8T-N3V1-JF75-M3FN-00000-00&amp;context=" TargetMode="External" /><Relationship Id="rId706" Type="http://schemas.openxmlformats.org/officeDocument/2006/relationships/hyperlink" Target="https://advance.lexis.com/api/document?collection=cases-ca&amp;id=urn:contentItem:5F8T-N3T1-JJSF-23F8-00000-00&amp;context=" TargetMode="External" /><Relationship Id="rId707" Type="http://schemas.openxmlformats.org/officeDocument/2006/relationships/hyperlink" Target="https://advance.lexis.com/api/document?collection=cases-ca&amp;id=urn:contentItem:5F7T-S791-FJTD-G313-00000-00&amp;context=" TargetMode="External" /><Relationship Id="rId708" Type="http://schemas.openxmlformats.org/officeDocument/2006/relationships/hyperlink" Target="https://advance.lexis.com/api/document?collection=cases-ca&amp;id=urn:contentItem:5F8T-N3T1-JJSF-233X-00000-00&amp;context=" TargetMode="External" /><Relationship Id="rId709" Type="http://schemas.openxmlformats.org/officeDocument/2006/relationships/hyperlink" Target="https://advance.lexis.com/api/document?collection=cases-ca&amp;id=urn:contentItem:5F7T-S6X1-FJDY-X1J8-00000-00&amp;context=" TargetMode="External" /><Relationship Id="rId71" Type="http://schemas.openxmlformats.org/officeDocument/2006/relationships/footer" Target="footer10.xml" /><Relationship Id="rId710" Type="http://schemas.openxmlformats.org/officeDocument/2006/relationships/hyperlink" Target="https://advance.lexis.com/api/document?collection=cases-ca&amp;id=urn:contentItem:5F8T-N3V1-JTGH-B192-00000-00&amp;context=" TargetMode="External" /><Relationship Id="rId711" Type="http://schemas.openxmlformats.org/officeDocument/2006/relationships/hyperlink" Target="https://advance.lexis.com/api/document?collection=cases-ca&amp;id=urn:contentItem:5F16-9381-JJSF-222V-00000-00&amp;context=" TargetMode="External" /><Relationship Id="rId712" Type="http://schemas.openxmlformats.org/officeDocument/2006/relationships/hyperlink" Target="https://advance.lexis.com/api/document?collection=cases-ca&amp;id=urn:contentItem:5F7T-S6X1-K054-G1M8-00000-00&amp;context=" TargetMode="External" /><Relationship Id="rId713" Type="http://schemas.openxmlformats.org/officeDocument/2006/relationships/hyperlink" Target="https://advance.lexis.com/api/document?collection=cases-ca&amp;id=urn:contentItem:5F7H-KW51-JGBH-B035-00000-00&amp;context=" TargetMode="External" /><Relationship Id="rId714" Type="http://schemas.openxmlformats.org/officeDocument/2006/relationships/hyperlink" Target="https://advance.lexis.com/api/document?collection=cases-ca&amp;id=urn:contentItem:5F8T-N3V1-FC1F-M41H-00000-00&amp;context=" TargetMode="External" /><Relationship Id="rId715" Type="http://schemas.openxmlformats.org/officeDocument/2006/relationships/hyperlink" Target="https://advance.lexis.com/api/document?collection=cases-ca&amp;id=urn:contentItem:5F7T-S7D1-JN6B-S0S2-00000-00&amp;context=" TargetMode="External" /><Relationship Id="rId716" Type="http://schemas.openxmlformats.org/officeDocument/2006/relationships/hyperlink" Target="https://advance.lexis.com/api/document?collection=cases-ca&amp;id=urn:contentItem:5F7T-XPW1-F1H1-208W-00000-00&amp;context=" TargetMode="External" /><Relationship Id="rId717" Type="http://schemas.openxmlformats.org/officeDocument/2006/relationships/hyperlink" Target="https://advance.lexis.com/api/document?collection=cases-ca&amp;id=urn:contentItem:5F7T-S6X1-JXNB-62MK-00000-00&amp;context=" TargetMode="External" /><Relationship Id="rId718" Type="http://schemas.openxmlformats.org/officeDocument/2006/relationships/hyperlink" Target="https://advance.lexis.com/api/document?collection=cases-ca&amp;id=urn:contentItem:5F7T-S6T1-F2F4-G1N4-00000-00&amp;context=" TargetMode="External" /><Relationship Id="rId719" Type="http://schemas.openxmlformats.org/officeDocument/2006/relationships/hyperlink" Target="https://advance.lexis.com/api/document?collection=cases-ca&amp;id=urn:contentItem:5F8P-SDK1-JGHR-M03G-00000-00&amp;context=" TargetMode="External" /><Relationship Id="rId72" Type="http://schemas.openxmlformats.org/officeDocument/2006/relationships/footer" Target="footer11.xml" /><Relationship Id="rId720" Type="http://schemas.openxmlformats.org/officeDocument/2006/relationships/header" Target="header118.xml" /><Relationship Id="rId721" Type="http://schemas.openxmlformats.org/officeDocument/2006/relationships/header" Target="header119.xml" /><Relationship Id="rId722" Type="http://schemas.openxmlformats.org/officeDocument/2006/relationships/footer" Target="footer118.xml" /><Relationship Id="rId723" Type="http://schemas.openxmlformats.org/officeDocument/2006/relationships/footer" Target="footer119.xml" /><Relationship Id="rId724" Type="http://schemas.openxmlformats.org/officeDocument/2006/relationships/header" Target="header120.xml" /><Relationship Id="rId725" Type="http://schemas.openxmlformats.org/officeDocument/2006/relationships/footer" Target="footer120.xml" /><Relationship Id="rId726" Type="http://schemas.openxmlformats.org/officeDocument/2006/relationships/hyperlink" Target="https://advance.lexis.com/api/document?collection=cases-ca&amp;id=urn:contentItem:5F7T-S7K1-JKHB-634B-00000-00&amp;context=" TargetMode="External" /><Relationship Id="rId727" Type="http://schemas.openxmlformats.org/officeDocument/2006/relationships/hyperlink" Target="https://advance.lexis.com/api/document?collection=cases-ca&amp;id=urn:contentItem:5F7T-S7G1-F5KY-B1BX-00000-00&amp;context=" TargetMode="External" /><Relationship Id="rId728" Type="http://schemas.openxmlformats.org/officeDocument/2006/relationships/hyperlink" Target="https://advance.lexis.com/api/document?collection=cases-ca&amp;id=urn:contentItem:5F7T-S7K1-JSJC-X177-00000-00&amp;context=" TargetMode="External" /><Relationship Id="rId729" Type="http://schemas.openxmlformats.org/officeDocument/2006/relationships/hyperlink" Target="https://advance.lexis.com/api/document?collection=cases-ca&amp;id=urn:contentItem:5F7T-S7C1-JXG3-X03P-00000-00&amp;context=" TargetMode="External" /><Relationship Id="rId73" Type="http://schemas.openxmlformats.org/officeDocument/2006/relationships/header" Target="header12.xml" /><Relationship Id="rId730" Type="http://schemas.openxmlformats.org/officeDocument/2006/relationships/hyperlink" Target="https://advance.lexis.com/api/document?collection=cases-ca&amp;id=urn:contentItem:5F7T-S7F1-F7VM-S440-00000-00&amp;context=" TargetMode="External" /><Relationship Id="rId731" Type="http://schemas.openxmlformats.org/officeDocument/2006/relationships/hyperlink" Target="https://advance.lexis.com/api/document?collection=cases-ca&amp;id=urn:contentItem:5F7T-S7H1-JS5Y-B2XK-00000-00&amp;context=" TargetMode="External" /><Relationship Id="rId732" Type="http://schemas.openxmlformats.org/officeDocument/2006/relationships/hyperlink" Target="https://advance.lexis.com/api/document?collection=cases-ca&amp;id=urn:contentItem:5F7T-S7H1-JCRC-B10T-00000-00&amp;context=" TargetMode="External" /><Relationship Id="rId733" Type="http://schemas.openxmlformats.org/officeDocument/2006/relationships/hyperlink" Target="https://advance.lexis.com/api/document?collection=cases-ca&amp;id=urn:contentItem:5F7T-S7J1-JYYX-62G9-00000-00&amp;context=" TargetMode="External" /><Relationship Id="rId734" Type="http://schemas.openxmlformats.org/officeDocument/2006/relationships/hyperlink" Target="https://advance.lexis.com/api/document?collection=cases-ca&amp;id=urn:contentItem:5F7T-S7H1-FCSB-S39F-00000-00&amp;context=" TargetMode="External" /><Relationship Id="rId735" Type="http://schemas.openxmlformats.org/officeDocument/2006/relationships/header" Target="header121.xml" /><Relationship Id="rId736" Type="http://schemas.openxmlformats.org/officeDocument/2006/relationships/header" Target="header122.xml" /><Relationship Id="rId737" Type="http://schemas.openxmlformats.org/officeDocument/2006/relationships/footer" Target="footer121.xml" /><Relationship Id="rId738" Type="http://schemas.openxmlformats.org/officeDocument/2006/relationships/footer" Target="footer122.xml" /><Relationship Id="rId739" Type="http://schemas.openxmlformats.org/officeDocument/2006/relationships/header" Target="header123.xml" /><Relationship Id="rId74" Type="http://schemas.openxmlformats.org/officeDocument/2006/relationships/footer" Target="footer12.xml" /><Relationship Id="rId740" Type="http://schemas.openxmlformats.org/officeDocument/2006/relationships/footer" Target="footer123.xml" /><Relationship Id="rId741" Type="http://schemas.openxmlformats.org/officeDocument/2006/relationships/hyperlink" Target="https://advance.lexis.com/api/document?collection=cases-ca&amp;id=urn:contentItem:5G6F-0731-JSJC-X1B1-00000-00&amp;context=" TargetMode="External" /><Relationship Id="rId742" Type="http://schemas.openxmlformats.org/officeDocument/2006/relationships/hyperlink" Target="https://advance.lexis.com/api/document?collection=legislation-ca&amp;id=urn:contentItem:5VPB-FN41-JWJ0-G0WT-00000-00&amp;context=" TargetMode="External" /><Relationship Id="rId743" Type="http://schemas.openxmlformats.org/officeDocument/2006/relationships/hyperlink" Target="https://advance.lexis.com/api/document?collection=legislation-ca&amp;id=urn:contentItem:5F41-1FJ1-JBDT-B069-00000-00&amp;context=" TargetMode="External" /><Relationship Id="rId744" Type="http://schemas.openxmlformats.org/officeDocument/2006/relationships/hyperlink" Target="https://advance.lexis.com/api/document?collection=legislation-ca&amp;id=urn:contentItem:5W2C-X5M1-JPP5-23CD-00000-00&amp;context=" TargetMode="External" /><Relationship Id="rId745" Type="http://schemas.openxmlformats.org/officeDocument/2006/relationships/hyperlink" Target="https://advance.lexis.com/api/document?collection=cases-ca&amp;id=urn:contentItem:5F8T-N3V1-FH4C-X252-00000-00&amp;context=" TargetMode="External" /><Relationship Id="rId746" Type="http://schemas.openxmlformats.org/officeDocument/2006/relationships/hyperlink" Target="https://advance.lexis.com/api/document?collection=cases-ca&amp;id=urn:contentItem:5F7T-S781-JC5P-G1HX-00000-00&amp;context=" TargetMode="External" /><Relationship Id="rId747" Type="http://schemas.openxmlformats.org/officeDocument/2006/relationships/hyperlink" Target="https://advance.lexis.com/api/document?collection=cases-ca&amp;id=urn:contentItem:5F7T-S6Y1-FJDY-X23K-00000-00&amp;context=" TargetMode="External" /><Relationship Id="rId748" Type="http://schemas.openxmlformats.org/officeDocument/2006/relationships/hyperlink" Target="https://advance.lexis.com/api/document?collection=cases-ca&amp;id=urn:contentItem:5F7T-S7J1-JYYX-628D-00000-00&amp;context=" TargetMode="External" /><Relationship Id="rId749" Type="http://schemas.openxmlformats.org/officeDocument/2006/relationships/hyperlink" Target="https://advance.lexis.com/api/document?collection=cases-ca&amp;id=urn:contentItem:5F7T-S7P1-JSJC-X1FX-00000-00&amp;context=" TargetMode="External" /><Relationship Id="rId75" Type="http://schemas.openxmlformats.org/officeDocument/2006/relationships/hyperlink" Target="https://advance.lexis.com/api/document?collection=cases-ca&amp;id=urn:contentItem:5F7T-S7B1-FH4C-X3N5-00000-00&amp;context=" TargetMode="External" /><Relationship Id="rId750" Type="http://schemas.openxmlformats.org/officeDocument/2006/relationships/hyperlink" Target="https://advance.lexis.com/api/document?collection=cases-ca&amp;id=urn:contentItem:5F7T-S7N1-JC5P-G1X3-00000-00&amp;context=" TargetMode="External" /><Relationship Id="rId751" Type="http://schemas.openxmlformats.org/officeDocument/2006/relationships/hyperlink" Target="https://advance.lexis.com/api/document?collection=cases-ca&amp;id=urn:contentItem:5F7T-S7C1-JSRM-60TS-00000-00&amp;context=" TargetMode="External" /><Relationship Id="rId752" Type="http://schemas.openxmlformats.org/officeDocument/2006/relationships/hyperlink" Target="https://advance.lexis.com/api/document?collection=cases-ca&amp;id=urn:contentItem:5F7T-S7C1-JSRM-60TY-00000-00&amp;context=" TargetMode="External" /><Relationship Id="rId753" Type="http://schemas.openxmlformats.org/officeDocument/2006/relationships/hyperlink" Target="https://advance.lexis.com/api/document?collection=cases-ca&amp;id=urn:contentItem:5F7T-S761-F81W-2257-00000-00&amp;context=" TargetMode="External" /><Relationship Id="rId754" Type="http://schemas.openxmlformats.org/officeDocument/2006/relationships/hyperlink" Target="https://advance.lexis.com/api/document?collection=cases-ca&amp;id=urn:contentItem:5F7T-S7P1-JP4G-61SG-00000-00&amp;context=" TargetMode="External" /><Relationship Id="rId755" Type="http://schemas.openxmlformats.org/officeDocument/2006/relationships/hyperlink" Target="https://advance.lexis.com/api/document?collection=cases-ca&amp;id=urn:contentItem:5F7T-S7P1-JSJC-X1MD-00000-00&amp;context=" TargetMode="External" /><Relationship Id="rId756" Type="http://schemas.openxmlformats.org/officeDocument/2006/relationships/hyperlink" Target="https://advance.lexis.com/api/document?collection=cases-ca&amp;id=urn:contentItem:5F7T-S7P1-JNJT-B2DB-00000-00&amp;context=" TargetMode="External" /><Relationship Id="rId757" Type="http://schemas.openxmlformats.org/officeDocument/2006/relationships/hyperlink" Target="https://advance.lexis.com/api/document?collection=cases-ca&amp;id=urn:contentItem:5F7T-S7H1-JFSV-G38X-00000-00&amp;context=" TargetMode="External" /><Relationship Id="rId758" Type="http://schemas.openxmlformats.org/officeDocument/2006/relationships/hyperlink" Target="https://advance.lexis.com/api/document?collection=cases-ca&amp;id=urn:contentItem:5F8T-N3V1-JTGH-B1DM-00000-00&amp;context=" TargetMode="External" /><Relationship Id="rId759" Type="http://schemas.openxmlformats.org/officeDocument/2006/relationships/header" Target="header124.xml" /><Relationship Id="rId76" Type="http://schemas.openxmlformats.org/officeDocument/2006/relationships/hyperlink" Target="https://advance.lexis.com/api/document?collection=cases-ca&amp;id=urn:contentItem:5F7T-S781-JC5P-G1GM-00000-00&amp;context=" TargetMode="External" /><Relationship Id="rId760" Type="http://schemas.openxmlformats.org/officeDocument/2006/relationships/header" Target="header125.xml" /><Relationship Id="rId761" Type="http://schemas.openxmlformats.org/officeDocument/2006/relationships/footer" Target="footer124.xml" /><Relationship Id="rId762" Type="http://schemas.openxmlformats.org/officeDocument/2006/relationships/footer" Target="footer125.xml" /><Relationship Id="rId763" Type="http://schemas.openxmlformats.org/officeDocument/2006/relationships/header" Target="header126.xml" /><Relationship Id="rId764" Type="http://schemas.openxmlformats.org/officeDocument/2006/relationships/footer" Target="footer126.xml" /><Relationship Id="rId765" Type="http://schemas.openxmlformats.org/officeDocument/2006/relationships/hyperlink" Target="https://advance.lexis.com/api/document?collection=cases-ca&amp;id=urn:contentItem:5F7T-S7H1-F4GK-M38G-00000-00&amp;context=" TargetMode="External" /><Relationship Id="rId766" Type="http://schemas.openxmlformats.org/officeDocument/2006/relationships/hyperlink" Target="https://advance.lexis.com/api/document?collection=cases-ca&amp;id=urn:contentItem:5F7T-S6Y1-JPP5-2168-00000-00&amp;context=" TargetMode="External" /><Relationship Id="rId767" Type="http://schemas.openxmlformats.org/officeDocument/2006/relationships/hyperlink" Target="https://advance.lexis.com/api/document?collection=cases-ca&amp;id=urn:contentItem:5F8T-N3V1-JTGH-B19S-00000-00&amp;context=" TargetMode="External" /><Relationship Id="rId768" Type="http://schemas.openxmlformats.org/officeDocument/2006/relationships/hyperlink" Target="https://advance.lexis.com/api/document?collection=cases-ca&amp;id=urn:contentItem:5F16-9371-JBT7-X1YY-00000-00&amp;context=" TargetMode="External" /><Relationship Id="rId769" Type="http://schemas.openxmlformats.org/officeDocument/2006/relationships/hyperlink" Target="https://advance.lexis.com/api/document?collection=cases-ca&amp;id=urn:contentItem:5F7T-S731-FFFC-B0NF-00000-00&amp;context=" TargetMode="External" /><Relationship Id="rId77" Type="http://schemas.openxmlformats.org/officeDocument/2006/relationships/hyperlink" Target="https://advance.lexis.com/api/document?collection=cases-ca&amp;id=urn:contentItem:5F7T-S741-F1H1-21G4-00000-00&amp;context=" TargetMode="External" /><Relationship Id="rId770" Type="http://schemas.openxmlformats.org/officeDocument/2006/relationships/hyperlink" Target="https://advance.lexis.com/api/document?collection=cases-ca&amp;id=urn:contentItem:5F7T-S701-F8KH-X1JW-00000-00&amp;context=" TargetMode="External" /><Relationship Id="rId771" Type="http://schemas.openxmlformats.org/officeDocument/2006/relationships/hyperlink" Target="https://advance.lexis.com/api/document?collection=cases-ca&amp;id=urn:contentItem:5F8T-N3R1-FBV7-B03N-00000-00&amp;context=" TargetMode="External" /><Relationship Id="rId772" Type="http://schemas.openxmlformats.org/officeDocument/2006/relationships/hyperlink" Target="https://advance.lexis.com/api/document?collection=cases-ca&amp;id=urn:contentItem:5F7T-S6Y1-JPP5-2184-00000-00&amp;context=" TargetMode="External" /><Relationship Id="rId773" Type="http://schemas.openxmlformats.org/officeDocument/2006/relationships/header" Target="header127.xml" /><Relationship Id="rId774" Type="http://schemas.openxmlformats.org/officeDocument/2006/relationships/header" Target="header128.xml" /><Relationship Id="rId775" Type="http://schemas.openxmlformats.org/officeDocument/2006/relationships/footer" Target="footer127.xml" /><Relationship Id="rId776" Type="http://schemas.openxmlformats.org/officeDocument/2006/relationships/footer" Target="footer128.xml" /><Relationship Id="rId777" Type="http://schemas.openxmlformats.org/officeDocument/2006/relationships/header" Target="header129.xml" /><Relationship Id="rId778" Type="http://schemas.openxmlformats.org/officeDocument/2006/relationships/footer" Target="footer129.xml" /><Relationship Id="rId779" Type="http://schemas.openxmlformats.org/officeDocument/2006/relationships/hyperlink" Target="https://advance.lexis.com/api/document?collection=cases-ca&amp;id=urn:contentItem:5VC5-BS51-JTGH-B0SH-00000-00&amp;context=" TargetMode="External" /><Relationship Id="rId78" Type="http://schemas.openxmlformats.org/officeDocument/2006/relationships/header" Target="header13.xml" /><Relationship Id="rId780" Type="http://schemas.openxmlformats.org/officeDocument/2006/relationships/hyperlink" Target="https://advance.lexis.com/api/document?collection=legislation-ca&amp;id=urn:contentItem:5TBM-3RJ1-F5T5-M2S5-00000-00&amp;context=" TargetMode="External" /><Relationship Id="rId781" Type="http://schemas.openxmlformats.org/officeDocument/2006/relationships/hyperlink" Target="https://advance.lexis.com/api/document?collection=legislation-ca&amp;id=urn:contentItem:5F41-1FN1-JJK6-S030-00000-00&amp;context=" TargetMode="External" /><Relationship Id="rId782" Type="http://schemas.openxmlformats.org/officeDocument/2006/relationships/hyperlink" Target="https://advance.lexis.com/api/document?collection=legislation-ca&amp;id=urn:contentItem:5F41-1FP1-JXNB-60FD-00000-00&amp;context=" TargetMode="External" /><Relationship Id="rId783" Type="http://schemas.openxmlformats.org/officeDocument/2006/relationships/hyperlink" Target="https://advance.lexis.com/api/document?collection=legislation-ca&amp;id=urn:contentItem:5VGK-0981-JJ6S-62H8-00000-00&amp;context=" TargetMode="External" /><Relationship Id="rId784" Type="http://schemas.openxmlformats.org/officeDocument/2006/relationships/hyperlink" Target="https://advance.lexis.com/api/document?collection=legislation-ca&amp;id=urn:contentItem:5R0N-PV41-JC5P-G0X6-00000-00&amp;context=" TargetMode="External" /><Relationship Id="rId785" Type="http://schemas.openxmlformats.org/officeDocument/2006/relationships/hyperlink" Target="https://advance.lexis.com/api/document?collection=cases-ca&amp;id=urn:contentItem:5S7F-C2F1-F06F-24JN-00000-00&amp;context=" TargetMode="External" /><Relationship Id="rId786" Type="http://schemas.openxmlformats.org/officeDocument/2006/relationships/hyperlink" Target="https://advance.lexis.com/api/document?collection=cases-ca&amp;id=urn:contentItem:5F7T-S771-F361-M1G4-00000-00&amp;context=" TargetMode="External" /><Relationship Id="rId787" Type="http://schemas.openxmlformats.org/officeDocument/2006/relationships/hyperlink" Target="https://advance.lexis.com/api/document?collection=cases-ca&amp;id=urn:contentItem:5F7T-S751-F361-M0RC-00000-00&amp;context=" TargetMode="External" /><Relationship Id="rId788" Type="http://schemas.openxmlformats.org/officeDocument/2006/relationships/hyperlink" Target="https://advance.lexis.com/api/document?collection=cases-ca&amp;id=urn:contentItem:5F7T-S731-JC0G-638S-00000-00&amp;context=" TargetMode="External" /><Relationship Id="rId789" Type="http://schemas.openxmlformats.org/officeDocument/2006/relationships/hyperlink" Target="https://advance.lexis.com/api/document?collection=cases-ca&amp;id=urn:contentItem:5F8T-N3V1-JF75-M3TF-00000-00&amp;context=" TargetMode="External" /><Relationship Id="rId79" Type="http://schemas.openxmlformats.org/officeDocument/2006/relationships/header" Target="header14.xml" /><Relationship Id="rId790" Type="http://schemas.openxmlformats.org/officeDocument/2006/relationships/hyperlink" Target="https://advance.lexis.com/api/document?collection=cases-ca&amp;id=urn:contentItem:5F7T-S6V1-F2TK-22CX-00000-00&amp;context=" TargetMode="External" /><Relationship Id="rId791" Type="http://schemas.openxmlformats.org/officeDocument/2006/relationships/hyperlink" Target="https://advance.lexis.com/api/document?collection=legislation-ca&amp;id=urn:contentItem:5F41-1FG1-JC0G-61K0-00000-00&amp;context=" TargetMode="External" /><Relationship Id="rId792" Type="http://schemas.openxmlformats.org/officeDocument/2006/relationships/hyperlink" Target="https://advance.lexis.com/api/document?collection=legislation-ca&amp;id=urn:contentItem:5F41-1FG1-DXHD-G1RP-00000-00&amp;context=" TargetMode="External" /><Relationship Id="rId793" Type="http://schemas.openxmlformats.org/officeDocument/2006/relationships/hyperlink" Target="https://advance.lexis.com/api/document?collection=cases-ca&amp;id=urn:contentItem:5F7T-S791-JCJ5-254F-00000-00&amp;context=" TargetMode="External" /><Relationship Id="rId794" Type="http://schemas.openxmlformats.org/officeDocument/2006/relationships/hyperlink" Target="https://advance.lexis.com/api/document?collection=cases-ca&amp;id=urn:contentItem:5F7T-S7B1-JSRM-609S-00000-00&amp;context=" TargetMode="External" /><Relationship Id="rId795" Type="http://schemas.openxmlformats.org/officeDocument/2006/relationships/hyperlink" Target="https://advance.lexis.com/api/document?collection=cases-ca&amp;id=urn:contentItem:5F7T-S7F1-JFKM-61WX-00000-00&amp;context=" TargetMode="External" /><Relationship Id="rId796" Type="http://schemas.openxmlformats.org/officeDocument/2006/relationships/hyperlink" Target="https://advance.lexis.com/api/document?collection=cases-ca&amp;id=urn:contentItem:5F7T-S7K1-JWXF-2190-00000-00&amp;context=" TargetMode="External" /><Relationship Id="rId797" Type="http://schemas.openxmlformats.org/officeDocument/2006/relationships/hyperlink" Target="https://advance.lexis.com/api/document?collection=cases-ca&amp;id=urn:contentItem:5F7T-S761-JCBX-S103-00000-00&amp;context=" TargetMode="External" /><Relationship Id="rId798" Type="http://schemas.openxmlformats.org/officeDocument/2006/relationships/hyperlink" Target="https://advance.lexis.com/api/document?collection=cases-ca&amp;id=urn:contentItem:5F8T-N3V1-FC1F-M3X1-00000-00&amp;context=" TargetMode="External" /><Relationship Id="rId799" Type="http://schemas.openxmlformats.org/officeDocument/2006/relationships/hyperlink" Target="https://advance.lexis.com/api/document?collection=cases-ca&amp;id=urn:contentItem:5F7T-S7B1-JSRM-609V-00000-00&amp;context=" TargetMode="External" /><Relationship Id="rId8" Type="http://schemas.openxmlformats.org/officeDocument/2006/relationships/header" Target="header3.xml" /><Relationship Id="rId80" Type="http://schemas.openxmlformats.org/officeDocument/2006/relationships/footer" Target="footer13.xml" /><Relationship Id="rId800" Type="http://schemas.openxmlformats.org/officeDocument/2006/relationships/header" Target="header130.xml" /><Relationship Id="rId801" Type="http://schemas.openxmlformats.org/officeDocument/2006/relationships/header" Target="header131.xml" /><Relationship Id="rId802" Type="http://schemas.openxmlformats.org/officeDocument/2006/relationships/footer" Target="footer130.xml" /><Relationship Id="rId803" Type="http://schemas.openxmlformats.org/officeDocument/2006/relationships/footer" Target="footer131.xml" /><Relationship Id="rId804" Type="http://schemas.openxmlformats.org/officeDocument/2006/relationships/header" Target="header132.xml" /><Relationship Id="rId805" Type="http://schemas.openxmlformats.org/officeDocument/2006/relationships/footer" Target="footer132.xml" /><Relationship Id="rId806" Type="http://schemas.openxmlformats.org/officeDocument/2006/relationships/hyperlink" Target="https://advance.lexis.com/api/document?collection=cases-ca&amp;id=urn:contentItem:5TY7-6XY1-F8SS-62TF-00000-00&amp;context=" TargetMode="External" /><Relationship Id="rId807" Type="http://schemas.openxmlformats.org/officeDocument/2006/relationships/hyperlink" Target="https://advance.lexis.com/api/document?collection=cases-ca&amp;id=urn:contentItem:5F7T-S781-FH4C-X2R5-00000-00&amp;context=" TargetMode="External" /><Relationship Id="rId808" Type="http://schemas.openxmlformats.org/officeDocument/2006/relationships/hyperlink" Target="https://advance.lexis.com/api/document?collection=cases-ca&amp;id=urn:contentItem:5F8T-N3V1-JTGH-B1D5-00000-00&amp;context=" TargetMode="External" /><Relationship Id="rId809" Type="http://schemas.openxmlformats.org/officeDocument/2006/relationships/hyperlink" Target="https://advance.lexis.com/api/document?collection=cases-ca&amp;id=urn:contentItem:5SNC-N8W1-K054-G31B-00000-00&amp;context=" TargetMode="External" /><Relationship Id="rId81" Type="http://schemas.openxmlformats.org/officeDocument/2006/relationships/footer" Target="footer14.xml" /><Relationship Id="rId810" Type="http://schemas.openxmlformats.org/officeDocument/2006/relationships/hyperlink" Target="https://advance.lexis.com/api/document?collection=cases-ca&amp;id=urn:contentItem:5N82-XP61-JX8W-M51J-00000-00&amp;context=" TargetMode="External" /><Relationship Id="rId811" Type="http://schemas.openxmlformats.org/officeDocument/2006/relationships/hyperlink" Target="https://advance.lexis.com/api/document?collection=cases-ca&amp;id=urn:contentItem:5F81-VJX1-JP9P-G4MS-00000-00&amp;context=" TargetMode="External" /><Relationship Id="rId812" Type="http://schemas.openxmlformats.org/officeDocument/2006/relationships/hyperlink" Target="https://advance.lexis.com/api/document?collection=cases-ca&amp;id=urn:contentItem:5F8P-SF61-JPP5-21HC-00000-00&amp;context=" TargetMode="External" /><Relationship Id="rId813" Type="http://schemas.openxmlformats.org/officeDocument/2006/relationships/hyperlink" Target="https://advance.lexis.com/api/document?collection=cases-ca&amp;id=urn:contentItem:5F7T-S7P1-JNJT-B2HK-00000-00&amp;context=" TargetMode="External" /><Relationship Id="rId814" Type="http://schemas.openxmlformats.org/officeDocument/2006/relationships/hyperlink" Target="https://advance.lexis.com/api/document?collection=cases-ca&amp;id=urn:contentItem:5F7T-S7K1-JX3N-B2V4-00000-00&amp;context=" TargetMode="External" /><Relationship Id="rId815" Type="http://schemas.openxmlformats.org/officeDocument/2006/relationships/hyperlink" Target="https://advance.lexis.com/api/document?collection=cases-ca&amp;id=urn:contentItem:5F7T-S7N1-F06F-24KX-00000-00&amp;context=" TargetMode="External" /><Relationship Id="rId816" Type="http://schemas.openxmlformats.org/officeDocument/2006/relationships/hyperlink" Target="https://advance.lexis.com/api/document?collection=cases-ca&amp;id=urn:contentItem:5F8T-N3P1-F7ND-G14C-00000-00&amp;context=" TargetMode="External" /><Relationship Id="rId817" Type="http://schemas.openxmlformats.org/officeDocument/2006/relationships/hyperlink" Target="https://advance.lexis.com/api/document?collection=cases-ca&amp;id=urn:contentItem:5F81-YGW1-DYFH-X025-00000-00&amp;context=" TargetMode="External" /><Relationship Id="rId818" Type="http://schemas.openxmlformats.org/officeDocument/2006/relationships/hyperlink" Target="https://advance.lexis.com/api/document?collection=cases-ca&amp;id=urn:contentItem:5F8P-SC71-JK4W-M2MK-00000-00&amp;context=" TargetMode="External" /><Relationship Id="rId819" Type="http://schemas.openxmlformats.org/officeDocument/2006/relationships/hyperlink" Target="https://advance.lexis.com/api/document?collection=cases-ca&amp;id=urn:contentItem:5F8T-N3V1-JF75-M3WX-00000-00&amp;context=" TargetMode="External" /><Relationship Id="rId82" Type="http://schemas.openxmlformats.org/officeDocument/2006/relationships/header" Target="header15.xml" /><Relationship Id="rId820" Type="http://schemas.openxmlformats.org/officeDocument/2006/relationships/hyperlink" Target="https://advance.lexis.com/api/document?collection=cases-ca&amp;id=urn:contentItem:5F8P-SFY1-F5DR-21JT-00000-00&amp;context=" TargetMode="External" /><Relationship Id="rId821" Type="http://schemas.openxmlformats.org/officeDocument/2006/relationships/hyperlink" Target="https://advance.lexis.com/api/document?collection=cases-ca&amp;id=urn:contentItem:5F8P-SFX1-JJK6-S2M8-00000-00&amp;context=" TargetMode="External" /><Relationship Id="rId822" Type="http://schemas.openxmlformats.org/officeDocument/2006/relationships/hyperlink" Target="https://advance.lexis.com/api/document?collection=cases-ca&amp;id=urn:contentItem:5F8P-SFG1-FG12-622P-00000-00&amp;context=" TargetMode="External" /><Relationship Id="rId823" Type="http://schemas.openxmlformats.org/officeDocument/2006/relationships/hyperlink" Target="https://advance.lexis.com/api/document?collection=cases-ca&amp;id=urn:contentItem:5F8T-N3V1-FC1F-M3W4-00000-00&amp;context=" TargetMode="External" /><Relationship Id="rId824" Type="http://schemas.openxmlformats.org/officeDocument/2006/relationships/hyperlink" Target="https://advance.lexis.com/api/document?collection=cases-ca&amp;id=urn:contentItem:5T51-VW81-JPGX-S2N0-00000-00&amp;context=" TargetMode="External" /><Relationship Id="rId825" Type="http://schemas.openxmlformats.org/officeDocument/2006/relationships/hyperlink" Target="https://advance.lexis.com/api/document?collection=cases-ca&amp;id=urn:contentItem:5PXB-GS91-DYV0-G3H6-00000-00&amp;context=" TargetMode="External" /><Relationship Id="rId826" Type="http://schemas.openxmlformats.org/officeDocument/2006/relationships/hyperlink" Target="https://advance.lexis.com/api/document?collection=cases-ca&amp;id=urn:contentItem:5F8P-SFY1-JT42-S4JB-00000-00&amp;context=" TargetMode="External" /><Relationship Id="rId827" Type="http://schemas.openxmlformats.org/officeDocument/2006/relationships/hyperlink" Target="https://advance.lexis.com/api/document?collection=cases-ca&amp;id=urn:contentItem:5F8P-SDM1-FBN1-201Y-00000-00&amp;context=" TargetMode="External" /><Relationship Id="rId828" Type="http://schemas.openxmlformats.org/officeDocument/2006/relationships/hyperlink" Target="https://advance.lexis.com/api/document?collection=cases-ca&amp;id=urn:contentItem:5F7T-S711-JB2B-S19X-00000-00&amp;context=" TargetMode="External" /><Relationship Id="rId829" Type="http://schemas.openxmlformats.org/officeDocument/2006/relationships/hyperlink" Target="https://advance.lexis.com/api/document?collection=cases-ca&amp;id=urn:contentItem:5F8P-SF21-F5DR-214H-00000-00&amp;context=" TargetMode="External" /><Relationship Id="rId83" Type="http://schemas.openxmlformats.org/officeDocument/2006/relationships/footer" Target="footer15.xml" /><Relationship Id="rId830" Type="http://schemas.openxmlformats.org/officeDocument/2006/relationships/hyperlink" Target="https://advance.lexis.com/api/document?collection=cases-ca&amp;id=urn:contentItem:5F7T-S771-JSJC-X0KK-00000-00&amp;context=" TargetMode="External" /><Relationship Id="rId831" Type="http://schemas.openxmlformats.org/officeDocument/2006/relationships/hyperlink" Target="https://advance.lexis.com/api/document?collection=cases-ca&amp;id=urn:contentItem:5F7T-S7G1-JNY7-X443-00000-00&amp;context=" TargetMode="External" /><Relationship Id="rId832" Type="http://schemas.openxmlformats.org/officeDocument/2006/relationships/hyperlink" Target="https://advance.lexis.com/api/document?collection=cases-ca&amp;id=urn:contentItem:5M13-K1S1-JKHB-644T-00000-00&amp;context=" TargetMode="External" /><Relationship Id="rId833" Type="http://schemas.openxmlformats.org/officeDocument/2006/relationships/hyperlink" Target="https://advance.lexis.com/api/document?collection=cases-ca&amp;id=urn:contentItem:5F8T-N3V1-FH4C-X24R-00000-00&amp;context=" TargetMode="External" /><Relationship Id="rId834" Type="http://schemas.openxmlformats.org/officeDocument/2006/relationships/hyperlink" Target="https://advance.lexis.com/api/document?collection=cases-ca&amp;id=urn:contentItem:5R3N-WV71-F65M-6385-00000-00&amp;context=" TargetMode="External" /><Relationship Id="rId835" Type="http://schemas.openxmlformats.org/officeDocument/2006/relationships/hyperlink" Target="https://advance.lexis.com/api/document?collection=cases-ca&amp;id=urn:contentItem:5F8T-N3V1-JTGH-B184-00000-00&amp;context=" TargetMode="External" /><Relationship Id="rId836" Type="http://schemas.openxmlformats.org/officeDocument/2006/relationships/header" Target="header133.xml" /><Relationship Id="rId837" Type="http://schemas.openxmlformats.org/officeDocument/2006/relationships/header" Target="header134.xml" /><Relationship Id="rId838" Type="http://schemas.openxmlformats.org/officeDocument/2006/relationships/footer" Target="footer133.xml" /><Relationship Id="rId839" Type="http://schemas.openxmlformats.org/officeDocument/2006/relationships/footer" Target="footer134.xml" /><Relationship Id="rId84" Type="http://schemas.openxmlformats.org/officeDocument/2006/relationships/hyperlink" Target="https://advance.lexis.com/api/document?collection=cases-ca&amp;id=urn:contentItem:5K6Y-81N1-JFDC-X1FR-00000-00&amp;context=" TargetMode="External" /><Relationship Id="rId840" Type="http://schemas.openxmlformats.org/officeDocument/2006/relationships/header" Target="header135.xml" /><Relationship Id="rId841" Type="http://schemas.openxmlformats.org/officeDocument/2006/relationships/footer" Target="footer135.xml" /><Relationship Id="rId842" Type="http://schemas.openxmlformats.org/officeDocument/2006/relationships/hyperlink" Target="https://advance.lexis.com/api/document?collection=cases-ca&amp;id=urn:contentItem:5F7T-S7M1-JNCK-22B6-00000-00&amp;context=" TargetMode="External" /><Relationship Id="rId843" Type="http://schemas.openxmlformats.org/officeDocument/2006/relationships/hyperlink" Target="https://advance.lexis.com/api/document?collection=cases-ca&amp;id=urn:contentItem:5F7T-S741-F528-G2FD-00000-00&amp;context=" TargetMode="External" /><Relationship Id="rId844" Type="http://schemas.openxmlformats.org/officeDocument/2006/relationships/hyperlink" Target="https://advance.lexis.com/api/document?collection=cases-ca&amp;id=urn:contentItem:5F7T-S721-F06F-234F-00000-00&amp;context=" TargetMode="External" /><Relationship Id="rId845" Type="http://schemas.openxmlformats.org/officeDocument/2006/relationships/hyperlink" Target="https://advance.lexis.com/api/document?collection=cases-ca&amp;id=urn:contentItem:5F7T-S6Y1-F65M-6050-00000-00&amp;context=" TargetMode="External" /><Relationship Id="rId846" Type="http://schemas.openxmlformats.org/officeDocument/2006/relationships/hyperlink" Target="https://advance.lexis.com/api/document?collection=cases-ca&amp;id=urn:contentItem:5F7T-S6X1-FJDY-X10J-00000-00&amp;context=" TargetMode="External" /><Relationship Id="rId847" Type="http://schemas.openxmlformats.org/officeDocument/2006/relationships/hyperlink" Target="https://advance.lexis.com/api/document?collection=cases-ca&amp;id=urn:contentItem:5F7T-S7C1-JS0R-22G1-00000-00&amp;context=" TargetMode="External" /><Relationship Id="rId848" Type="http://schemas.openxmlformats.org/officeDocument/2006/relationships/hyperlink" Target="https://advance.lexis.com/api/document?collection=cases-ca&amp;id=urn:contentItem:5F7T-S6V1-JFKM-6132-00000-00&amp;context=" TargetMode="External" /><Relationship Id="rId849" Type="http://schemas.openxmlformats.org/officeDocument/2006/relationships/hyperlink" Target="https://advance.lexis.com/api/document?collection=cases-ca&amp;id=urn:contentItem:5F7T-S6X1-FBN1-20T9-00000-00&amp;context=" TargetMode="External" /><Relationship Id="rId85" Type="http://schemas.openxmlformats.org/officeDocument/2006/relationships/hyperlink" Target="https://advance.lexis.com/api/document?collection=cases-ca&amp;id=urn:contentItem:5F7T-S7P1-JG02-S40B-00000-00&amp;context=" TargetMode="External" /><Relationship Id="rId850" Type="http://schemas.openxmlformats.org/officeDocument/2006/relationships/hyperlink" Target="https://advance.lexis.com/api/document?collection=cases-ca&amp;id=urn:contentItem:5F7T-S7H1-F016-S3NK-00000-00&amp;context=" TargetMode="External" /><Relationship Id="rId851" Type="http://schemas.openxmlformats.org/officeDocument/2006/relationships/hyperlink" Target="https://advance.lexis.com/api/document?collection=cases-ca&amp;id=urn:contentItem:5F7T-XPV1-F4W2-62N4-00000-00&amp;context=" TargetMode="External" /><Relationship Id="rId852" Type="http://schemas.openxmlformats.org/officeDocument/2006/relationships/header" Target="header136.xml" /><Relationship Id="rId853" Type="http://schemas.openxmlformats.org/officeDocument/2006/relationships/header" Target="header137.xml" /><Relationship Id="rId854" Type="http://schemas.openxmlformats.org/officeDocument/2006/relationships/footer" Target="footer136.xml" /><Relationship Id="rId855" Type="http://schemas.openxmlformats.org/officeDocument/2006/relationships/footer" Target="footer137.xml" /><Relationship Id="rId856" Type="http://schemas.openxmlformats.org/officeDocument/2006/relationships/header" Target="header138.xml" /><Relationship Id="rId857" Type="http://schemas.openxmlformats.org/officeDocument/2006/relationships/footer" Target="footer138.xml" /><Relationship Id="rId858" Type="http://schemas.openxmlformats.org/officeDocument/2006/relationships/hyperlink" Target="https://advance.lexis.com/api/document?collection=cases-ca&amp;id=urn:contentItem:5F7T-S7G1-JNY7-X45D-00000-00&amp;context=" TargetMode="External" /><Relationship Id="rId859" Type="http://schemas.openxmlformats.org/officeDocument/2006/relationships/hyperlink" Target="https://advance.lexis.com/api/document?collection=cases-ca&amp;id=urn:contentItem:5K6Y-81M1-JGPY-X206-00000-00&amp;context=" TargetMode="External" /><Relationship Id="rId86" Type="http://schemas.openxmlformats.org/officeDocument/2006/relationships/hyperlink" Target="https://advance.lexis.com/api/document?collection=cases-ca&amp;id=urn:contentItem:5F8T-N3V1-JTGH-B1J4-00000-00&amp;context=" TargetMode="External" /><Relationship Id="rId860" Type="http://schemas.openxmlformats.org/officeDocument/2006/relationships/hyperlink" Target="https://advance.lexis.com/api/document?collection=cases-ca&amp;id=urn:contentItem:5F7T-S7F1-JFKM-61H7-00000-00&amp;context=" TargetMode="External" /><Relationship Id="rId861" Type="http://schemas.openxmlformats.org/officeDocument/2006/relationships/hyperlink" Target="https://advance.lexis.com/api/document?collection=cases-ca&amp;id=urn:contentItem:5F7T-S7C1-F4NT-X44S-00000-00&amp;context=" TargetMode="External" /><Relationship Id="rId862" Type="http://schemas.openxmlformats.org/officeDocument/2006/relationships/hyperlink" Target="https://advance.lexis.com/api/document?collection=cases-ca&amp;id=urn:contentItem:5F7T-S7F1-F7VM-S3YT-00000-00&amp;context=" TargetMode="External" /><Relationship Id="rId863" Type="http://schemas.openxmlformats.org/officeDocument/2006/relationships/hyperlink" Target="https://advance.lexis.com/api/document?collection=cases-ca&amp;id=urn:contentItem:5F7T-S7F1-JBT7-X2WG-00000-00&amp;context=" TargetMode="External" /><Relationship Id="rId864" Type="http://schemas.openxmlformats.org/officeDocument/2006/relationships/hyperlink" Target="https://advance.lexis.com/api/document?collection=cases-ca&amp;id=urn:contentItem:5F7T-S7F1-FFFC-B24N-00000-00&amp;context=" TargetMode="External" /><Relationship Id="rId865" Type="http://schemas.openxmlformats.org/officeDocument/2006/relationships/hyperlink" Target="https://advance.lexis.com/api/document?collection=cases-ca&amp;id=urn:contentItem:5F8T-N3S1-JT99-250W-00000-00&amp;context=" TargetMode="External" /><Relationship Id="rId866" Type="http://schemas.openxmlformats.org/officeDocument/2006/relationships/hyperlink" Target="https://advance.lexis.com/api/document?collection=cases-ca&amp;id=urn:contentItem:5F7T-S7B1-F7ND-G50F-00000-00&amp;context=" TargetMode="External" /><Relationship Id="rId867" Type="http://schemas.openxmlformats.org/officeDocument/2006/relationships/hyperlink" Target="https://advance.lexis.com/api/document?collection=cases-ca&amp;id=urn:contentItem:5F7T-S701-JF75-M4N2-00000-00&amp;context=" TargetMode="External" /><Relationship Id="rId868" Type="http://schemas.openxmlformats.org/officeDocument/2006/relationships/hyperlink" Target="https://advance.lexis.com/api/document?collection=cases-ca&amp;id=urn:contentItem:5F7T-S771-JN14-G2PR-00000-00&amp;context=" TargetMode="External" /><Relationship Id="rId869" Type="http://schemas.openxmlformats.org/officeDocument/2006/relationships/hyperlink" Target="https://advance.lexis.com/api/document?collection=cases-ca&amp;id=urn:contentItem:5F7T-S731-F1WF-M2HD-00000-00&amp;context=" TargetMode="External" /><Relationship Id="rId87" Type="http://schemas.openxmlformats.org/officeDocument/2006/relationships/hyperlink" Target="https://advance.lexis.com/api/document?collection=cases-ca&amp;id=urn:contentItem:5F8T-N3T1-JFKM-6545-00000-00&amp;context=" TargetMode="External" /><Relationship Id="rId870" Type="http://schemas.openxmlformats.org/officeDocument/2006/relationships/hyperlink" Target="https://advance.lexis.com/api/document?collection=cases-ca&amp;id=urn:contentItem:5F7T-S731-DY33-B0YN-00000-00&amp;context=" TargetMode="External" /><Relationship Id="rId871" Type="http://schemas.openxmlformats.org/officeDocument/2006/relationships/hyperlink" Target="https://advance.lexis.com/api/document?collection=cases-ca&amp;id=urn:contentItem:5F7T-S7F1-JX3N-B19H-00000-00&amp;context=" TargetMode="External" /><Relationship Id="rId872" Type="http://schemas.openxmlformats.org/officeDocument/2006/relationships/hyperlink" Target="https://advance.lexis.com/api/document?collection=cases-ca&amp;id=urn:contentItem:5F7T-S7F1-DXWW-23FJ-00000-00&amp;context=" TargetMode="External" /><Relationship Id="rId873" Type="http://schemas.openxmlformats.org/officeDocument/2006/relationships/hyperlink" Target="https://advance.lexis.com/api/document?collection=cases-ca&amp;id=urn:contentItem:5F7T-S781-F27X-61FV-00000-00&amp;context=" TargetMode="External" /><Relationship Id="rId874" Type="http://schemas.openxmlformats.org/officeDocument/2006/relationships/hyperlink" Target="https://advance.lexis.com/api/document?collection=cases-ca&amp;id=urn:contentItem:5F7T-S7F1-DXWW-23S1-00000-00&amp;context=" TargetMode="External" /><Relationship Id="rId875" Type="http://schemas.openxmlformats.org/officeDocument/2006/relationships/hyperlink" Target="https://advance.lexis.com/api/document?collection=cases-ca&amp;id=urn:contentItem:5F7T-S7D1-JS5Y-B2BF-00000-00&amp;context=" TargetMode="External" /><Relationship Id="rId876" Type="http://schemas.openxmlformats.org/officeDocument/2006/relationships/header" Target="header139.xml" /><Relationship Id="rId877" Type="http://schemas.openxmlformats.org/officeDocument/2006/relationships/header" Target="header140.xml" /><Relationship Id="rId878" Type="http://schemas.openxmlformats.org/officeDocument/2006/relationships/footer" Target="footer139.xml" /><Relationship Id="rId879" Type="http://schemas.openxmlformats.org/officeDocument/2006/relationships/footer" Target="footer140.xml" /><Relationship Id="rId88" Type="http://schemas.openxmlformats.org/officeDocument/2006/relationships/hyperlink" Target="https://advance.lexis.com/api/document?collection=cases-ca&amp;id=urn:contentItem:5F8T-N3V1-FC1F-M48M-00000-00&amp;context=" TargetMode="External" /><Relationship Id="rId880" Type="http://schemas.openxmlformats.org/officeDocument/2006/relationships/header" Target="header141.xml" /><Relationship Id="rId881" Type="http://schemas.openxmlformats.org/officeDocument/2006/relationships/footer" Target="footer141.xml" /><Relationship Id="rId882" Type="http://schemas.openxmlformats.org/officeDocument/2006/relationships/hyperlink" Target="https://advance.lexis.com/api/document?collection=cases-ca&amp;id=urn:contentItem:5JP0-M521-F8KH-X4PR-00000-00&amp;context=" TargetMode="External" /><Relationship Id="rId883" Type="http://schemas.openxmlformats.org/officeDocument/2006/relationships/image" Target="media/image1.png" /><Relationship Id="rId884" Type="http://schemas.openxmlformats.org/officeDocument/2006/relationships/hyperlink" Target="https://advance.lexis.com/api/document?collection=cases-ca&amp;id=urn:contentItem:5F8T-N3V1-FH4C-X22N-00000-00&amp;context=" TargetMode="External" /><Relationship Id="rId885" Type="http://schemas.openxmlformats.org/officeDocument/2006/relationships/hyperlink" Target="https://advance.lexis.com/api/document?collection=cases-ca&amp;id=urn:contentItem:5F8T-N3V1-JTGH-B1DH-00000-00&amp;context=" TargetMode="External" /><Relationship Id="rId886" Type="http://schemas.openxmlformats.org/officeDocument/2006/relationships/hyperlink" Target="https://advance.lexis.com/api/document?collection=cases-ca&amp;id=urn:contentItem:5F8T-N3T1-JJSF-23DG-00000-00&amp;context=" TargetMode="External" /><Relationship Id="rId887" Type="http://schemas.openxmlformats.org/officeDocument/2006/relationships/hyperlink" Target="https://advance.lexis.com/api/document?collection=cases-ca&amp;id=urn:contentItem:5F8T-N3T1-JFKM-652P-00000-00&amp;context=" TargetMode="External" /><Relationship Id="rId888" Type="http://schemas.openxmlformats.org/officeDocument/2006/relationships/hyperlink" Target="https://advance.lexis.com/api/document?collection=cases-ca&amp;id=urn:contentItem:5F7T-S7J1-JGBH-B222-00000-00&amp;context=" TargetMode="External" /><Relationship Id="rId889" Type="http://schemas.openxmlformats.org/officeDocument/2006/relationships/hyperlink" Target="https://advance.lexis.com/api/document?collection=cases-ca&amp;id=urn:contentItem:5F7T-S7J1-FGCG-S052-00000-00&amp;context=" TargetMode="External" /><Relationship Id="rId89" Type="http://schemas.openxmlformats.org/officeDocument/2006/relationships/hyperlink" Target="https://advance.lexis.com/api/document?collection=cases-ca&amp;id=urn:contentItem:5F8T-N3V1-JTGH-B16V-00000-00&amp;context=" TargetMode="External" /><Relationship Id="rId890" Type="http://schemas.openxmlformats.org/officeDocument/2006/relationships/hyperlink" Target="https://advance.lexis.com/api/document?collection=cases-ca&amp;id=urn:contentItem:5F7T-S771-JJD0-G1F2-00000-00&amp;context=" TargetMode="External" /><Relationship Id="rId891" Type="http://schemas.openxmlformats.org/officeDocument/2006/relationships/hyperlink" Target="https://advance.lexis.com/api/document?collection=cases-ca&amp;id=urn:contentItem:5F7T-S7F1-DXWW-23S6-00000-00&amp;context=" TargetMode="External" /><Relationship Id="rId892" Type="http://schemas.openxmlformats.org/officeDocument/2006/relationships/hyperlink" Target="https://advance.lexis.com/api/document?collection=cases-ca&amp;id=urn:contentItem:5F7T-S6Y1-F81W-216M-00000-00&amp;context=" TargetMode="External" /><Relationship Id="rId893" Type="http://schemas.openxmlformats.org/officeDocument/2006/relationships/hyperlink" Target="https://advance.lexis.com/api/document?collection=cases-ca&amp;id=urn:contentItem:5G77-HXG1-FCK4-G3X9-00000-00&amp;context=" TargetMode="External" /><Relationship Id="rId894" Type="http://schemas.openxmlformats.org/officeDocument/2006/relationships/hyperlink" Target="https://advance.lexis.com/api/document?collection=cases-ca&amp;id=urn:contentItem:5F7F-5RG1-FCSB-S0JR-00000-00&amp;context=" TargetMode="External" /><Relationship Id="rId895" Type="http://schemas.openxmlformats.org/officeDocument/2006/relationships/hyperlink" Target="https://advance.lexis.com/api/document?collection=cases-ca&amp;id=urn:contentItem:5F7T-S6T1-JK4W-M0KG-00000-00&amp;context=" TargetMode="External" /><Relationship Id="rId896" Type="http://schemas.openxmlformats.org/officeDocument/2006/relationships/hyperlink" Target="https://advance.lexis.com/api/document?collection=cases-ca&amp;id=urn:contentItem:5F8T-N3V1-JF75-M3W7-00000-00&amp;context=" TargetMode="External" /><Relationship Id="rId897" Type="http://schemas.openxmlformats.org/officeDocument/2006/relationships/hyperlink" Target="https://advance.lexis.com/api/document?collection=cases-ca&amp;id=urn:contentItem:5F7T-S7P1-JBDT-B0XM-00000-00&amp;context=" TargetMode="External" /><Relationship Id="rId898" Type="http://schemas.openxmlformats.org/officeDocument/2006/relationships/hyperlink" Target="https://advance.lexis.com/api/document?collection=cases-ca&amp;id=urn:contentItem:5F7T-S711-F4W2-61MS-00000-00&amp;context=" TargetMode="External" /><Relationship Id="rId899" Type="http://schemas.openxmlformats.org/officeDocument/2006/relationships/hyperlink" Target="https://advance.lexis.com/api/document?collection=cases-ca&amp;id=urn:contentItem:5F8T-N3R1-JJSF-22HD-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8T-N3V1-FC1F-M44Y-00000-00&amp;context=" TargetMode="External" /><Relationship Id="rId900" Type="http://schemas.openxmlformats.org/officeDocument/2006/relationships/hyperlink" Target="https://advance.lexis.com/api/document?collection=cases-ca&amp;id=urn:contentItem:5F8T-N3T1-JJSF-23FG-00000-00&amp;context=" TargetMode="External" /><Relationship Id="rId901" Type="http://schemas.openxmlformats.org/officeDocument/2006/relationships/hyperlink" Target="https://advance.lexis.com/api/document?collection=cases-ca&amp;id=urn:contentItem:5F7T-S791-FJTD-G308-00000-00&amp;context=" TargetMode="External" /><Relationship Id="rId902" Type="http://schemas.openxmlformats.org/officeDocument/2006/relationships/image" Target="media/image2.png" /><Relationship Id="rId903" Type="http://schemas.openxmlformats.org/officeDocument/2006/relationships/header" Target="header142.xml" /><Relationship Id="rId904" Type="http://schemas.openxmlformats.org/officeDocument/2006/relationships/header" Target="header143.xml" /><Relationship Id="rId905" Type="http://schemas.openxmlformats.org/officeDocument/2006/relationships/footer" Target="footer142.xml" /><Relationship Id="rId906" Type="http://schemas.openxmlformats.org/officeDocument/2006/relationships/footer" Target="footer143.xml" /><Relationship Id="rId907" Type="http://schemas.openxmlformats.org/officeDocument/2006/relationships/header" Target="header144.xml" /><Relationship Id="rId908" Type="http://schemas.openxmlformats.org/officeDocument/2006/relationships/footer" Target="footer144.xml" /><Relationship Id="rId909" Type="http://schemas.openxmlformats.org/officeDocument/2006/relationships/hyperlink" Target="https://advance.lexis.com/api/document?collection=cases-ca&amp;id=urn:contentItem:5GW7-N221-JW5H-X0MH-00000-00&amp;context=" TargetMode="External" /><Relationship Id="rId91" Type="http://schemas.openxmlformats.org/officeDocument/2006/relationships/hyperlink" Target="https://advance.lexis.com/api/document?collection=cases-ca&amp;id=urn:contentItem:5F7V-3DH1-F8SS-63G3-00000-00&amp;context=" TargetMode="External" /><Relationship Id="rId910" Type="http://schemas.openxmlformats.org/officeDocument/2006/relationships/hyperlink" Target="https://advance.lexis.com/api/document?collection=legislation-ca&amp;id=urn:contentItem:5F41-1FH1-F361-M0G0-00000-00&amp;context=" TargetMode="External" /><Relationship Id="rId911" Type="http://schemas.openxmlformats.org/officeDocument/2006/relationships/hyperlink" Target="https://advance.lexis.com/api/document?collection=cases-ca&amp;id=urn:contentItem:5F7T-S7G1-JPP5-21YJ-00000-00&amp;context=" TargetMode="External" /><Relationship Id="rId912" Type="http://schemas.openxmlformats.org/officeDocument/2006/relationships/hyperlink" Target="https://advance.lexis.com/api/document?collection=cases-ca&amp;id=urn:contentItem:5F7T-S7H1-JG02-S3RS-00000-00&amp;context=" TargetMode="External" /><Relationship Id="rId913" Type="http://schemas.openxmlformats.org/officeDocument/2006/relationships/hyperlink" Target="https://advance.lexis.com/api/document?collection=cases-ca&amp;id=urn:contentItem:5F7T-S7H1-F016-S3Y1-00000-00&amp;context=" TargetMode="External" /><Relationship Id="rId914" Type="http://schemas.openxmlformats.org/officeDocument/2006/relationships/hyperlink" Target="https://advance.lexis.com/api/document?collection=cases-ca&amp;id=urn:contentItem:5F7T-S7G1-F5KY-B1K3-00000-00&amp;context=" TargetMode="External" /><Relationship Id="rId915" Type="http://schemas.openxmlformats.org/officeDocument/2006/relationships/hyperlink" Target="https://advance.lexis.com/api/document?collection=cases-ca&amp;id=urn:contentItem:5F7T-S761-F81W-21RK-00000-00&amp;context=" TargetMode="External" /><Relationship Id="rId916" Type="http://schemas.openxmlformats.org/officeDocument/2006/relationships/hyperlink" Target="https://advance.lexis.com/api/document?collection=cases-ca&amp;id=urn:contentItem:5F7T-S7D1-FBFS-S1M7-00000-00&amp;context=" TargetMode="External" /><Relationship Id="rId917" Type="http://schemas.openxmlformats.org/officeDocument/2006/relationships/hyperlink" Target="https://advance.lexis.com/api/document?collection=cases-ca&amp;id=urn:contentItem:5F7T-S7D1-JN6B-S131-00000-00&amp;context=" TargetMode="External" /><Relationship Id="rId918" Type="http://schemas.openxmlformats.org/officeDocument/2006/relationships/hyperlink" Target="https://advance.lexis.com/api/document?collection=cases-ca&amp;id=urn:contentItem:5F7T-S7J1-JNS1-M265-00000-00&amp;context=" TargetMode="External" /><Relationship Id="rId919" Type="http://schemas.openxmlformats.org/officeDocument/2006/relationships/hyperlink" Target="https://advance.lexis.com/api/document?collection=cases-ca&amp;id=urn:contentItem:5F7T-S7K1-JWXF-211X-00000-00&amp;context=" TargetMode="External" /><Relationship Id="rId92" Type="http://schemas.openxmlformats.org/officeDocument/2006/relationships/header" Target="header16.xml" /><Relationship Id="rId920" Type="http://schemas.openxmlformats.org/officeDocument/2006/relationships/hyperlink" Target="https://advance.lexis.com/api/document?collection=cases-ca&amp;id=urn:contentItem:5F7T-S7J1-DXWW-24P1-00000-00&amp;context=" TargetMode="External" /><Relationship Id="rId921" Type="http://schemas.openxmlformats.org/officeDocument/2006/relationships/hyperlink" Target="https://advance.lexis.com/api/document?collection=cases-ca&amp;id=urn:contentItem:5F7T-S7K1-DY33-B1R6-00000-00&amp;context=" TargetMode="External" /><Relationship Id="rId922" Type="http://schemas.openxmlformats.org/officeDocument/2006/relationships/hyperlink" Target="https://advance.lexis.com/api/document?collection=cases-ca&amp;id=urn:contentItem:5F7T-S7F1-DXWW-240M-00000-00&amp;context=" TargetMode="External" /><Relationship Id="rId923" Type="http://schemas.openxmlformats.org/officeDocument/2006/relationships/hyperlink" Target="https://advance.lexis.com/api/document?collection=cases-ca&amp;id=urn:contentItem:5F7T-S7K1-F1H1-225F-00000-00&amp;context=" TargetMode="External" /><Relationship Id="rId924" Type="http://schemas.openxmlformats.org/officeDocument/2006/relationships/hyperlink" Target="https://advance.lexis.com/api/document?collection=cases-ca&amp;id=urn:contentItem:5F7T-S7K1-JSJC-X11J-00000-00&amp;context=" TargetMode="External" /><Relationship Id="rId925" Type="http://schemas.openxmlformats.org/officeDocument/2006/relationships/hyperlink" Target="https://advance.lexis.com/api/document?collection=cases-ca&amp;id=urn:contentItem:5F7T-S7P1-JG02-S42X-00000-00&amp;context=" TargetMode="External" /><Relationship Id="rId926" Type="http://schemas.openxmlformats.org/officeDocument/2006/relationships/hyperlink" Target="https://advance.lexis.com/api/document?collection=cases-ca&amp;id=urn:contentItem:5F7T-S7N1-DXWW-208J-00000-00&amp;context=" TargetMode="External" /><Relationship Id="rId927" Type="http://schemas.openxmlformats.org/officeDocument/2006/relationships/hyperlink" Target="https://advance.lexis.com/api/document?collection=cases-ca&amp;id=urn:contentItem:5F7T-S7D1-F7ND-G0MH-00000-00&amp;context=" TargetMode="External" /><Relationship Id="rId928" Type="http://schemas.openxmlformats.org/officeDocument/2006/relationships/hyperlink" Target="https://advance.lexis.com/api/document?collection=cases-ca&amp;id=urn:contentItem:5F7T-S7K1-JSJC-X168-00000-00&amp;context=" TargetMode="External" /><Relationship Id="rId929" Type="http://schemas.openxmlformats.org/officeDocument/2006/relationships/hyperlink" Target="https://advance.lexis.com/api/document?collection=cases-ca&amp;id=urn:contentItem:5F7T-S7F1-F7VM-S475-00000-00&amp;context=" TargetMode="External" /><Relationship Id="rId93" Type="http://schemas.openxmlformats.org/officeDocument/2006/relationships/header" Target="header17.xml" /><Relationship Id="rId930" Type="http://schemas.openxmlformats.org/officeDocument/2006/relationships/hyperlink" Target="https://advance.lexis.com/api/document?collection=cases-ca&amp;id=urn:contentItem:5F7T-S7G1-FCYK-207V-00000-00&amp;context=" TargetMode="External" /><Relationship Id="rId931" Type="http://schemas.openxmlformats.org/officeDocument/2006/relationships/hyperlink" Target="https://advance.lexis.com/api/document?collection=cases-ca&amp;id=urn:contentItem:5F7T-S7K1-JSJC-X0R5-00000-00&amp;context=" TargetMode="External" /><Relationship Id="rId932" Type="http://schemas.openxmlformats.org/officeDocument/2006/relationships/hyperlink" Target="https://advance.lexis.com/api/document?collection=cases-ca&amp;id=urn:contentItem:5F7T-S731-FFFC-B0K2-00000-00&amp;context=" TargetMode="External" /><Relationship Id="rId933" Type="http://schemas.openxmlformats.org/officeDocument/2006/relationships/hyperlink" Target="https://advance.lexis.com/api/document?collection=cases-ca&amp;id=urn:contentItem:5F7T-S7M1-F4W2-62B8-00000-00&amp;context=" TargetMode="External" /><Relationship Id="rId934" Type="http://schemas.openxmlformats.org/officeDocument/2006/relationships/hyperlink" Target="https://advance.lexis.com/api/document?collection=cases-ca&amp;id=urn:contentItem:5F7T-S741-DY89-M3P5-00000-00&amp;context=" TargetMode="External" /><Relationship Id="rId935" Type="http://schemas.openxmlformats.org/officeDocument/2006/relationships/hyperlink" Target="https://advance.lexis.com/api/document?collection=cases-ca&amp;id=urn:contentItem:5F7T-S771-JSJC-X05N-00000-00&amp;context=" TargetMode="External" /><Relationship Id="rId936" Type="http://schemas.openxmlformats.org/officeDocument/2006/relationships/hyperlink" Target="https://advance.lexis.com/api/document?collection=cases-ca&amp;id=urn:contentItem:5F7T-S7B1-FH4C-X381-00000-00&amp;context=" TargetMode="External" /><Relationship Id="rId937" Type="http://schemas.openxmlformats.org/officeDocument/2006/relationships/hyperlink" Target="https://advance.lexis.com/api/document?collection=cases-ca&amp;id=urn:contentItem:5F7T-S7M1-F4W2-626S-00000-00&amp;context=" TargetMode="External" /><Relationship Id="rId938" Type="http://schemas.openxmlformats.org/officeDocument/2006/relationships/hyperlink" Target="https://advance.lexis.com/api/document?collection=cases-ca&amp;id=urn:contentItem:5F7T-S7K1-DY33-B1K8-00000-00&amp;context=" TargetMode="External" /><Relationship Id="rId939" Type="http://schemas.openxmlformats.org/officeDocument/2006/relationships/hyperlink" Target="https://advance.lexis.com/api/document?collection=cases-ca&amp;id=urn:contentItem:5F8T-N3T1-JJSF-2361-00000-00&amp;context=" TargetMode="External" /><Relationship Id="rId94" Type="http://schemas.openxmlformats.org/officeDocument/2006/relationships/footer" Target="footer16.xml" /><Relationship Id="rId940" Type="http://schemas.openxmlformats.org/officeDocument/2006/relationships/header" Target="header145.xml" /><Relationship Id="rId941" Type="http://schemas.openxmlformats.org/officeDocument/2006/relationships/header" Target="header146.xml" /><Relationship Id="rId942" Type="http://schemas.openxmlformats.org/officeDocument/2006/relationships/footer" Target="footer145.xml" /><Relationship Id="rId943" Type="http://schemas.openxmlformats.org/officeDocument/2006/relationships/footer" Target="footer146.xml" /><Relationship Id="rId944" Type="http://schemas.openxmlformats.org/officeDocument/2006/relationships/header" Target="header147.xml" /><Relationship Id="rId945" Type="http://schemas.openxmlformats.org/officeDocument/2006/relationships/footer" Target="footer147.xml" /><Relationship Id="rId946" Type="http://schemas.openxmlformats.org/officeDocument/2006/relationships/hyperlink" Target="https://advance.lexis.com/api/document?collection=cases-ca&amp;id=urn:contentItem:5VDC-2BC1-F900-G014-00000-00&amp;context=" TargetMode="External" /><Relationship Id="rId947" Type="http://schemas.openxmlformats.org/officeDocument/2006/relationships/hyperlink" Target="https://advance.lexis.com/api/document?collection=cases-ca&amp;id=urn:contentItem:5GCC-XVB1-JGHR-M4B0-00000-00&amp;context=" TargetMode="External" /><Relationship Id="rId948" Type="http://schemas.openxmlformats.org/officeDocument/2006/relationships/hyperlink" Target="https://advance.lexis.com/api/document?collection=cases-ca&amp;id=urn:contentItem:5F8T-N3V1-FC1F-M4BN-00000-00&amp;context=" TargetMode="External" /><Relationship Id="rId949" Type="http://schemas.openxmlformats.org/officeDocument/2006/relationships/hyperlink" Target="https://advance.lexis.com/api/document?collection=cases-ca&amp;id=urn:contentItem:5F8P-SD61-JWJ0-G2B5-00000-00&amp;context=" TargetMode="External" /><Relationship Id="rId95" Type="http://schemas.openxmlformats.org/officeDocument/2006/relationships/footer" Target="footer17.xml" /><Relationship Id="rId950" Type="http://schemas.openxmlformats.org/officeDocument/2006/relationships/hyperlink" Target="https://advance.lexis.com/api/document?collection=cases-ca&amp;id=urn:contentItem:5F8T-N3T1-JFKM-655W-00000-00&amp;context=" TargetMode="External" /><Relationship Id="rId951" Type="http://schemas.openxmlformats.org/officeDocument/2006/relationships/hyperlink" Target="https://advance.lexis.com/api/document?collection=cases-ca&amp;id=urn:contentItem:5F8T-N3V1-JFKM-6085-00000-00&amp;context=" TargetMode="External" /><Relationship Id="rId952" Type="http://schemas.openxmlformats.org/officeDocument/2006/relationships/hyperlink" Target="https://advance.lexis.com/api/document?collection=cases-ca&amp;id=urn:contentItem:5F8T-N3V1-JF75-M3SS-00000-00&amp;context=" TargetMode="External" /><Relationship Id="rId953" Type="http://schemas.openxmlformats.org/officeDocument/2006/relationships/hyperlink" Target="https://advance.lexis.com/api/document?collection=cases-ca&amp;id=urn:contentItem:5F7T-S7C1-JCJ5-20S0-00000-00&amp;context=" TargetMode="External" /><Relationship Id="rId954" Type="http://schemas.openxmlformats.org/officeDocument/2006/relationships/hyperlink" Target="https://advance.lexis.com/api/document?collection=cases-ca&amp;id=urn:contentItem:5NM4-BM61-F57G-S4P5-00000-00&amp;context=" TargetMode="External" /><Relationship Id="rId955" Type="http://schemas.openxmlformats.org/officeDocument/2006/relationships/hyperlink" Target="https://advance.lexis.com/api/document?collection=cases-ca&amp;id=urn:contentItem:5F7T-S7N1-JJ1H-X334-00000-00&amp;context=" TargetMode="External" /><Relationship Id="rId956" Type="http://schemas.openxmlformats.org/officeDocument/2006/relationships/hyperlink" Target="https://advance.lexis.com/api/document?collection=cases-ca&amp;id=urn:contentItem:5F7T-XPY1-FC1F-M1W6-00000-00&amp;context=" TargetMode="External" /><Relationship Id="rId957" Type="http://schemas.openxmlformats.org/officeDocument/2006/relationships/hyperlink" Target="https://advance.lexis.com/api/document?collection=cases-ca&amp;id=urn:contentItem:5F7T-XPW1-JW5H-X2DH-00000-00&amp;context=" TargetMode="External" /><Relationship Id="rId958" Type="http://schemas.openxmlformats.org/officeDocument/2006/relationships/hyperlink" Target="https://advance.lexis.com/api/document?collection=cases-ca&amp;id=urn:contentItem:5F8P-SDP1-JF75-M146-00000-00&amp;context=" TargetMode="External" /><Relationship Id="rId959" Type="http://schemas.openxmlformats.org/officeDocument/2006/relationships/hyperlink" Target="https://advance.lexis.com/api/document?collection=cases-ca&amp;id=urn:contentItem:5F8T-N3V1-JF75-M3MT-00000-00&amp;context=" TargetMode="External" /><Relationship Id="rId96" Type="http://schemas.openxmlformats.org/officeDocument/2006/relationships/header" Target="header18.xml" /><Relationship Id="rId960" Type="http://schemas.openxmlformats.org/officeDocument/2006/relationships/hyperlink" Target="https://advance.lexis.com/api/document?collection=cases-ca&amp;id=urn:contentItem:5F7T-S7F1-JFKM-61MR-00000-00&amp;context=" TargetMode="External" /><Relationship Id="rId961" Type="http://schemas.openxmlformats.org/officeDocument/2006/relationships/hyperlink" Target="https://advance.lexis.com/api/document?collection=cases-ca&amp;id=urn:contentItem:5F7T-S7K1-JKHB-62J8-00000-00&amp;context=" TargetMode="External" /><Relationship Id="rId962" Type="http://schemas.openxmlformats.org/officeDocument/2006/relationships/hyperlink" Target="https://advance.lexis.com/api/document?collection=cases-ca&amp;id=urn:contentItem:5F7T-S731-JNJT-B1SM-00000-00&amp;context=" TargetMode="External" /><Relationship Id="rId963" Type="http://schemas.openxmlformats.org/officeDocument/2006/relationships/hyperlink" Target="https://advance.lexis.com/api/document?collection=cases-ca&amp;id=urn:contentItem:5F7T-S741-F528-G29P-00000-00&amp;context=" TargetMode="External" /><Relationship Id="rId964" Type="http://schemas.openxmlformats.org/officeDocument/2006/relationships/hyperlink" Target="https://advance.lexis.com/api/document?collection=cases-ca&amp;id=urn:contentItem:5JDH-TJC1-F30T-B0DY-00000-00&amp;context=" TargetMode="External" /><Relationship Id="rId965" Type="http://schemas.openxmlformats.org/officeDocument/2006/relationships/hyperlink" Target="https://advance.lexis.com/api/document?collection=cases-ca&amp;id=urn:contentItem:5F7T-S7K1-F1H1-228K-00000-00&amp;context=" TargetMode="External" /><Relationship Id="rId966" Type="http://schemas.openxmlformats.org/officeDocument/2006/relationships/hyperlink" Target="https://advance.lexis.com/api/document?collection=cases-ca&amp;id=urn:contentItem:5GCC-XVC1-F900-G4KW-00000-00&amp;context=" TargetMode="External" /><Relationship Id="rId967" Type="http://schemas.openxmlformats.org/officeDocument/2006/relationships/hyperlink" Target="https://advance.lexis.com/api/document?collection=cases-ca&amp;id=urn:contentItem:5F7T-S7N1-JW09-M14M-00000-00&amp;context=" TargetMode="External" /><Relationship Id="rId968" Type="http://schemas.openxmlformats.org/officeDocument/2006/relationships/hyperlink" Target="https://advance.lexis.com/api/document?collection=cases-ca&amp;id=urn:contentItem:5F7T-S7F1-FJTD-G3KM-00000-00&amp;context=" TargetMode="External" /><Relationship Id="rId969" Type="http://schemas.openxmlformats.org/officeDocument/2006/relationships/hyperlink" Target="https://advance.lexis.com/api/document?collection=cases-ca&amp;id=urn:contentItem:5F7T-S741-F8D9-M1FF-00000-00&amp;context=" TargetMode="External" /><Relationship Id="rId97" Type="http://schemas.openxmlformats.org/officeDocument/2006/relationships/footer" Target="footer18.xml" /><Relationship Id="rId970" Type="http://schemas.openxmlformats.org/officeDocument/2006/relationships/hyperlink" Target="https://advance.lexis.com/api/document?collection=cases-ca&amp;id=urn:contentItem:5F7T-S7K1-JSJC-X0XV-00000-00&amp;context=" TargetMode="External" /><Relationship Id="rId971" Type="http://schemas.openxmlformats.org/officeDocument/2006/relationships/hyperlink" Target="https://advance.lexis.com/api/document?collection=cases-ca&amp;id=urn:contentItem:5F7T-S771-JSJC-X01F-00000-00&amp;context=" TargetMode="External" /><Relationship Id="rId972" Type="http://schemas.openxmlformats.org/officeDocument/2006/relationships/hyperlink" Target="https://advance.lexis.com/api/document?collection=cases-ca&amp;id=urn:contentItem:5F7T-S7G1-JBT7-X3J0-00000-00&amp;context=" TargetMode="External" /><Relationship Id="rId973" Type="http://schemas.openxmlformats.org/officeDocument/2006/relationships/hyperlink" Target="https://advance.lexis.com/api/document?collection=cases-ca&amp;id=urn:contentItem:5F7T-S7J1-JNS1-M207-00000-00&amp;context=" TargetMode="External" /><Relationship Id="rId974" Type="http://schemas.openxmlformats.org/officeDocument/2006/relationships/hyperlink" Target="https://advance.lexis.com/api/document?collection=cases-ca&amp;id=urn:contentItem:5F7T-S7M1-JFSV-G3KY-00000-00&amp;context=" TargetMode="External" /><Relationship Id="rId975" Type="http://schemas.openxmlformats.org/officeDocument/2006/relationships/hyperlink" Target="https://advance.lexis.com/api/document?collection=cases-ca&amp;id=urn:contentItem:5F7T-S7H1-JFSV-G2P5-00000-00&amp;context=" TargetMode="External" /><Relationship Id="rId976" Type="http://schemas.openxmlformats.org/officeDocument/2006/relationships/hyperlink" Target="https://advance.lexis.com/api/document?collection=cases-ca&amp;id=urn:contentItem:5F7T-S7K1-F1H1-228H-00000-00&amp;context=" TargetMode="External" /><Relationship Id="rId977" Type="http://schemas.openxmlformats.org/officeDocument/2006/relationships/hyperlink" Target="https://advance.lexis.com/api/document?collection=cases-ca&amp;id=urn:contentItem:5F8T-N3T1-JJSF-23P9-00000-00&amp;context=" TargetMode="External" /><Relationship Id="rId978" Type="http://schemas.openxmlformats.org/officeDocument/2006/relationships/hyperlink" Target="https://advance.lexis.com/api/document?collection=cases-ca&amp;id=urn:contentItem:5SPW-M341-JNCK-20DG-00000-00&amp;context=" TargetMode="External" /><Relationship Id="rId979" Type="http://schemas.openxmlformats.org/officeDocument/2006/relationships/header" Target="header148.xml" /><Relationship Id="rId98" Type="http://schemas.openxmlformats.org/officeDocument/2006/relationships/hyperlink" Target="https://advance.lexis.com/api/document?collection=cases-ca&amp;id=urn:contentItem:5F7T-S771-JTGH-B129-00000-00&amp;context=" TargetMode="External" /><Relationship Id="rId980" Type="http://schemas.openxmlformats.org/officeDocument/2006/relationships/header" Target="header149.xml" /><Relationship Id="rId981" Type="http://schemas.openxmlformats.org/officeDocument/2006/relationships/footer" Target="footer148.xml" /><Relationship Id="rId982" Type="http://schemas.openxmlformats.org/officeDocument/2006/relationships/footer" Target="footer149.xml" /><Relationship Id="rId983" Type="http://schemas.openxmlformats.org/officeDocument/2006/relationships/header" Target="header150.xml" /><Relationship Id="rId984" Type="http://schemas.openxmlformats.org/officeDocument/2006/relationships/footer" Target="footer150.xml" /><Relationship Id="rId985" Type="http://schemas.openxmlformats.org/officeDocument/2006/relationships/hyperlink" Target="https://advance.lexis.com/api/document?collection=cases-ca&amp;id=urn:contentItem:5Y0R-D0Y1-F22N-X3Y6-00000-00&amp;context=" TargetMode="External" /><Relationship Id="rId986" Type="http://schemas.openxmlformats.org/officeDocument/2006/relationships/hyperlink" Target="https://advance.lexis.com/api/document?collection=cases-ca&amp;id=urn:contentItem:5HWC-YXF1-F60C-X4P2-00000-00&amp;context=" TargetMode="External" /><Relationship Id="rId987" Type="http://schemas.openxmlformats.org/officeDocument/2006/relationships/hyperlink" Target="https://advance.lexis.com/api/document?collection=cases-ca&amp;id=urn:contentItem:5F7T-S7F1-FBN1-21G0-00000-00&amp;context=" TargetMode="External" /><Relationship Id="rId988" Type="http://schemas.openxmlformats.org/officeDocument/2006/relationships/hyperlink" Target="https://advance.lexis.com/api/document?collection=cases-ca&amp;id=urn:contentItem:5F7T-S7F1-DXWW-23PX-00000-00&amp;context=" TargetMode="External" /><Relationship Id="rId989" Type="http://schemas.openxmlformats.org/officeDocument/2006/relationships/hyperlink" Target="https://advance.lexis.com/api/document?collection=cases-ca&amp;id=urn:contentItem:5F7T-S761-JGHR-M2JM-00000-00&amp;context=" TargetMode="External" /><Relationship Id="rId99" Type="http://schemas.openxmlformats.org/officeDocument/2006/relationships/header" Target="header19.xml" /><Relationship Id="rId990" Type="http://schemas.openxmlformats.org/officeDocument/2006/relationships/hyperlink" Target="https://advance.lexis.com/api/document?collection=cases-ca&amp;id=urn:contentItem:5F7T-S761-JCBX-S0DR-00000-00&amp;context=" TargetMode="External" /><Relationship Id="rId991" Type="http://schemas.openxmlformats.org/officeDocument/2006/relationships/hyperlink" Target="https://advance.lexis.com/api/document?collection=cases-ca&amp;id=urn:contentItem:5F7T-S7C1-JS0R-228K-00000-00&amp;context=" TargetMode="External" /><Relationship Id="rId992" Type="http://schemas.openxmlformats.org/officeDocument/2006/relationships/hyperlink" Target="https://advance.lexis.com/api/document?collection=cases-ca&amp;id=urn:contentItem:5F7T-S771-F81W-22HN-00000-00&amp;context=" TargetMode="External" /><Relationship Id="rId993" Type="http://schemas.openxmlformats.org/officeDocument/2006/relationships/hyperlink" Target="https://advance.lexis.com/api/document?collection=cases-ca&amp;id=urn:contentItem:5F7T-S7M1-JPP5-22M6-00000-00&amp;context=" TargetMode="External" /><Relationship Id="rId994" Type="http://schemas.openxmlformats.org/officeDocument/2006/relationships/hyperlink" Target="https://advance.lexis.com/api/document?collection=cases-ca&amp;id=urn:contentItem:5F81-VJY1-JPGX-S4KN-00000-00&amp;context=" TargetMode="External" /><Relationship Id="rId995" Type="http://schemas.openxmlformats.org/officeDocument/2006/relationships/hyperlink" Target="https://advance.lexis.com/api/document?collection=cases-ca&amp;id=urn:contentItem:5F7T-S741-DXPM-S0Y5-00000-00&amp;context=" TargetMode="External" /><Relationship Id="rId996" Type="http://schemas.openxmlformats.org/officeDocument/2006/relationships/hyperlink" Target="https://advance.lexis.com/api/document?collection=cases-ca&amp;id=urn:contentItem:5F7T-S771-JW5H-X1R7-00000-00&amp;context=" TargetMode="External" /><Relationship Id="rId997" Type="http://schemas.openxmlformats.org/officeDocument/2006/relationships/hyperlink" Target="https://advance.lexis.com/api/document?collection=cases-ca&amp;id=urn:contentItem:5F7T-S7J1-JNS1-M2CK-00000-00&amp;context=" TargetMode="External" /><Relationship Id="rId998" Type="http://schemas.openxmlformats.org/officeDocument/2006/relationships/hyperlink" Target="https://advance.lexis.com/api/document?collection=cases-ca&amp;id=urn:contentItem:5F7T-S7N1-DXWW-202X-00000-00&amp;context=" TargetMode="External" /><Relationship Id="rId999" Type="http://schemas.openxmlformats.org/officeDocument/2006/relationships/hyperlink" Target="https://advance.lexis.com/api/document?collection=cases-ca&amp;id=urn:contentItem:5RW6-NFJ1-F06F-2390-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Brunning v. Cummings, [2020] B.C.J. No. 36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115048825</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